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2D6C2A" w:rsidP="00FD4A68">
      <w:pPr>
        <w:pStyle w:val="LabTitle"/>
        <w:rPr>
          <w:rStyle w:val="LabTitleInstVersred"/>
          <w:b/>
          <w:color w:val="auto"/>
        </w:rPr>
      </w:pPr>
      <w:r>
        <w:t xml:space="preserve">Atelier – Quelles données ont été volées ? </w:t>
      </w:r>
      <w:r>
        <w:rPr>
          <w:rStyle w:val="LabTitleInstVersred"/>
        </w:rPr>
        <w:t>(Version du formateur)</w:t>
      </w:r>
    </w:p>
    <w:p w:rsidR="009A1CF4" w:rsidRPr="009A1CF4" w:rsidRDefault="009A1CF4" w:rsidP="009A1CF4">
      <w:pPr>
        <w:pStyle w:val="InstNoteRed"/>
      </w:pPr>
      <w:r>
        <w:rPr>
          <w:b/>
        </w:rPr>
        <w:t>Remarque à l’intention du formateur :</w:t>
      </w:r>
      <w:r>
        <w:t xml:space="preserve"> le texte en rouge ou surligné en gris apparaît uniquement dans la version du formateur.</w:t>
      </w:r>
    </w:p>
    <w:p w:rsidR="009D2C27" w:rsidRPr="00BB73FF" w:rsidRDefault="009D2C27" w:rsidP="0014219C">
      <w:pPr>
        <w:pStyle w:val="LabSection"/>
      </w:pPr>
      <w:r>
        <w:t>Objectifs</w:t>
      </w:r>
    </w:p>
    <w:p w:rsidR="00C165AF" w:rsidRPr="00C43F59" w:rsidRDefault="00FE11CB" w:rsidP="006E6581">
      <w:pPr>
        <w:pStyle w:val="BodyTextL25Bold"/>
        <w:rPr>
          <w:b w:val="0"/>
        </w:rPr>
      </w:pPr>
      <w:r>
        <w:rPr>
          <w:b w:val="0"/>
        </w:rPr>
        <w:t>Effectuez une recherche et lisez des documents sur des cas récents de failles.</w:t>
      </w:r>
    </w:p>
    <w:p w:rsidR="00C07FD9" w:rsidRDefault="009D2C27" w:rsidP="0014219C">
      <w:pPr>
        <w:pStyle w:val="LabSection"/>
      </w:pPr>
      <w:r>
        <w:t>Contexte/scénario</w:t>
      </w:r>
    </w:p>
    <w:p w:rsidR="0070610C" w:rsidRDefault="00C43F59" w:rsidP="0070610C">
      <w:pPr>
        <w:pStyle w:val="BodyTextL25"/>
      </w:pPr>
      <w:r>
        <w:t>Les failles désignent les tentatives d’accès non autorisé d’individus ou d’applications à des données, des applications, des services ou des appareils. Lors de ces intrusions, les pirates, qu’ils soient initiés ou non, essaient d’obtenir des renseignements utiles avec lesquels ils pourraient obtenir des bénéfices financiers ou autres. Dans cet atelier, vous étudierez quelques cas de failles pour déterminer les données volées, les méthodes utilisées et les mesures à prendre pour vous protéger.</w:t>
      </w:r>
    </w:p>
    <w:p w:rsidR="007D2AFE" w:rsidRDefault="007D2AFE" w:rsidP="003C08AA">
      <w:pPr>
        <w:pStyle w:val="LabSection"/>
      </w:pPr>
      <w:r>
        <w:t>Ressources requises</w:t>
      </w:r>
    </w:p>
    <w:p w:rsidR="008D7F09" w:rsidRDefault="00233F0A" w:rsidP="00CD7F73">
      <w:pPr>
        <w:pStyle w:val="Bulletlevel1"/>
      </w:pPr>
      <w:r>
        <w:t xml:space="preserve">Ordinateur personnel ou terminal mobile avec accès Internet </w:t>
      </w:r>
    </w:p>
    <w:p w:rsidR="0070610C" w:rsidRDefault="00C43F59" w:rsidP="00C43F59">
      <w:pPr>
        <w:pStyle w:val="LabSection"/>
      </w:pPr>
      <w:r>
        <w:t>Recherche sur les failles</w:t>
      </w:r>
    </w:p>
    <w:p w:rsidR="00C43F59" w:rsidRDefault="00C43F59" w:rsidP="00C43F59">
      <w:pPr>
        <w:pStyle w:val="SubStepAlpha"/>
      </w:pPr>
      <w:r>
        <w:t>Utilisez les trois liens donnés sur des cas de failles dans différents secteurs pour remplir le tableau ci-dessous.</w:t>
      </w:r>
    </w:p>
    <w:p w:rsidR="0070131F" w:rsidRDefault="00C43F59" w:rsidP="00C43F59">
      <w:pPr>
        <w:pStyle w:val="SubStepAlpha"/>
      </w:pPr>
      <w:r>
        <w:t>Recherchez quelques cas supplémentaires d’intrusion à la sécurité intéressants et saisissez les résultats dans le tableau ci-dessous.</w:t>
      </w:r>
    </w:p>
    <w:tbl>
      <w:tblPr>
        <w:tblStyle w:val="LabTableStyle"/>
        <w:tblW w:w="0" w:type="auto"/>
        <w:tblLayout w:type="fixed"/>
        <w:tblLook w:val="04A0" w:firstRow="1" w:lastRow="0" w:firstColumn="1" w:lastColumn="0" w:noHBand="0" w:noVBand="1"/>
      </w:tblPr>
      <w:tblGrid>
        <w:gridCol w:w="1257"/>
        <w:gridCol w:w="1694"/>
        <w:gridCol w:w="2176"/>
        <w:gridCol w:w="3283"/>
        <w:gridCol w:w="1580"/>
      </w:tblGrid>
      <w:tr w:rsidR="00C43F59" w:rsidTr="00936F7A">
        <w:trPr>
          <w:cnfStyle w:val="100000000000" w:firstRow="1" w:lastRow="0" w:firstColumn="0" w:lastColumn="0" w:oddVBand="0" w:evenVBand="0" w:oddHBand="0" w:evenHBand="0" w:firstRowFirstColumn="0" w:firstRowLastColumn="0" w:lastRowFirstColumn="0" w:lastRowLastColumn="0"/>
        </w:trPr>
        <w:tc>
          <w:tcPr>
            <w:tcW w:w="1257" w:type="dxa"/>
          </w:tcPr>
          <w:p w:rsidR="00C43F59" w:rsidRDefault="00C43F59" w:rsidP="00133AA3">
            <w:pPr>
              <w:pStyle w:val="TableHeading"/>
            </w:pPr>
            <w:r>
              <w:t>Date de l’incident</w:t>
            </w:r>
          </w:p>
        </w:tc>
        <w:tc>
          <w:tcPr>
            <w:tcW w:w="1694" w:type="dxa"/>
          </w:tcPr>
          <w:p w:rsidR="00C43F59" w:rsidRDefault="00C43F59" w:rsidP="00133AA3">
            <w:pPr>
              <w:pStyle w:val="TableHeading"/>
            </w:pPr>
            <w:r>
              <w:t>Entreprise touchée</w:t>
            </w:r>
          </w:p>
        </w:tc>
        <w:tc>
          <w:tcPr>
            <w:tcW w:w="2176" w:type="dxa"/>
          </w:tcPr>
          <w:p w:rsidR="00C43F59" w:rsidRDefault="00C43F59" w:rsidP="00133AA3">
            <w:pPr>
              <w:pStyle w:val="TableHeading"/>
            </w:pPr>
            <w:r>
              <w:t>Nombre de victimes</w:t>
            </w:r>
          </w:p>
          <w:p w:rsidR="00C43F59" w:rsidRDefault="00C43F59" w:rsidP="00133AA3">
            <w:pPr>
              <w:pStyle w:val="TableHeading"/>
            </w:pPr>
            <w:r>
              <w:t>Données volées</w:t>
            </w:r>
          </w:p>
        </w:tc>
        <w:tc>
          <w:tcPr>
            <w:tcW w:w="3283" w:type="dxa"/>
          </w:tcPr>
          <w:p w:rsidR="00C43F59" w:rsidRDefault="00C43F59" w:rsidP="00133AA3">
            <w:pPr>
              <w:pStyle w:val="TableHeading"/>
            </w:pPr>
            <w:r>
              <w:t>Méthodes utilisées</w:t>
            </w:r>
          </w:p>
          <w:p w:rsidR="00C43F59" w:rsidRDefault="00C43F59" w:rsidP="00133AA3">
            <w:pPr>
              <w:pStyle w:val="TableHeading"/>
            </w:pPr>
            <w:r>
              <w:t>Mesure(s) de protection prise(s)</w:t>
            </w:r>
          </w:p>
        </w:tc>
        <w:tc>
          <w:tcPr>
            <w:tcW w:w="1580" w:type="dxa"/>
          </w:tcPr>
          <w:p w:rsidR="00C43F59" w:rsidRDefault="00C43F59" w:rsidP="00133AA3">
            <w:pPr>
              <w:pStyle w:val="TableHeading"/>
            </w:pPr>
            <w:r>
              <w:t>Source de référence</w:t>
            </w:r>
          </w:p>
        </w:tc>
      </w:tr>
      <w:tr w:rsidR="00C43F59" w:rsidTr="00936F7A">
        <w:tc>
          <w:tcPr>
            <w:tcW w:w="1257" w:type="dxa"/>
          </w:tcPr>
          <w:p w:rsidR="00C43F59" w:rsidRPr="0070131F" w:rsidRDefault="00C43F59" w:rsidP="00133AA3">
            <w:pPr>
              <w:pStyle w:val="TableText"/>
              <w:rPr>
                <w:rStyle w:val="AnswerGray"/>
              </w:rPr>
            </w:pPr>
            <w:r>
              <w:rPr>
                <w:rStyle w:val="AnswerGray"/>
              </w:rPr>
              <w:t>Déc 2015</w:t>
            </w:r>
          </w:p>
        </w:tc>
        <w:tc>
          <w:tcPr>
            <w:tcW w:w="1694" w:type="dxa"/>
          </w:tcPr>
          <w:p w:rsidR="00C43F59" w:rsidRPr="0070131F" w:rsidRDefault="00C43F59" w:rsidP="00133AA3">
            <w:pPr>
              <w:pStyle w:val="TableText"/>
              <w:rPr>
                <w:rStyle w:val="AnswerGray"/>
              </w:rPr>
            </w:pPr>
            <w:proofErr w:type="spellStart"/>
            <w:r>
              <w:rPr>
                <w:rStyle w:val="AnswerGray"/>
              </w:rPr>
              <w:t>Neiman</w:t>
            </w:r>
            <w:proofErr w:type="spellEnd"/>
            <w:r>
              <w:rPr>
                <w:rStyle w:val="AnswerGray"/>
              </w:rPr>
              <w:t> Marcus</w:t>
            </w:r>
          </w:p>
        </w:tc>
        <w:tc>
          <w:tcPr>
            <w:tcW w:w="2176" w:type="dxa"/>
          </w:tcPr>
          <w:p w:rsidR="00C43F59" w:rsidRPr="00936F7A" w:rsidRDefault="00C43F59" w:rsidP="00133AA3">
            <w:pPr>
              <w:pStyle w:val="TableText"/>
              <w:rPr>
                <w:rStyle w:val="AnswerGray"/>
                <w:spacing w:val="-6"/>
              </w:rPr>
            </w:pPr>
            <w:r w:rsidRPr="00936F7A">
              <w:rPr>
                <w:rStyle w:val="AnswerGray"/>
                <w:spacing w:val="-6"/>
              </w:rPr>
              <w:t xml:space="preserve">Environ 5 200 victimes, dont les noms d’utilisateur et mots de passe, ont été </w:t>
            </w:r>
            <w:proofErr w:type="gramStart"/>
            <w:r w:rsidRPr="00936F7A">
              <w:rPr>
                <w:rStyle w:val="AnswerGray"/>
                <w:spacing w:val="-6"/>
              </w:rPr>
              <w:t>volés</w:t>
            </w:r>
            <w:proofErr w:type="gramEnd"/>
          </w:p>
        </w:tc>
        <w:tc>
          <w:tcPr>
            <w:tcW w:w="3283" w:type="dxa"/>
          </w:tcPr>
          <w:p w:rsidR="00C43F59" w:rsidRDefault="00C43F59" w:rsidP="00133AA3">
            <w:pPr>
              <w:pStyle w:val="TableText"/>
              <w:rPr>
                <w:rStyle w:val="AnswerGray"/>
              </w:rPr>
            </w:pPr>
            <w:r>
              <w:rPr>
                <w:rStyle w:val="AnswerGray"/>
              </w:rPr>
              <w:t>Autres sites Web piratés</w:t>
            </w:r>
          </w:p>
          <w:p w:rsidR="00C43F59" w:rsidRPr="0070131F" w:rsidRDefault="00C43F59" w:rsidP="00133AA3">
            <w:pPr>
              <w:pStyle w:val="TableText"/>
              <w:rPr>
                <w:rStyle w:val="AnswerGray"/>
              </w:rPr>
            </w:pPr>
            <w:r>
              <w:rPr>
                <w:rStyle w:val="AnswerGray"/>
              </w:rPr>
              <w:t>Utiliser un mot de passe unique par site</w:t>
            </w:r>
          </w:p>
        </w:tc>
        <w:tc>
          <w:tcPr>
            <w:tcW w:w="1580" w:type="dxa"/>
          </w:tcPr>
          <w:p w:rsidR="00C43F59" w:rsidRDefault="00880B86" w:rsidP="00133AA3">
            <w:pPr>
              <w:pStyle w:val="TableText"/>
            </w:pPr>
            <w:hyperlink r:id="rId8">
              <w:r w:rsidR="007755DF">
                <w:rPr>
                  <w:rStyle w:val="Lienhypertexte"/>
                </w:rPr>
                <w:t>SC Magazine</w:t>
              </w:r>
            </w:hyperlink>
          </w:p>
        </w:tc>
      </w:tr>
      <w:tr w:rsidR="00C43F59" w:rsidTr="00936F7A">
        <w:tc>
          <w:tcPr>
            <w:tcW w:w="1257" w:type="dxa"/>
          </w:tcPr>
          <w:p w:rsidR="00C43F59" w:rsidRPr="0070610C" w:rsidRDefault="00C43F59" w:rsidP="001E0EFC">
            <w:pPr>
              <w:pStyle w:val="TableText"/>
              <w:rPr>
                <w:rStyle w:val="AnswerGray"/>
              </w:rPr>
            </w:pPr>
            <w:r>
              <w:rPr>
                <w:rStyle w:val="AnswerGray"/>
              </w:rPr>
              <w:t>Entre 2009 et 2015</w:t>
            </w:r>
          </w:p>
        </w:tc>
        <w:tc>
          <w:tcPr>
            <w:tcW w:w="1694" w:type="dxa"/>
          </w:tcPr>
          <w:p w:rsidR="00C43F59" w:rsidRPr="0070610C" w:rsidRDefault="00C43F59" w:rsidP="00133AA3">
            <w:pPr>
              <w:pStyle w:val="TableText"/>
              <w:rPr>
                <w:rStyle w:val="AnswerGray"/>
              </w:rPr>
            </w:pPr>
            <w:proofErr w:type="spellStart"/>
            <w:r>
              <w:rPr>
                <w:rStyle w:val="AnswerGray"/>
              </w:rPr>
              <w:t>Centene</w:t>
            </w:r>
            <w:proofErr w:type="spellEnd"/>
            <w:r>
              <w:rPr>
                <w:rStyle w:val="AnswerGray"/>
              </w:rPr>
              <w:t> Corp.</w:t>
            </w:r>
          </w:p>
        </w:tc>
        <w:tc>
          <w:tcPr>
            <w:tcW w:w="2176" w:type="dxa"/>
          </w:tcPr>
          <w:p w:rsidR="00C43F59" w:rsidRPr="0070610C" w:rsidRDefault="00C43F59" w:rsidP="00133AA3">
            <w:pPr>
              <w:pStyle w:val="TableText"/>
              <w:rPr>
                <w:rStyle w:val="AnswerGray"/>
              </w:rPr>
            </w:pPr>
            <w:r>
              <w:rPr>
                <w:rStyle w:val="AnswerGray"/>
              </w:rPr>
              <w:t>950 000 victimes et six disques durs contenant les informations d’identification personnelle</w:t>
            </w:r>
          </w:p>
        </w:tc>
        <w:tc>
          <w:tcPr>
            <w:tcW w:w="3283" w:type="dxa"/>
          </w:tcPr>
          <w:p w:rsidR="00C43F59" w:rsidRPr="0070610C" w:rsidRDefault="00C43F59" w:rsidP="00133AA3">
            <w:pPr>
              <w:pStyle w:val="TableText"/>
              <w:rPr>
                <w:rStyle w:val="AnswerGray"/>
              </w:rPr>
            </w:pPr>
            <w:r>
              <w:rPr>
                <w:rStyle w:val="AnswerGray"/>
              </w:rPr>
              <w:t>Accès physiques aux lecteurs.</w:t>
            </w:r>
          </w:p>
          <w:p w:rsidR="00C43F59" w:rsidRPr="0070610C" w:rsidRDefault="00C43F59" w:rsidP="001E26C4">
            <w:pPr>
              <w:pStyle w:val="TableText"/>
              <w:rPr>
                <w:rStyle w:val="AnswerGray"/>
              </w:rPr>
            </w:pPr>
            <w:r>
              <w:rPr>
                <w:rStyle w:val="AnswerGray"/>
              </w:rPr>
              <w:t>Utiliser la surveillance des cartes de crédit et de soins de santé (Sécurité Sociale, Mutuelle…)</w:t>
            </w:r>
          </w:p>
        </w:tc>
        <w:tc>
          <w:tcPr>
            <w:tcW w:w="1580" w:type="dxa"/>
          </w:tcPr>
          <w:p w:rsidR="00C43F59" w:rsidRDefault="00880B86" w:rsidP="00133AA3">
            <w:pPr>
              <w:pStyle w:val="TableText"/>
            </w:pPr>
            <w:hyperlink r:id="rId9">
              <w:r w:rsidR="007755DF">
                <w:rPr>
                  <w:rStyle w:val="Lienhypertexte"/>
                </w:rPr>
                <w:t>SC Magazine</w:t>
              </w:r>
            </w:hyperlink>
          </w:p>
        </w:tc>
      </w:tr>
      <w:tr w:rsidR="00C43F59" w:rsidTr="00936F7A">
        <w:tc>
          <w:tcPr>
            <w:tcW w:w="1257" w:type="dxa"/>
          </w:tcPr>
          <w:p w:rsidR="00C43F59" w:rsidRPr="0070610C" w:rsidRDefault="001E0EFC" w:rsidP="00133AA3">
            <w:pPr>
              <w:pStyle w:val="TableText"/>
              <w:rPr>
                <w:rStyle w:val="AnswerGray"/>
              </w:rPr>
            </w:pPr>
            <w:r>
              <w:rPr>
                <w:rStyle w:val="AnswerGray"/>
              </w:rPr>
              <w:t>Entre 2013 et 2014</w:t>
            </w:r>
          </w:p>
        </w:tc>
        <w:tc>
          <w:tcPr>
            <w:tcW w:w="1694" w:type="dxa"/>
          </w:tcPr>
          <w:p w:rsidR="00C43F59" w:rsidRPr="0070610C" w:rsidRDefault="00C43F59" w:rsidP="00133AA3">
            <w:pPr>
              <w:pStyle w:val="TableText"/>
              <w:rPr>
                <w:rStyle w:val="AnswerGray"/>
              </w:rPr>
            </w:pPr>
            <w:r>
              <w:rPr>
                <w:rStyle w:val="AnswerGray"/>
              </w:rPr>
              <w:t>Université de Virginie</w:t>
            </w:r>
          </w:p>
        </w:tc>
        <w:tc>
          <w:tcPr>
            <w:tcW w:w="2176" w:type="dxa"/>
          </w:tcPr>
          <w:p w:rsidR="00C43F59" w:rsidRPr="0070610C" w:rsidRDefault="00C43F59" w:rsidP="00133AA3">
            <w:pPr>
              <w:pStyle w:val="TableText"/>
              <w:rPr>
                <w:rStyle w:val="AnswerGray"/>
              </w:rPr>
            </w:pPr>
            <w:r>
              <w:rPr>
                <w:rStyle w:val="AnswerGray"/>
              </w:rPr>
              <w:t>Renseignements sur le compte de virement bancaire automatique de 1 400 collaborateurs</w:t>
            </w:r>
          </w:p>
        </w:tc>
        <w:tc>
          <w:tcPr>
            <w:tcW w:w="3283" w:type="dxa"/>
          </w:tcPr>
          <w:p w:rsidR="00C43F59" w:rsidRPr="0070610C" w:rsidRDefault="00C43F59" w:rsidP="00133AA3">
            <w:pPr>
              <w:pStyle w:val="TableText"/>
              <w:rPr>
                <w:rStyle w:val="AnswerGray"/>
              </w:rPr>
            </w:pPr>
            <w:r>
              <w:rPr>
                <w:rStyle w:val="AnswerGray"/>
              </w:rPr>
              <w:t>Hameçonnage par courriels indésirables</w:t>
            </w:r>
          </w:p>
          <w:p w:rsidR="00C43F59" w:rsidRPr="00936F7A" w:rsidRDefault="00C43F59" w:rsidP="001E0EFC">
            <w:pPr>
              <w:pStyle w:val="TableText"/>
              <w:rPr>
                <w:rStyle w:val="AnswerGray"/>
                <w:spacing w:val="-4"/>
              </w:rPr>
            </w:pPr>
            <w:r w:rsidRPr="00936F7A">
              <w:rPr>
                <w:rStyle w:val="AnswerGray"/>
                <w:spacing w:val="-4"/>
              </w:rPr>
              <w:t>Ne pas ouvrir les liens contenus dans des courriels : accéder au site Web en s’y rendant directement</w:t>
            </w:r>
          </w:p>
        </w:tc>
        <w:tc>
          <w:tcPr>
            <w:tcW w:w="1580" w:type="dxa"/>
          </w:tcPr>
          <w:p w:rsidR="00C43F59" w:rsidRDefault="00880B86" w:rsidP="00133AA3">
            <w:pPr>
              <w:pStyle w:val="TableText"/>
            </w:pPr>
            <w:hyperlink r:id="rId10">
              <w:r w:rsidR="007755DF">
                <w:rPr>
                  <w:rStyle w:val="Lienhypertexte"/>
                </w:rPr>
                <w:t>Université de Virginie</w:t>
              </w:r>
            </w:hyperlink>
          </w:p>
        </w:tc>
      </w:tr>
      <w:tr w:rsidR="00C43F59" w:rsidTr="00936F7A">
        <w:tc>
          <w:tcPr>
            <w:tcW w:w="1257" w:type="dxa"/>
          </w:tcPr>
          <w:p w:rsidR="00C43F59" w:rsidRDefault="00C43F59" w:rsidP="00133AA3">
            <w:pPr>
              <w:pStyle w:val="TableText"/>
            </w:pPr>
          </w:p>
        </w:tc>
        <w:tc>
          <w:tcPr>
            <w:tcW w:w="1694" w:type="dxa"/>
          </w:tcPr>
          <w:p w:rsidR="00C43F59" w:rsidRDefault="00C43F59" w:rsidP="00133AA3">
            <w:pPr>
              <w:pStyle w:val="TableText"/>
            </w:pPr>
          </w:p>
        </w:tc>
        <w:tc>
          <w:tcPr>
            <w:tcW w:w="2176" w:type="dxa"/>
          </w:tcPr>
          <w:p w:rsidR="00C43F59" w:rsidRDefault="00C43F59" w:rsidP="00133AA3">
            <w:pPr>
              <w:pStyle w:val="TableText"/>
            </w:pPr>
          </w:p>
        </w:tc>
        <w:tc>
          <w:tcPr>
            <w:tcW w:w="3283" w:type="dxa"/>
          </w:tcPr>
          <w:p w:rsidR="00C43F59" w:rsidRDefault="00C43F59" w:rsidP="00133AA3">
            <w:pPr>
              <w:pStyle w:val="TableText"/>
            </w:pPr>
          </w:p>
          <w:p w:rsidR="00C43F59" w:rsidRDefault="00C43F59" w:rsidP="00133AA3">
            <w:pPr>
              <w:pStyle w:val="TableText"/>
            </w:pPr>
          </w:p>
        </w:tc>
        <w:tc>
          <w:tcPr>
            <w:tcW w:w="1580" w:type="dxa"/>
          </w:tcPr>
          <w:p w:rsidR="00C43F59" w:rsidRDefault="00C43F59" w:rsidP="00133AA3">
            <w:pPr>
              <w:pStyle w:val="TableText"/>
            </w:pPr>
          </w:p>
        </w:tc>
      </w:tr>
      <w:tr w:rsidR="00C43F59" w:rsidTr="00936F7A">
        <w:tc>
          <w:tcPr>
            <w:tcW w:w="1257" w:type="dxa"/>
          </w:tcPr>
          <w:p w:rsidR="00C43F59" w:rsidRDefault="00C43F59" w:rsidP="00140DAF">
            <w:pPr>
              <w:pStyle w:val="TableText"/>
              <w:keepNext w:val="0"/>
            </w:pPr>
          </w:p>
        </w:tc>
        <w:tc>
          <w:tcPr>
            <w:tcW w:w="1694" w:type="dxa"/>
          </w:tcPr>
          <w:p w:rsidR="00C43F59" w:rsidRDefault="00C43F59" w:rsidP="00140DAF">
            <w:pPr>
              <w:pStyle w:val="TableText"/>
              <w:keepNext w:val="0"/>
            </w:pPr>
          </w:p>
        </w:tc>
        <w:tc>
          <w:tcPr>
            <w:tcW w:w="2176" w:type="dxa"/>
          </w:tcPr>
          <w:p w:rsidR="00C43F59" w:rsidRDefault="00C43F59" w:rsidP="00140DAF">
            <w:pPr>
              <w:pStyle w:val="TableText"/>
              <w:keepNext w:val="0"/>
            </w:pPr>
          </w:p>
        </w:tc>
        <w:tc>
          <w:tcPr>
            <w:tcW w:w="3283" w:type="dxa"/>
          </w:tcPr>
          <w:p w:rsidR="00266635" w:rsidRDefault="00266635" w:rsidP="00140DAF">
            <w:pPr>
              <w:pStyle w:val="TableText"/>
              <w:keepNext w:val="0"/>
            </w:pPr>
          </w:p>
          <w:p w:rsidR="00C43F59" w:rsidRDefault="00C43F59" w:rsidP="00140DAF">
            <w:pPr>
              <w:pStyle w:val="TableText"/>
              <w:keepNext w:val="0"/>
            </w:pPr>
          </w:p>
        </w:tc>
        <w:tc>
          <w:tcPr>
            <w:tcW w:w="1580" w:type="dxa"/>
          </w:tcPr>
          <w:p w:rsidR="00C43F59" w:rsidRDefault="00C43F59" w:rsidP="00140DAF">
            <w:pPr>
              <w:pStyle w:val="TableText"/>
              <w:keepNext w:val="0"/>
            </w:pPr>
          </w:p>
        </w:tc>
      </w:tr>
    </w:tbl>
    <w:p w:rsidR="00C43F59" w:rsidRDefault="00140DAF" w:rsidP="00140DAF">
      <w:pPr>
        <w:pStyle w:val="LabSection"/>
      </w:pPr>
      <w:r>
        <w:lastRenderedPageBreak/>
        <w:t>Remarques générales</w:t>
      </w:r>
    </w:p>
    <w:p w:rsidR="00140DAF" w:rsidRDefault="00140DAF" w:rsidP="00140DAF">
      <w:pPr>
        <w:pStyle w:val="BodyTextL25"/>
      </w:pPr>
      <w:r>
        <w:t>Après avoir lu ces cas de failles, quelles sont les mesures à prendre pour éviter ces types d’intrusion ?</w:t>
      </w:r>
    </w:p>
    <w:p w:rsidR="00140DAF" w:rsidRDefault="00140DAF" w:rsidP="00140DAF">
      <w:pPr>
        <w:pStyle w:val="BodyTextL25"/>
      </w:pPr>
      <w:r>
        <w:t>_______________________________________________________________________________________</w:t>
      </w:r>
    </w:p>
    <w:p w:rsidR="00140DAF" w:rsidRDefault="00140DAF" w:rsidP="00140DAF">
      <w:pPr>
        <w:pStyle w:val="BodyTextL25"/>
      </w:pPr>
      <w:r>
        <w:t>_______________________________________________________________________________________</w:t>
      </w:r>
    </w:p>
    <w:p w:rsidR="00140DAF" w:rsidRDefault="00140DAF" w:rsidP="00140DAF">
      <w:pPr>
        <w:pStyle w:val="BodyTextL25"/>
      </w:pPr>
      <w:r>
        <w:t>_______________________________________________________________________________________</w:t>
      </w:r>
    </w:p>
    <w:p w:rsidR="00140DAF" w:rsidRPr="00140DAF" w:rsidRDefault="00140DAF" w:rsidP="00140DAF">
      <w:pPr>
        <w:pStyle w:val="BodyTextL25"/>
        <w:rPr>
          <w:rStyle w:val="AnswerGray"/>
        </w:rPr>
      </w:pPr>
      <w:r>
        <w:rPr>
          <w:rStyle w:val="AnswerGray"/>
        </w:rPr>
        <w:t>Plusieurs réponses sont possibles. Exemples : utilisez un mot de passe unique, évitez d’ouvrir les liens intégrés dans un courriel…</w:t>
      </w:r>
    </w:p>
    <w:sectPr w:rsidR="00140DAF" w:rsidRPr="00140DAF" w:rsidSect="008C4307">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3D2" w:rsidRDefault="008623D2" w:rsidP="0090659A">
      <w:pPr>
        <w:spacing w:after="0" w:line="240" w:lineRule="auto"/>
      </w:pPr>
      <w:r>
        <w:separator/>
      </w:r>
    </w:p>
    <w:p w:rsidR="008623D2" w:rsidRDefault="008623D2"/>
    <w:p w:rsidR="008623D2" w:rsidRDefault="008623D2"/>
    <w:p w:rsidR="008623D2" w:rsidRDefault="008623D2"/>
    <w:p w:rsidR="008623D2" w:rsidRDefault="008623D2"/>
  </w:endnote>
  <w:endnote w:type="continuationSeparator" w:id="0">
    <w:p w:rsidR="008623D2" w:rsidRDefault="008623D2" w:rsidP="0090659A">
      <w:pPr>
        <w:spacing w:after="0" w:line="240" w:lineRule="auto"/>
      </w:pPr>
      <w:r>
        <w:continuationSeparator/>
      </w:r>
    </w:p>
    <w:p w:rsidR="008623D2" w:rsidRDefault="008623D2"/>
    <w:p w:rsidR="008623D2" w:rsidRDefault="008623D2"/>
    <w:p w:rsidR="008623D2" w:rsidRDefault="008623D2"/>
    <w:p w:rsidR="008623D2" w:rsidRDefault="008623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B86" w:rsidRDefault="00880B8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A3" w:rsidRPr="0090659A" w:rsidRDefault="00133AA3" w:rsidP="008C4307">
    <w:pPr>
      <w:pStyle w:val="Pieddepage"/>
      <w:rPr>
        <w:szCs w:val="16"/>
      </w:rPr>
    </w:pPr>
    <w:bookmarkStart w:id="0" w:name="_GoBack"/>
    <w:bookmarkEnd w:id="0"/>
    <w:r>
      <w:tab/>
      <w:t>Page </w:t>
    </w:r>
    <w:r w:rsidR="00031140" w:rsidRPr="0090659A">
      <w:rPr>
        <w:b/>
        <w:szCs w:val="16"/>
      </w:rPr>
      <w:fldChar w:fldCharType="begin"/>
    </w:r>
    <w:r w:rsidRPr="0090659A">
      <w:rPr>
        <w:b/>
        <w:szCs w:val="16"/>
      </w:rPr>
      <w:instrText xml:space="preserve"> PAGE </w:instrText>
    </w:r>
    <w:r w:rsidR="00031140" w:rsidRPr="0090659A">
      <w:rPr>
        <w:b/>
        <w:szCs w:val="16"/>
      </w:rPr>
      <w:fldChar w:fldCharType="separate"/>
    </w:r>
    <w:r w:rsidR="00880B86">
      <w:rPr>
        <w:b/>
        <w:noProof/>
        <w:szCs w:val="16"/>
      </w:rPr>
      <w:t>2</w:t>
    </w:r>
    <w:r w:rsidR="00031140" w:rsidRPr="0090659A">
      <w:rPr>
        <w:b/>
        <w:szCs w:val="16"/>
      </w:rPr>
      <w:fldChar w:fldCharType="end"/>
    </w:r>
    <w:r>
      <w:t xml:space="preserve"> sur </w:t>
    </w:r>
    <w:r w:rsidR="00031140" w:rsidRPr="0090659A">
      <w:rPr>
        <w:b/>
        <w:szCs w:val="16"/>
      </w:rPr>
      <w:fldChar w:fldCharType="begin"/>
    </w:r>
    <w:r w:rsidRPr="0090659A">
      <w:rPr>
        <w:b/>
        <w:szCs w:val="16"/>
      </w:rPr>
      <w:instrText xml:space="preserve"> NUMPAGES  </w:instrText>
    </w:r>
    <w:r w:rsidR="00031140" w:rsidRPr="0090659A">
      <w:rPr>
        <w:b/>
        <w:szCs w:val="16"/>
      </w:rPr>
      <w:fldChar w:fldCharType="separate"/>
    </w:r>
    <w:r w:rsidR="00880B86">
      <w:rPr>
        <w:b/>
        <w:noProof/>
        <w:szCs w:val="16"/>
      </w:rPr>
      <w:t>2</w:t>
    </w:r>
    <w:r w:rsidR="00031140"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A3" w:rsidRPr="0090659A" w:rsidRDefault="00133AA3" w:rsidP="008C4307">
    <w:pPr>
      <w:pStyle w:val="Pieddepage"/>
      <w:rPr>
        <w:szCs w:val="16"/>
      </w:rPr>
    </w:pPr>
    <w:r>
      <w:tab/>
      <w:t>Page </w:t>
    </w:r>
    <w:r w:rsidR="00031140" w:rsidRPr="0090659A">
      <w:rPr>
        <w:b/>
        <w:szCs w:val="16"/>
      </w:rPr>
      <w:fldChar w:fldCharType="begin"/>
    </w:r>
    <w:r w:rsidRPr="0090659A">
      <w:rPr>
        <w:b/>
        <w:szCs w:val="16"/>
      </w:rPr>
      <w:instrText xml:space="preserve"> PAGE </w:instrText>
    </w:r>
    <w:r w:rsidR="00031140" w:rsidRPr="0090659A">
      <w:rPr>
        <w:b/>
        <w:szCs w:val="16"/>
      </w:rPr>
      <w:fldChar w:fldCharType="separate"/>
    </w:r>
    <w:r w:rsidR="00880B86">
      <w:rPr>
        <w:b/>
        <w:noProof/>
        <w:szCs w:val="16"/>
      </w:rPr>
      <w:t>1</w:t>
    </w:r>
    <w:r w:rsidR="00031140" w:rsidRPr="0090659A">
      <w:rPr>
        <w:b/>
        <w:szCs w:val="16"/>
      </w:rPr>
      <w:fldChar w:fldCharType="end"/>
    </w:r>
    <w:r>
      <w:t xml:space="preserve"> sur </w:t>
    </w:r>
    <w:r w:rsidR="00031140" w:rsidRPr="0090659A">
      <w:rPr>
        <w:b/>
        <w:szCs w:val="16"/>
      </w:rPr>
      <w:fldChar w:fldCharType="begin"/>
    </w:r>
    <w:r w:rsidRPr="0090659A">
      <w:rPr>
        <w:b/>
        <w:szCs w:val="16"/>
      </w:rPr>
      <w:instrText xml:space="preserve"> NUMPAGES  </w:instrText>
    </w:r>
    <w:r w:rsidR="00031140" w:rsidRPr="0090659A">
      <w:rPr>
        <w:b/>
        <w:szCs w:val="16"/>
      </w:rPr>
      <w:fldChar w:fldCharType="separate"/>
    </w:r>
    <w:r w:rsidR="00880B86">
      <w:rPr>
        <w:b/>
        <w:noProof/>
        <w:szCs w:val="16"/>
      </w:rPr>
      <w:t>2</w:t>
    </w:r>
    <w:r w:rsidR="00031140"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3D2" w:rsidRDefault="008623D2" w:rsidP="0090659A">
      <w:pPr>
        <w:spacing w:after="0" w:line="240" w:lineRule="auto"/>
      </w:pPr>
      <w:r>
        <w:separator/>
      </w:r>
    </w:p>
    <w:p w:rsidR="008623D2" w:rsidRDefault="008623D2"/>
    <w:p w:rsidR="008623D2" w:rsidRDefault="008623D2"/>
    <w:p w:rsidR="008623D2" w:rsidRDefault="008623D2"/>
    <w:p w:rsidR="008623D2" w:rsidRDefault="008623D2"/>
  </w:footnote>
  <w:footnote w:type="continuationSeparator" w:id="0">
    <w:p w:rsidR="008623D2" w:rsidRDefault="008623D2" w:rsidP="0090659A">
      <w:pPr>
        <w:spacing w:after="0" w:line="240" w:lineRule="auto"/>
      </w:pPr>
      <w:r>
        <w:continuationSeparator/>
      </w:r>
    </w:p>
    <w:p w:rsidR="008623D2" w:rsidRDefault="008623D2"/>
    <w:p w:rsidR="008623D2" w:rsidRDefault="008623D2"/>
    <w:p w:rsidR="008623D2" w:rsidRDefault="008623D2"/>
    <w:p w:rsidR="008623D2" w:rsidRDefault="008623D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B86" w:rsidRDefault="00880B8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A3" w:rsidRDefault="00133AA3" w:rsidP="00C52BA6">
    <w:pPr>
      <w:pStyle w:val="PageHead"/>
    </w:pPr>
    <w:r>
      <w:t>Atelier – Quelles données ont été volées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AA3" w:rsidRDefault="00133AA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B5B68B7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Y0MzC2sLC0MDYwMTdX0lEKTi0uzszPAykwrAUAA2g5hCwAAAA="/>
    <w:docVar w:name="__grammarly61__i" w:val="H4sIAAAAAAAEAKtWckksSQxILCpxzi/NK1GyMqwFAAEhoTITAAAA"/>
    <w:docVar w:name="__grammarly61_1" w:val="H4sIAAAAAAAEAKtWcslPLs1NzSvxTFGyUkoyTjMwNLQw0zU2NLbUNbEwMtS1TEy21DU2TzFONE1OTjW2TFPSUQpOLS7OzM8DaTGsBQBxFy9YQwAAAA=="/>
  </w:docVars>
  <w:rsids>
    <w:rsidRoot w:val="00EA6136"/>
    <w:rsid w:val="00004175"/>
    <w:rsid w:val="000059C9"/>
    <w:rsid w:val="000160F7"/>
    <w:rsid w:val="00016D5B"/>
    <w:rsid w:val="00016F30"/>
    <w:rsid w:val="0002047C"/>
    <w:rsid w:val="00021B9A"/>
    <w:rsid w:val="000242D6"/>
    <w:rsid w:val="00024EE5"/>
    <w:rsid w:val="0002705B"/>
    <w:rsid w:val="00031140"/>
    <w:rsid w:val="0003624D"/>
    <w:rsid w:val="00041AF6"/>
    <w:rsid w:val="00044E62"/>
    <w:rsid w:val="00050BA4"/>
    <w:rsid w:val="00051738"/>
    <w:rsid w:val="00052548"/>
    <w:rsid w:val="00053E1C"/>
    <w:rsid w:val="00060696"/>
    <w:rsid w:val="000668F1"/>
    <w:rsid w:val="00073539"/>
    <w:rsid w:val="000769CF"/>
    <w:rsid w:val="000815D8"/>
    <w:rsid w:val="00084C99"/>
    <w:rsid w:val="00085CC6"/>
    <w:rsid w:val="00090C07"/>
    <w:rsid w:val="00091E8D"/>
    <w:rsid w:val="0009378D"/>
    <w:rsid w:val="00097163"/>
    <w:rsid w:val="000A22C8"/>
    <w:rsid w:val="000B0CB3"/>
    <w:rsid w:val="000B2344"/>
    <w:rsid w:val="000B7DE5"/>
    <w:rsid w:val="000D55B4"/>
    <w:rsid w:val="000E2B30"/>
    <w:rsid w:val="000E65F0"/>
    <w:rsid w:val="000F072C"/>
    <w:rsid w:val="000F6743"/>
    <w:rsid w:val="001006C2"/>
    <w:rsid w:val="00100FDC"/>
    <w:rsid w:val="00107B2B"/>
    <w:rsid w:val="00111281"/>
    <w:rsid w:val="00112AC5"/>
    <w:rsid w:val="001133DD"/>
    <w:rsid w:val="00120CBE"/>
    <w:rsid w:val="00123085"/>
    <w:rsid w:val="001261C4"/>
    <w:rsid w:val="001305D3"/>
    <w:rsid w:val="001314FB"/>
    <w:rsid w:val="00133AA3"/>
    <w:rsid w:val="001366EC"/>
    <w:rsid w:val="00140DAF"/>
    <w:rsid w:val="0014219C"/>
    <w:rsid w:val="001425ED"/>
    <w:rsid w:val="00144997"/>
    <w:rsid w:val="00144E6B"/>
    <w:rsid w:val="0015326D"/>
    <w:rsid w:val="00154CA6"/>
    <w:rsid w:val="00154E3A"/>
    <w:rsid w:val="00157902"/>
    <w:rsid w:val="00163164"/>
    <w:rsid w:val="001656A6"/>
    <w:rsid w:val="00166253"/>
    <w:rsid w:val="001704B7"/>
    <w:rsid w:val="001710C0"/>
    <w:rsid w:val="00172AFB"/>
    <w:rsid w:val="001772B8"/>
    <w:rsid w:val="00180FBF"/>
    <w:rsid w:val="001820BA"/>
    <w:rsid w:val="00182CF4"/>
    <w:rsid w:val="00186CE1"/>
    <w:rsid w:val="00191F00"/>
    <w:rsid w:val="00192F12"/>
    <w:rsid w:val="00193F14"/>
    <w:rsid w:val="00197614"/>
    <w:rsid w:val="001A0312"/>
    <w:rsid w:val="001A15DA"/>
    <w:rsid w:val="001A2694"/>
    <w:rsid w:val="001A3CC7"/>
    <w:rsid w:val="001A69AC"/>
    <w:rsid w:val="001B536C"/>
    <w:rsid w:val="001B67D8"/>
    <w:rsid w:val="001B6F95"/>
    <w:rsid w:val="001C05A1"/>
    <w:rsid w:val="001C1D9E"/>
    <w:rsid w:val="001C7C3B"/>
    <w:rsid w:val="001D5B6F"/>
    <w:rsid w:val="001E0AB8"/>
    <w:rsid w:val="001E0EFC"/>
    <w:rsid w:val="001E26C4"/>
    <w:rsid w:val="001E38E0"/>
    <w:rsid w:val="001E4E72"/>
    <w:rsid w:val="001E62B3"/>
    <w:rsid w:val="001E7BC8"/>
    <w:rsid w:val="001F0171"/>
    <w:rsid w:val="001F06C9"/>
    <w:rsid w:val="001F0909"/>
    <w:rsid w:val="001F0D77"/>
    <w:rsid w:val="001F7DD8"/>
    <w:rsid w:val="00201928"/>
    <w:rsid w:val="00203E26"/>
    <w:rsid w:val="0020449C"/>
    <w:rsid w:val="0020780D"/>
    <w:rsid w:val="002113B8"/>
    <w:rsid w:val="00213E2D"/>
    <w:rsid w:val="00215665"/>
    <w:rsid w:val="0021603D"/>
    <w:rsid w:val="002163BB"/>
    <w:rsid w:val="0021792C"/>
    <w:rsid w:val="002240AB"/>
    <w:rsid w:val="00225E37"/>
    <w:rsid w:val="00233F0A"/>
    <w:rsid w:val="00242E3A"/>
    <w:rsid w:val="00245653"/>
    <w:rsid w:val="002506CF"/>
    <w:rsid w:val="0025107F"/>
    <w:rsid w:val="00260CD4"/>
    <w:rsid w:val="002639D8"/>
    <w:rsid w:val="00265EC8"/>
    <w:rsid w:val="00265F77"/>
    <w:rsid w:val="00266635"/>
    <w:rsid w:val="00266C83"/>
    <w:rsid w:val="00271D07"/>
    <w:rsid w:val="002768DC"/>
    <w:rsid w:val="00277665"/>
    <w:rsid w:val="00283718"/>
    <w:rsid w:val="0029431B"/>
    <w:rsid w:val="002A6C56"/>
    <w:rsid w:val="002B1D4E"/>
    <w:rsid w:val="002C090C"/>
    <w:rsid w:val="002C1243"/>
    <w:rsid w:val="002C1815"/>
    <w:rsid w:val="002C475E"/>
    <w:rsid w:val="002C4AF5"/>
    <w:rsid w:val="002C6AD6"/>
    <w:rsid w:val="002D6C2A"/>
    <w:rsid w:val="002D7A86"/>
    <w:rsid w:val="002F45FF"/>
    <w:rsid w:val="002F6D17"/>
    <w:rsid w:val="00302887"/>
    <w:rsid w:val="003056EB"/>
    <w:rsid w:val="00305C40"/>
    <w:rsid w:val="003071FF"/>
    <w:rsid w:val="00310652"/>
    <w:rsid w:val="0031371D"/>
    <w:rsid w:val="0031789F"/>
    <w:rsid w:val="00320788"/>
    <w:rsid w:val="0032159D"/>
    <w:rsid w:val="003233A3"/>
    <w:rsid w:val="0033364B"/>
    <w:rsid w:val="0034455D"/>
    <w:rsid w:val="0034604B"/>
    <w:rsid w:val="00346D17"/>
    <w:rsid w:val="00347972"/>
    <w:rsid w:val="0035469B"/>
    <w:rsid w:val="00355493"/>
    <w:rsid w:val="003559CC"/>
    <w:rsid w:val="003569D7"/>
    <w:rsid w:val="003608AC"/>
    <w:rsid w:val="0036465A"/>
    <w:rsid w:val="0036720C"/>
    <w:rsid w:val="00372AC7"/>
    <w:rsid w:val="00381968"/>
    <w:rsid w:val="00391C5F"/>
    <w:rsid w:val="00392C65"/>
    <w:rsid w:val="00392ED5"/>
    <w:rsid w:val="00397E48"/>
    <w:rsid w:val="003A19DC"/>
    <w:rsid w:val="003A1B45"/>
    <w:rsid w:val="003A220C"/>
    <w:rsid w:val="003A35C7"/>
    <w:rsid w:val="003A5844"/>
    <w:rsid w:val="003B36AB"/>
    <w:rsid w:val="003B46FC"/>
    <w:rsid w:val="003B5767"/>
    <w:rsid w:val="003B7605"/>
    <w:rsid w:val="003C08AA"/>
    <w:rsid w:val="003C2A7B"/>
    <w:rsid w:val="003C6BCA"/>
    <w:rsid w:val="003C7902"/>
    <w:rsid w:val="003D0BFF"/>
    <w:rsid w:val="003E2F01"/>
    <w:rsid w:val="003E53EF"/>
    <w:rsid w:val="003E5BE5"/>
    <w:rsid w:val="003F18D1"/>
    <w:rsid w:val="003F4F0E"/>
    <w:rsid w:val="003F6E06"/>
    <w:rsid w:val="00403C7A"/>
    <w:rsid w:val="004057A6"/>
    <w:rsid w:val="00406554"/>
    <w:rsid w:val="004131B0"/>
    <w:rsid w:val="00416C42"/>
    <w:rsid w:val="00421AEA"/>
    <w:rsid w:val="00422476"/>
    <w:rsid w:val="00423112"/>
    <w:rsid w:val="0042385C"/>
    <w:rsid w:val="00424FED"/>
    <w:rsid w:val="00431292"/>
    <w:rsid w:val="00431654"/>
    <w:rsid w:val="004345DD"/>
    <w:rsid w:val="00434926"/>
    <w:rsid w:val="00443ACE"/>
    <w:rsid w:val="00444217"/>
    <w:rsid w:val="004478F4"/>
    <w:rsid w:val="00450F7A"/>
    <w:rsid w:val="0045209F"/>
    <w:rsid w:val="00452C6D"/>
    <w:rsid w:val="00455E0B"/>
    <w:rsid w:val="004619DA"/>
    <w:rsid w:val="00462B9F"/>
    <w:rsid w:val="004659EE"/>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2C97"/>
    <w:rsid w:val="005146A6"/>
    <w:rsid w:val="00516142"/>
    <w:rsid w:val="00520027"/>
    <w:rsid w:val="0052093C"/>
    <w:rsid w:val="00521B31"/>
    <w:rsid w:val="00522469"/>
    <w:rsid w:val="00523BF8"/>
    <w:rsid w:val="0052400A"/>
    <w:rsid w:val="00525B1F"/>
    <w:rsid w:val="00536F43"/>
    <w:rsid w:val="00543CA3"/>
    <w:rsid w:val="00543E26"/>
    <w:rsid w:val="005510BA"/>
    <w:rsid w:val="005538A8"/>
    <w:rsid w:val="00554662"/>
    <w:rsid w:val="00554B4E"/>
    <w:rsid w:val="00556C02"/>
    <w:rsid w:val="00561BB2"/>
    <w:rsid w:val="00563249"/>
    <w:rsid w:val="005668B0"/>
    <w:rsid w:val="00570A65"/>
    <w:rsid w:val="005762B1"/>
    <w:rsid w:val="00580456"/>
    <w:rsid w:val="00580E73"/>
    <w:rsid w:val="00581ADA"/>
    <w:rsid w:val="005862E6"/>
    <w:rsid w:val="00593386"/>
    <w:rsid w:val="00596998"/>
    <w:rsid w:val="005A6E62"/>
    <w:rsid w:val="005D2B29"/>
    <w:rsid w:val="005D354A"/>
    <w:rsid w:val="005D6054"/>
    <w:rsid w:val="005E3235"/>
    <w:rsid w:val="005E4176"/>
    <w:rsid w:val="005E65B5"/>
    <w:rsid w:val="005F3AE9"/>
    <w:rsid w:val="006007BB"/>
    <w:rsid w:val="00601DC0"/>
    <w:rsid w:val="006034CB"/>
    <w:rsid w:val="006131CE"/>
    <w:rsid w:val="0061336B"/>
    <w:rsid w:val="006171C6"/>
    <w:rsid w:val="006176FC"/>
    <w:rsid w:val="0061770A"/>
    <w:rsid w:val="00617D6E"/>
    <w:rsid w:val="00622D61"/>
    <w:rsid w:val="0062377C"/>
    <w:rsid w:val="00624198"/>
    <w:rsid w:val="00626F0D"/>
    <w:rsid w:val="0064025C"/>
    <w:rsid w:val="006428E5"/>
    <w:rsid w:val="00644215"/>
    <w:rsid w:val="00644958"/>
    <w:rsid w:val="00656556"/>
    <w:rsid w:val="00664C9B"/>
    <w:rsid w:val="00672919"/>
    <w:rsid w:val="00673D5D"/>
    <w:rsid w:val="00673F32"/>
    <w:rsid w:val="006810DA"/>
    <w:rsid w:val="00686587"/>
    <w:rsid w:val="006904CF"/>
    <w:rsid w:val="00692B9C"/>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5CAC"/>
    <w:rsid w:val="006E31F8"/>
    <w:rsid w:val="006E372B"/>
    <w:rsid w:val="006E6581"/>
    <w:rsid w:val="006E71DF"/>
    <w:rsid w:val="006F1CC4"/>
    <w:rsid w:val="006F2976"/>
    <w:rsid w:val="006F2A86"/>
    <w:rsid w:val="006F3163"/>
    <w:rsid w:val="006F3542"/>
    <w:rsid w:val="006F3C1A"/>
    <w:rsid w:val="006F495A"/>
    <w:rsid w:val="00700F32"/>
    <w:rsid w:val="0070131F"/>
    <w:rsid w:val="00705FEC"/>
    <w:rsid w:val="0070610C"/>
    <w:rsid w:val="0071147A"/>
    <w:rsid w:val="0071185D"/>
    <w:rsid w:val="00721E01"/>
    <w:rsid w:val="007222AD"/>
    <w:rsid w:val="007267CF"/>
    <w:rsid w:val="00731F3F"/>
    <w:rsid w:val="00733BAB"/>
    <w:rsid w:val="00734E82"/>
    <w:rsid w:val="00737502"/>
    <w:rsid w:val="007436BF"/>
    <w:rsid w:val="007443E9"/>
    <w:rsid w:val="00745DCE"/>
    <w:rsid w:val="00753D89"/>
    <w:rsid w:val="00754C13"/>
    <w:rsid w:val="00755C9B"/>
    <w:rsid w:val="00760FE4"/>
    <w:rsid w:val="00763D8B"/>
    <w:rsid w:val="007657F6"/>
    <w:rsid w:val="00765E47"/>
    <w:rsid w:val="0076668B"/>
    <w:rsid w:val="0077125A"/>
    <w:rsid w:val="007755DF"/>
    <w:rsid w:val="0078405B"/>
    <w:rsid w:val="00786F58"/>
    <w:rsid w:val="00787CC1"/>
    <w:rsid w:val="007903CE"/>
    <w:rsid w:val="00792F4E"/>
    <w:rsid w:val="0079398D"/>
    <w:rsid w:val="00795C00"/>
    <w:rsid w:val="00796C25"/>
    <w:rsid w:val="007A287C"/>
    <w:rsid w:val="007A3B2A"/>
    <w:rsid w:val="007B5522"/>
    <w:rsid w:val="007B5A35"/>
    <w:rsid w:val="007C0EE0"/>
    <w:rsid w:val="007C1328"/>
    <w:rsid w:val="007C1B71"/>
    <w:rsid w:val="007C2FBB"/>
    <w:rsid w:val="007C7164"/>
    <w:rsid w:val="007C7645"/>
    <w:rsid w:val="007C7CB9"/>
    <w:rsid w:val="007D1984"/>
    <w:rsid w:val="007D2AFE"/>
    <w:rsid w:val="007E3264"/>
    <w:rsid w:val="007E3FEA"/>
    <w:rsid w:val="007F0A0B"/>
    <w:rsid w:val="007F3A60"/>
    <w:rsid w:val="007F3D0B"/>
    <w:rsid w:val="007F7C94"/>
    <w:rsid w:val="008001AE"/>
    <w:rsid w:val="00810E4B"/>
    <w:rsid w:val="00813D0C"/>
    <w:rsid w:val="00814BAA"/>
    <w:rsid w:val="008169C2"/>
    <w:rsid w:val="008201C6"/>
    <w:rsid w:val="00824295"/>
    <w:rsid w:val="00825F57"/>
    <w:rsid w:val="00830473"/>
    <w:rsid w:val="008313F3"/>
    <w:rsid w:val="008405BB"/>
    <w:rsid w:val="00846494"/>
    <w:rsid w:val="00847B20"/>
    <w:rsid w:val="008509D3"/>
    <w:rsid w:val="00853418"/>
    <w:rsid w:val="00857CF6"/>
    <w:rsid w:val="008610ED"/>
    <w:rsid w:val="00861C6A"/>
    <w:rsid w:val="008623D2"/>
    <w:rsid w:val="00862F97"/>
    <w:rsid w:val="00865199"/>
    <w:rsid w:val="00867EAF"/>
    <w:rsid w:val="008713EA"/>
    <w:rsid w:val="00873C6B"/>
    <w:rsid w:val="00880B86"/>
    <w:rsid w:val="0088426A"/>
    <w:rsid w:val="008852BA"/>
    <w:rsid w:val="00890108"/>
    <w:rsid w:val="00890E62"/>
    <w:rsid w:val="00893877"/>
    <w:rsid w:val="0089532C"/>
    <w:rsid w:val="00896165"/>
    <w:rsid w:val="00896681"/>
    <w:rsid w:val="008A2749"/>
    <w:rsid w:val="008A3A90"/>
    <w:rsid w:val="008A5CC9"/>
    <w:rsid w:val="008B06D4"/>
    <w:rsid w:val="008B4F20"/>
    <w:rsid w:val="008B7FFD"/>
    <w:rsid w:val="008C0998"/>
    <w:rsid w:val="008C2920"/>
    <w:rsid w:val="008C4307"/>
    <w:rsid w:val="008D23DF"/>
    <w:rsid w:val="008D251E"/>
    <w:rsid w:val="008D380E"/>
    <w:rsid w:val="008D73BF"/>
    <w:rsid w:val="008D7F09"/>
    <w:rsid w:val="008E5B64"/>
    <w:rsid w:val="008E64C4"/>
    <w:rsid w:val="008E7DAA"/>
    <w:rsid w:val="008F0094"/>
    <w:rsid w:val="008F340F"/>
    <w:rsid w:val="00903523"/>
    <w:rsid w:val="0090659A"/>
    <w:rsid w:val="00911080"/>
    <w:rsid w:val="009113A5"/>
    <w:rsid w:val="00911571"/>
    <w:rsid w:val="009134D0"/>
    <w:rsid w:val="00915986"/>
    <w:rsid w:val="00917624"/>
    <w:rsid w:val="00922062"/>
    <w:rsid w:val="00923E1E"/>
    <w:rsid w:val="00925F3C"/>
    <w:rsid w:val="009263B4"/>
    <w:rsid w:val="00930386"/>
    <w:rsid w:val="009309F5"/>
    <w:rsid w:val="00933237"/>
    <w:rsid w:val="00933F28"/>
    <w:rsid w:val="00936F7A"/>
    <w:rsid w:val="009476C0"/>
    <w:rsid w:val="00963E34"/>
    <w:rsid w:val="00964DFA"/>
    <w:rsid w:val="0097026A"/>
    <w:rsid w:val="00977BCD"/>
    <w:rsid w:val="0098155C"/>
    <w:rsid w:val="00983B77"/>
    <w:rsid w:val="00996053"/>
    <w:rsid w:val="00996111"/>
    <w:rsid w:val="00996181"/>
    <w:rsid w:val="009A0B2F"/>
    <w:rsid w:val="009A1CF4"/>
    <w:rsid w:val="009A29AC"/>
    <w:rsid w:val="009A37D7"/>
    <w:rsid w:val="009A4E17"/>
    <w:rsid w:val="009A6955"/>
    <w:rsid w:val="009A6C3E"/>
    <w:rsid w:val="009B341C"/>
    <w:rsid w:val="009B5747"/>
    <w:rsid w:val="009D2C27"/>
    <w:rsid w:val="009D2C3E"/>
    <w:rsid w:val="009E2309"/>
    <w:rsid w:val="009E42B9"/>
    <w:rsid w:val="009F4C2E"/>
    <w:rsid w:val="00A014A3"/>
    <w:rsid w:val="00A0412D"/>
    <w:rsid w:val="00A21211"/>
    <w:rsid w:val="00A34E7F"/>
    <w:rsid w:val="00A34FCB"/>
    <w:rsid w:val="00A40ED8"/>
    <w:rsid w:val="00A46F0A"/>
    <w:rsid w:val="00A46F25"/>
    <w:rsid w:val="00A47CC2"/>
    <w:rsid w:val="00A502BA"/>
    <w:rsid w:val="00A52EB5"/>
    <w:rsid w:val="00A60146"/>
    <w:rsid w:val="00A622C4"/>
    <w:rsid w:val="00A6283D"/>
    <w:rsid w:val="00A72B1E"/>
    <w:rsid w:val="00A754B4"/>
    <w:rsid w:val="00A807C1"/>
    <w:rsid w:val="00A83230"/>
    <w:rsid w:val="00A83374"/>
    <w:rsid w:val="00A939A0"/>
    <w:rsid w:val="00A96172"/>
    <w:rsid w:val="00A97C5F"/>
    <w:rsid w:val="00AA2AF0"/>
    <w:rsid w:val="00AA7B04"/>
    <w:rsid w:val="00AB0D6A"/>
    <w:rsid w:val="00AB43B3"/>
    <w:rsid w:val="00AB49B9"/>
    <w:rsid w:val="00AB758A"/>
    <w:rsid w:val="00AB7932"/>
    <w:rsid w:val="00AC027E"/>
    <w:rsid w:val="00AC1E7E"/>
    <w:rsid w:val="00AC441A"/>
    <w:rsid w:val="00AC507D"/>
    <w:rsid w:val="00AC66E4"/>
    <w:rsid w:val="00AD04F2"/>
    <w:rsid w:val="00AD4578"/>
    <w:rsid w:val="00AD6421"/>
    <w:rsid w:val="00AD68E9"/>
    <w:rsid w:val="00AE56C0"/>
    <w:rsid w:val="00B00914"/>
    <w:rsid w:val="00B02A8E"/>
    <w:rsid w:val="00B052EE"/>
    <w:rsid w:val="00B1081F"/>
    <w:rsid w:val="00B10A16"/>
    <w:rsid w:val="00B27499"/>
    <w:rsid w:val="00B27B5F"/>
    <w:rsid w:val="00B3010D"/>
    <w:rsid w:val="00B35151"/>
    <w:rsid w:val="00B427B2"/>
    <w:rsid w:val="00B433F2"/>
    <w:rsid w:val="00B458E8"/>
    <w:rsid w:val="00B50472"/>
    <w:rsid w:val="00B5397B"/>
    <w:rsid w:val="00B53EE9"/>
    <w:rsid w:val="00B57A66"/>
    <w:rsid w:val="00B62809"/>
    <w:rsid w:val="00B7675A"/>
    <w:rsid w:val="00B81898"/>
    <w:rsid w:val="00B83D07"/>
    <w:rsid w:val="00B8606B"/>
    <w:rsid w:val="00B878E7"/>
    <w:rsid w:val="00B97278"/>
    <w:rsid w:val="00B97943"/>
    <w:rsid w:val="00BA1114"/>
    <w:rsid w:val="00BA157F"/>
    <w:rsid w:val="00BA1D0B"/>
    <w:rsid w:val="00BA6972"/>
    <w:rsid w:val="00BB1289"/>
    <w:rsid w:val="00BB1E0D"/>
    <w:rsid w:val="00BB4D9B"/>
    <w:rsid w:val="00BB73FF"/>
    <w:rsid w:val="00BB7688"/>
    <w:rsid w:val="00BC3004"/>
    <w:rsid w:val="00BC7CAC"/>
    <w:rsid w:val="00BD6D76"/>
    <w:rsid w:val="00BE56B3"/>
    <w:rsid w:val="00BE676D"/>
    <w:rsid w:val="00BF04E8"/>
    <w:rsid w:val="00BF16BF"/>
    <w:rsid w:val="00BF4D1F"/>
    <w:rsid w:val="00C02A73"/>
    <w:rsid w:val="00C063D2"/>
    <w:rsid w:val="00C07FD9"/>
    <w:rsid w:val="00C10955"/>
    <w:rsid w:val="00C11C4D"/>
    <w:rsid w:val="00C165AF"/>
    <w:rsid w:val="00C16D86"/>
    <w:rsid w:val="00C16E12"/>
    <w:rsid w:val="00C1712C"/>
    <w:rsid w:val="00C23E16"/>
    <w:rsid w:val="00C27E37"/>
    <w:rsid w:val="00C32713"/>
    <w:rsid w:val="00C351B8"/>
    <w:rsid w:val="00C410D9"/>
    <w:rsid w:val="00C43F59"/>
    <w:rsid w:val="00C44DB7"/>
    <w:rsid w:val="00C4510A"/>
    <w:rsid w:val="00C47F2E"/>
    <w:rsid w:val="00C52BA6"/>
    <w:rsid w:val="00C57A1A"/>
    <w:rsid w:val="00C60681"/>
    <w:rsid w:val="00C6258F"/>
    <w:rsid w:val="00C63DF6"/>
    <w:rsid w:val="00C63E58"/>
    <w:rsid w:val="00C6495E"/>
    <w:rsid w:val="00C670EE"/>
    <w:rsid w:val="00C67E3B"/>
    <w:rsid w:val="00C732BD"/>
    <w:rsid w:val="00C737EC"/>
    <w:rsid w:val="00C76571"/>
    <w:rsid w:val="00C872E4"/>
    <w:rsid w:val="00C90311"/>
    <w:rsid w:val="00C91C26"/>
    <w:rsid w:val="00C96FC2"/>
    <w:rsid w:val="00CA73D5"/>
    <w:rsid w:val="00CB166A"/>
    <w:rsid w:val="00CB3B84"/>
    <w:rsid w:val="00CC1C87"/>
    <w:rsid w:val="00CC2C93"/>
    <w:rsid w:val="00CC3000"/>
    <w:rsid w:val="00CC4859"/>
    <w:rsid w:val="00CC6E40"/>
    <w:rsid w:val="00CC7A35"/>
    <w:rsid w:val="00CD072A"/>
    <w:rsid w:val="00CD496A"/>
    <w:rsid w:val="00CD7F73"/>
    <w:rsid w:val="00CE26C5"/>
    <w:rsid w:val="00CE36AF"/>
    <w:rsid w:val="00CE54DD"/>
    <w:rsid w:val="00CE704C"/>
    <w:rsid w:val="00CF0DA5"/>
    <w:rsid w:val="00CF1855"/>
    <w:rsid w:val="00CF5D31"/>
    <w:rsid w:val="00CF5F3B"/>
    <w:rsid w:val="00CF791A"/>
    <w:rsid w:val="00D00D7D"/>
    <w:rsid w:val="00D01A63"/>
    <w:rsid w:val="00D139C8"/>
    <w:rsid w:val="00D17F81"/>
    <w:rsid w:val="00D2758C"/>
    <w:rsid w:val="00D275CA"/>
    <w:rsid w:val="00D2789B"/>
    <w:rsid w:val="00D345AB"/>
    <w:rsid w:val="00D34BC1"/>
    <w:rsid w:val="00D41566"/>
    <w:rsid w:val="00D429A0"/>
    <w:rsid w:val="00D458EC"/>
    <w:rsid w:val="00D501B0"/>
    <w:rsid w:val="00D515DA"/>
    <w:rsid w:val="00D52582"/>
    <w:rsid w:val="00D56A0E"/>
    <w:rsid w:val="00D5781E"/>
    <w:rsid w:val="00D57AD3"/>
    <w:rsid w:val="00D635FE"/>
    <w:rsid w:val="00D729DE"/>
    <w:rsid w:val="00D75B6A"/>
    <w:rsid w:val="00D84BDA"/>
    <w:rsid w:val="00D876A8"/>
    <w:rsid w:val="00D87F26"/>
    <w:rsid w:val="00D93063"/>
    <w:rsid w:val="00D933B0"/>
    <w:rsid w:val="00D93ADC"/>
    <w:rsid w:val="00D977E8"/>
    <w:rsid w:val="00D97B16"/>
    <w:rsid w:val="00DA179F"/>
    <w:rsid w:val="00DB1C89"/>
    <w:rsid w:val="00DB3763"/>
    <w:rsid w:val="00DB4029"/>
    <w:rsid w:val="00DB5F4D"/>
    <w:rsid w:val="00DB6DA5"/>
    <w:rsid w:val="00DC076B"/>
    <w:rsid w:val="00DC10A4"/>
    <w:rsid w:val="00DC186F"/>
    <w:rsid w:val="00DC252F"/>
    <w:rsid w:val="00DC4761"/>
    <w:rsid w:val="00DC4EB6"/>
    <w:rsid w:val="00DC6050"/>
    <w:rsid w:val="00DD43EA"/>
    <w:rsid w:val="00DD75B6"/>
    <w:rsid w:val="00DE6291"/>
    <w:rsid w:val="00DE6F44"/>
    <w:rsid w:val="00DF0BF9"/>
    <w:rsid w:val="00E037D9"/>
    <w:rsid w:val="00E04927"/>
    <w:rsid w:val="00E130EB"/>
    <w:rsid w:val="00E162CD"/>
    <w:rsid w:val="00E17FA5"/>
    <w:rsid w:val="00E26930"/>
    <w:rsid w:val="00E27257"/>
    <w:rsid w:val="00E44426"/>
    <w:rsid w:val="00E449D0"/>
    <w:rsid w:val="00E4506A"/>
    <w:rsid w:val="00E53F99"/>
    <w:rsid w:val="00E56510"/>
    <w:rsid w:val="00E62EA8"/>
    <w:rsid w:val="00E67A6E"/>
    <w:rsid w:val="00E67CAB"/>
    <w:rsid w:val="00E71B43"/>
    <w:rsid w:val="00E81612"/>
    <w:rsid w:val="00E87D18"/>
    <w:rsid w:val="00E87D62"/>
    <w:rsid w:val="00E9055D"/>
    <w:rsid w:val="00EA05BC"/>
    <w:rsid w:val="00EA486E"/>
    <w:rsid w:val="00EA4FA3"/>
    <w:rsid w:val="00EA6136"/>
    <w:rsid w:val="00EB001B"/>
    <w:rsid w:val="00EB3082"/>
    <w:rsid w:val="00EB6C33"/>
    <w:rsid w:val="00ED6019"/>
    <w:rsid w:val="00ED7830"/>
    <w:rsid w:val="00EE3909"/>
    <w:rsid w:val="00EF4205"/>
    <w:rsid w:val="00EF5939"/>
    <w:rsid w:val="00F00E4C"/>
    <w:rsid w:val="00F01714"/>
    <w:rsid w:val="00F0258F"/>
    <w:rsid w:val="00F02D06"/>
    <w:rsid w:val="00F056E5"/>
    <w:rsid w:val="00F06FDD"/>
    <w:rsid w:val="00F104CF"/>
    <w:rsid w:val="00F10819"/>
    <w:rsid w:val="00F16F35"/>
    <w:rsid w:val="00F1713E"/>
    <w:rsid w:val="00F2229D"/>
    <w:rsid w:val="00F25ABB"/>
    <w:rsid w:val="00F27963"/>
    <w:rsid w:val="00F30103"/>
    <w:rsid w:val="00F30446"/>
    <w:rsid w:val="00F4135D"/>
    <w:rsid w:val="00F41F1B"/>
    <w:rsid w:val="00F46BD9"/>
    <w:rsid w:val="00F60BE0"/>
    <w:rsid w:val="00F6280E"/>
    <w:rsid w:val="00F7050A"/>
    <w:rsid w:val="00F75533"/>
    <w:rsid w:val="00F809DC"/>
    <w:rsid w:val="00F81043"/>
    <w:rsid w:val="00F86EB0"/>
    <w:rsid w:val="00F91B41"/>
    <w:rsid w:val="00FA0419"/>
    <w:rsid w:val="00FA3811"/>
    <w:rsid w:val="00FA3B9F"/>
    <w:rsid w:val="00FA3F06"/>
    <w:rsid w:val="00FA4A26"/>
    <w:rsid w:val="00FA7084"/>
    <w:rsid w:val="00FA7BEF"/>
    <w:rsid w:val="00FB1929"/>
    <w:rsid w:val="00FB3176"/>
    <w:rsid w:val="00FB5FD9"/>
    <w:rsid w:val="00FC32E8"/>
    <w:rsid w:val="00FD33AB"/>
    <w:rsid w:val="00FD4724"/>
    <w:rsid w:val="00FD4A68"/>
    <w:rsid w:val="00FD68ED"/>
    <w:rsid w:val="00FD6A0C"/>
    <w:rsid w:val="00FE0ACE"/>
    <w:rsid w:val="00FE11CB"/>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docId w15:val="{E0E751B5-F1D7-4817-8164-5D2A3A8A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fr-FR" w:eastAsia="fr-FR" w:bidi="fr-FR"/>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644215"/>
    <w:pPr>
      <w:spacing w:before="60" w:after="60" w:line="276" w:lineRule="auto"/>
    </w:pPr>
    <w:rPr>
      <w:sz w:val="22"/>
      <w:szCs w:val="22"/>
    </w:rPr>
  </w:style>
  <w:style w:type="paragraph" w:styleId="Titre1">
    <w:name w:val="heading 1"/>
    <w:basedOn w:val="Normal"/>
    <w:next w:val="Normal"/>
    <w:link w:val="Titre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Titre3">
    <w:name w:val="heading 3"/>
    <w:basedOn w:val="Normal"/>
    <w:next w:val="Normal"/>
    <w:link w:val="Titre3Car"/>
    <w:uiPriority w:val="9"/>
    <w:semiHidden/>
    <w:unhideWhenUsed/>
    <w:qFormat/>
    <w:rsid w:val="008201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6007BB"/>
    <w:rPr>
      <w:rFonts w:ascii="Cambria" w:eastAsia="Times New Roman" w:hAnsi="Cambria" w:cs="Times New Roman"/>
      <w:b/>
      <w:bCs/>
      <w:color w:val="365F91"/>
      <w:sz w:val="28"/>
      <w:szCs w:val="28"/>
    </w:rPr>
  </w:style>
  <w:style w:type="character" w:customStyle="1" w:styleId="Titre2Car">
    <w:name w:val="Titre 2 Car"/>
    <w:link w:val="Titre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Titre1"/>
    <w:next w:val="Normal"/>
    <w:qFormat/>
    <w:rsid w:val="007B5A35"/>
    <w:pPr>
      <w:numPr>
        <w:numId w:val="4"/>
      </w:numPr>
      <w:spacing w:before="240" w:after="120" w:line="240" w:lineRule="auto"/>
    </w:pPr>
    <w:rPr>
      <w:rFonts w:ascii="Arial" w:hAnsi="Arial"/>
      <w:bCs w:val="0"/>
      <w:iCs/>
      <w:color w:val="auto"/>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644215"/>
    <w:pPr>
      <w:keepNext/>
      <w:numPr>
        <w:ilvl w:val="1"/>
        <w:numId w:val="2"/>
      </w:numPr>
      <w:spacing w:before="240" w:after="120"/>
    </w:pPr>
    <w:rPr>
      <w:b/>
    </w:rPr>
  </w:style>
  <w:style w:type="paragraph" w:styleId="En-tte">
    <w:name w:val="header"/>
    <w:basedOn w:val="Normal"/>
    <w:link w:val="En-tteCar"/>
    <w:uiPriority w:val="99"/>
    <w:unhideWhenUsed/>
    <w:rsid w:val="0090659A"/>
    <w:pPr>
      <w:tabs>
        <w:tab w:val="center" w:pos="4680"/>
        <w:tab w:val="right" w:pos="9360"/>
      </w:tabs>
      <w:spacing w:after="0" w:line="240" w:lineRule="auto"/>
    </w:pPr>
  </w:style>
  <w:style w:type="character" w:customStyle="1" w:styleId="En-tteCar">
    <w:name w:val="En-tête Car"/>
    <w:basedOn w:val="Policepardfaut"/>
    <w:link w:val="En-tte"/>
    <w:uiPriority w:val="99"/>
    <w:rsid w:val="0090659A"/>
  </w:style>
  <w:style w:type="paragraph" w:styleId="Pieddepage">
    <w:name w:val="footer"/>
    <w:basedOn w:val="Normal"/>
    <w:link w:val="PieddepageCar"/>
    <w:autoRedefine/>
    <w:uiPriority w:val="99"/>
    <w:unhideWhenUsed/>
    <w:rsid w:val="00163164"/>
    <w:pPr>
      <w:tabs>
        <w:tab w:val="right" w:pos="10080"/>
      </w:tabs>
      <w:spacing w:after="0" w:line="240" w:lineRule="auto"/>
    </w:pPr>
    <w:rPr>
      <w:sz w:val="16"/>
    </w:rPr>
  </w:style>
  <w:style w:type="character" w:customStyle="1" w:styleId="PieddepageCar">
    <w:name w:val="Pied de page Car"/>
    <w:link w:val="Pieddepage"/>
    <w:uiPriority w:val="99"/>
    <w:rsid w:val="00163164"/>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C43F59"/>
    <w:pPr>
      <w:spacing w:line="240" w:lineRule="auto"/>
    </w:pPr>
    <w:rPr>
      <w:color w:val="FF0000"/>
      <w:sz w:val="20"/>
    </w:rPr>
  </w:style>
  <w:style w:type="paragraph" w:customStyle="1" w:styleId="PartHead">
    <w:name w:val="Part Head"/>
    <w:basedOn w:val="Paragraphedeliste"/>
    <w:next w:val="BodyTextL25"/>
    <w:qFormat/>
    <w:rsid w:val="00644215"/>
    <w:pPr>
      <w:keepNext/>
      <w:numPr>
        <w:numId w:val="2"/>
      </w:numPr>
      <w:spacing w:before="240"/>
      <w:outlineLvl w:val="0"/>
    </w:pPr>
    <w:rPr>
      <w:b/>
      <w:sz w:val="28"/>
    </w:rPr>
  </w:style>
  <w:style w:type="paragraph" w:customStyle="1" w:styleId="SubStepAlpha">
    <w:name w:val="SubStep Alpha"/>
    <w:basedOn w:val="Normal"/>
    <w:qFormat/>
    <w:rsid w:val="0064421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C43F59"/>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644215"/>
    <w:pPr>
      <w:numPr>
        <w:ilvl w:val="3"/>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AC507D"/>
    <w:pPr>
      <w:numPr>
        <w:numId w:val="1"/>
      </w:numPr>
    </w:pPr>
  </w:style>
  <w:style w:type="numbering" w:customStyle="1" w:styleId="PartStepSubStepList">
    <w:name w:val="Part_Step_SubStep_List"/>
    <w:basedOn w:val="Aucuneliste"/>
    <w:uiPriority w:val="99"/>
    <w:rsid w:val="00644215"/>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aragraphedeliste">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uiPriority w:val="99"/>
    <w:semiHidden/>
    <w:unhideWhenUsed/>
    <w:rsid w:val="000B2344"/>
    <w:rPr>
      <w:sz w:val="16"/>
      <w:szCs w:val="16"/>
    </w:rPr>
  </w:style>
  <w:style w:type="paragraph" w:styleId="Commentaire">
    <w:name w:val="annotation text"/>
    <w:basedOn w:val="Normal"/>
    <w:link w:val="CommentaireCar"/>
    <w:uiPriority w:val="99"/>
    <w:semiHidden/>
    <w:unhideWhenUsed/>
    <w:rsid w:val="000B2344"/>
    <w:rPr>
      <w:sz w:val="20"/>
      <w:szCs w:val="20"/>
    </w:rPr>
  </w:style>
  <w:style w:type="character" w:customStyle="1" w:styleId="CommentaireCar">
    <w:name w:val="Commentaire Car"/>
    <w:basedOn w:val="Policepardfaut"/>
    <w:link w:val="Commentaire"/>
    <w:uiPriority w:val="99"/>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ucuneliste"/>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hAnsi="Times New Roman"/>
      <w:sz w:val="24"/>
      <w:szCs w:val="24"/>
    </w:rPr>
  </w:style>
  <w:style w:type="character" w:styleId="Lienhypertexte">
    <w:name w:val="Hyperlink"/>
    <w:basedOn w:val="Policepardfaut"/>
    <w:uiPriority w:val="99"/>
    <w:unhideWhenUsed/>
    <w:rsid w:val="006176FC"/>
    <w:rPr>
      <w:color w:val="0000FF" w:themeColor="hyperlink"/>
      <w:u w:val="single"/>
    </w:rPr>
  </w:style>
  <w:style w:type="character" w:styleId="Lienhypertextesuivivisit">
    <w:name w:val="FollowedHyperlink"/>
    <w:basedOn w:val="Policepardfaut"/>
    <w:uiPriority w:val="99"/>
    <w:semiHidden/>
    <w:unhideWhenUsed/>
    <w:rsid w:val="001E7BC8"/>
    <w:rPr>
      <w:color w:val="800080" w:themeColor="followedHyperlink"/>
      <w:u w:val="single"/>
    </w:rPr>
  </w:style>
  <w:style w:type="paragraph" w:styleId="Rvision">
    <w:name w:val="Revision"/>
    <w:hidden/>
    <w:uiPriority w:val="99"/>
    <w:semiHidden/>
    <w:rsid w:val="001E0EFC"/>
    <w:rPr>
      <w:sz w:val="22"/>
      <w:szCs w:val="22"/>
    </w:rPr>
  </w:style>
  <w:style w:type="character" w:customStyle="1" w:styleId="Titre3Car">
    <w:name w:val="Titre 3 Car"/>
    <w:basedOn w:val="Policepardfaut"/>
    <w:link w:val="Titre3"/>
    <w:uiPriority w:val="9"/>
    <w:semiHidden/>
    <w:rsid w:val="008201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magazine.com/attacker-accesses-5200-neiman-marcus-group-customer-accounts/article/470237/"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virginia.edu/informationsecurity/Jan-22-incident-FAQs/" TargetMode="External"/><Relationship Id="rId4" Type="http://schemas.openxmlformats.org/officeDocument/2006/relationships/settings" Target="settings.xml"/><Relationship Id="rId9" Type="http://schemas.openxmlformats.org/officeDocument/2006/relationships/hyperlink" Target="http://www.scmagazine.com/missing-drives-contained-phi-on-950k-centene-customers/article/467860/"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2DFEA8-3B4B-4966-827E-BB2DB108D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Template>
  <TotalTime>1</TotalTime>
  <Pages>2</Pages>
  <Words>446</Words>
  <Characters>2456</Characters>
  <Application>Microsoft Office Word</Application>
  <DocSecurity>4</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EL-IDRISSI RAHALI</cp:lastModifiedBy>
  <cp:revision>2</cp:revision>
  <cp:lastPrinted>2013-09-30T21:05:00Z</cp:lastPrinted>
  <dcterms:created xsi:type="dcterms:W3CDTF">2017-03-29T09:15:00Z</dcterms:created>
  <dcterms:modified xsi:type="dcterms:W3CDTF">2017-03-29T09:15:00Z</dcterms:modified>
</cp:coreProperties>
</file>