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F62" w:rsidRDefault="00B9552D">
      <w:pPr>
        <w:pStyle w:val="Heading1"/>
        <w:spacing w:before="77"/>
        <w:ind w:left="15"/>
      </w:pPr>
      <w:r>
        <w:t>Digital</w:t>
      </w:r>
      <w:r>
        <w:rPr>
          <w:spacing w:val="-4"/>
        </w:rPr>
        <w:t xml:space="preserve"> </w:t>
      </w:r>
      <w:r>
        <w:t>Transformation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Mediterranean</w:t>
      </w:r>
      <w:r>
        <w:rPr>
          <w:spacing w:val="-4"/>
        </w:rPr>
        <w:t xml:space="preserve"> </w:t>
      </w:r>
      <w:r>
        <w:t>Ports:</w:t>
      </w:r>
      <w:r>
        <w:rPr>
          <w:spacing w:val="-7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 xml:space="preserve">Sustainable Performance </w:t>
      </w:r>
      <w:proofErr w:type="gramStart"/>
      <w:r>
        <w:t>Through</w:t>
      </w:r>
      <w:proofErr w:type="gramEnd"/>
      <w:r>
        <w:t xml:space="preserve"> the Perspective of the TOE Framework and Sustainable Innovation Capabilities</w:t>
      </w:r>
    </w:p>
    <w:p w:rsidR="00E64F62" w:rsidRDefault="00E64F62">
      <w:pPr>
        <w:pStyle w:val="BodyText"/>
        <w:ind w:left="0"/>
        <w:jc w:val="left"/>
        <w:rPr>
          <w:b/>
          <w:sz w:val="28"/>
        </w:rPr>
      </w:pPr>
    </w:p>
    <w:p w:rsidR="00E64F62" w:rsidRDefault="00E64F62">
      <w:pPr>
        <w:pStyle w:val="BodyText"/>
        <w:spacing w:before="305"/>
        <w:ind w:left="0"/>
        <w:jc w:val="left"/>
        <w:rPr>
          <w:b/>
          <w:sz w:val="28"/>
        </w:rPr>
      </w:pPr>
    </w:p>
    <w:p w:rsidR="00E64F62" w:rsidRDefault="00B9552D" w:rsidP="00B9552D">
      <w:pPr>
        <w:ind w:left="20" w:right="20"/>
        <w:jc w:val="center"/>
        <w:rPr>
          <w:sz w:val="16"/>
        </w:rPr>
      </w:pPr>
      <w:r>
        <w:rPr>
          <w:position w:val="-8"/>
          <w:sz w:val="24"/>
        </w:rPr>
        <w:t>AAKAOU</w:t>
      </w:r>
      <w:r>
        <w:rPr>
          <w:spacing w:val="-12"/>
          <w:position w:val="-8"/>
          <w:sz w:val="24"/>
        </w:rPr>
        <w:t xml:space="preserve"> </w:t>
      </w:r>
      <w:proofErr w:type="spellStart"/>
      <w:proofErr w:type="gramStart"/>
      <w:r>
        <w:rPr>
          <w:position w:val="-8"/>
          <w:sz w:val="24"/>
        </w:rPr>
        <w:t>Asmae</w:t>
      </w:r>
      <w:proofErr w:type="spellEnd"/>
      <w:r>
        <w:rPr>
          <w:sz w:val="16"/>
        </w:rPr>
        <w:t>1[</w:t>
      </w:r>
      <w:proofErr w:type="gramEnd"/>
      <w:r>
        <w:rPr>
          <w:sz w:val="16"/>
        </w:rPr>
        <w:t>0009-0009-1669-2906]</w:t>
      </w:r>
      <w:r>
        <w:rPr>
          <w:spacing w:val="8"/>
          <w:sz w:val="16"/>
        </w:rPr>
        <w:t xml:space="preserve"> </w:t>
      </w:r>
      <w:r>
        <w:rPr>
          <w:position w:val="-8"/>
          <w:sz w:val="24"/>
        </w:rPr>
        <w:t>and</w:t>
      </w:r>
      <w:r>
        <w:rPr>
          <w:spacing w:val="-11"/>
          <w:position w:val="-8"/>
          <w:sz w:val="24"/>
        </w:rPr>
        <w:t xml:space="preserve"> </w:t>
      </w:r>
      <w:r>
        <w:rPr>
          <w:position w:val="-8"/>
          <w:sz w:val="24"/>
        </w:rPr>
        <w:t>SERROUKH</w:t>
      </w:r>
      <w:r>
        <w:rPr>
          <w:spacing w:val="-11"/>
          <w:position w:val="-8"/>
          <w:sz w:val="24"/>
        </w:rPr>
        <w:t xml:space="preserve"> </w:t>
      </w:r>
      <w:proofErr w:type="spellStart"/>
      <w:r w:rsidRPr="00B9552D">
        <w:rPr>
          <w:position w:val="-8"/>
          <w:sz w:val="24"/>
        </w:rPr>
        <w:t>Bouchra</w:t>
      </w:r>
      <w:proofErr w:type="spellEnd"/>
      <w:r>
        <w:rPr>
          <w:sz w:val="16"/>
        </w:rPr>
        <w:t>2[0009-0001-3875-</w:t>
      </w:r>
      <w:r>
        <w:rPr>
          <w:spacing w:val="-2"/>
          <w:sz w:val="16"/>
        </w:rPr>
        <w:t>8226]</w:t>
      </w:r>
    </w:p>
    <w:p w:rsidR="00E64F62" w:rsidRDefault="00B9552D" w:rsidP="00B9552D">
      <w:pPr>
        <w:ind w:left="1728" w:right="1689"/>
        <w:jc w:val="center"/>
        <w:rPr>
          <w:sz w:val="24"/>
        </w:rPr>
      </w:pPr>
      <w:r>
        <w:rPr>
          <w:sz w:val="24"/>
        </w:rPr>
        <w:t>LAHRACH</w:t>
      </w:r>
      <w:r>
        <w:rPr>
          <w:spacing w:val="-5"/>
          <w:sz w:val="24"/>
        </w:rPr>
        <w:t xml:space="preserve"> </w:t>
      </w:r>
      <w:r>
        <w:rPr>
          <w:sz w:val="24"/>
        </w:rPr>
        <w:t>Rahhal</w:t>
      </w:r>
      <w:r>
        <w:rPr>
          <w:sz w:val="24"/>
          <w:vertAlign w:val="superscript"/>
        </w:rPr>
        <w:t>3</w:t>
      </w:r>
      <w:r>
        <w:rPr>
          <w:spacing w:val="80"/>
          <w:sz w:val="24"/>
        </w:rPr>
        <w:t xml:space="preserve"> </w:t>
      </w:r>
      <w:r>
        <w:rPr>
          <w:sz w:val="24"/>
          <w:vertAlign w:val="superscript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KHAZZAR</w:t>
      </w:r>
      <w:r>
        <w:rPr>
          <w:spacing w:val="-5"/>
          <w:sz w:val="24"/>
        </w:rPr>
        <w:t xml:space="preserve"> </w:t>
      </w:r>
      <w:r>
        <w:rPr>
          <w:sz w:val="24"/>
        </w:rPr>
        <w:t>Aziz</w:t>
      </w:r>
      <w:r>
        <w:rPr>
          <w:sz w:val="24"/>
          <w:vertAlign w:val="superscript"/>
        </w:rPr>
        <w:t>4</w:t>
      </w:r>
      <w:r>
        <w:rPr>
          <w:sz w:val="24"/>
        </w:rPr>
        <w:t xml:space="preserve"> KORIKACHE Mohammed Réda</w:t>
      </w:r>
      <w:r>
        <w:rPr>
          <w:sz w:val="24"/>
          <w:vertAlign w:val="superscript"/>
        </w:rPr>
        <w:t>5</w:t>
      </w:r>
    </w:p>
    <w:p w:rsidR="00E64F62" w:rsidRDefault="00E64F62">
      <w:pPr>
        <w:pStyle w:val="BodyText"/>
        <w:ind w:left="0"/>
        <w:jc w:val="left"/>
        <w:rPr>
          <w:sz w:val="24"/>
        </w:rPr>
      </w:pPr>
    </w:p>
    <w:p w:rsidR="00E64F62" w:rsidRDefault="00E64F62">
      <w:pPr>
        <w:pStyle w:val="BodyText"/>
        <w:spacing w:before="16"/>
        <w:ind w:left="0"/>
        <w:jc w:val="left"/>
        <w:rPr>
          <w:sz w:val="24"/>
        </w:rPr>
      </w:pPr>
    </w:p>
    <w:p w:rsidR="00E64F62" w:rsidRDefault="00B9552D">
      <w:pPr>
        <w:pStyle w:val="Heading1"/>
        <w:ind w:left="21"/>
      </w:pPr>
      <w:r>
        <w:rPr>
          <w:spacing w:val="-2"/>
        </w:rPr>
        <w:t>Abstract</w:t>
      </w:r>
    </w:p>
    <w:p w:rsidR="00E64F62" w:rsidRDefault="00B9552D" w:rsidP="00B9552D">
      <w:pPr>
        <w:pStyle w:val="BodyText"/>
        <w:spacing w:before="228"/>
        <w:ind w:left="0" w:right="136"/>
      </w:pPr>
      <w:bookmarkStart w:id="0" w:name="_GoBack"/>
      <w:bookmarkEnd w:id="0"/>
      <w:r>
        <w:t>This</w:t>
      </w:r>
      <w:r>
        <w:rPr>
          <w:spacing w:val="-2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aims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transformation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dimensions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sustainable</w:t>
      </w:r>
      <w:r>
        <w:rPr>
          <w:spacing w:val="-2"/>
        </w:rPr>
        <w:t xml:space="preserve"> </w:t>
      </w:r>
      <w:r>
        <w:t>performance in Mediterranean ports, by integrating the TOE model (Technology, Organization, Environment), and the theory of</w:t>
      </w:r>
      <w:r>
        <w:rPr>
          <w:spacing w:val="-7"/>
        </w:rPr>
        <w:t xml:space="preserve"> </w:t>
      </w:r>
      <w:r>
        <w:t>sustainable</w:t>
      </w:r>
      <w:r>
        <w:rPr>
          <w:spacing w:val="-8"/>
        </w:rPr>
        <w:t xml:space="preserve"> </w:t>
      </w:r>
      <w:r>
        <w:t>innovation</w:t>
      </w:r>
      <w:r>
        <w:rPr>
          <w:spacing w:val="-8"/>
        </w:rPr>
        <w:t xml:space="preserve"> </w:t>
      </w:r>
      <w:r>
        <w:t>capabilities.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theoretical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derived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literature,</w:t>
      </w:r>
      <w:r>
        <w:rPr>
          <w:spacing w:val="-7"/>
        </w:rPr>
        <w:t xml:space="preserve"> </w:t>
      </w:r>
      <w:r>
        <w:t>while including the en</w:t>
      </w:r>
      <w:r>
        <w:t>vironmental, economic, and social dimensions of sustainable performance. A quantitative approach was adopted to examine the direct effect of digital transformation on environmental, economic, and social performance, as well as its indirect effect through s</w:t>
      </w:r>
      <w:r>
        <w:t xml:space="preserve">ustainable innovation capability. The analysis of these effects was carried out using </w:t>
      </w:r>
      <w:proofErr w:type="spellStart"/>
      <w:r>
        <w:t>SmartPLS</w:t>
      </w:r>
      <w:proofErr w:type="spellEnd"/>
      <w:r>
        <w:t xml:space="preserve"> 4.1.0.9 software, based on 425 observations collected through a questionnaire distributed to employees of 78 Mediterranean ports. The results reveal that environ</w:t>
      </w:r>
      <w:r>
        <w:t>mental and organizational factors exert a positive impact on the digital transformation of Mediterranean ports, leading to an optimization of environmental, economic, and social performance. The indirect effect linking digital transformation to the dimensi</w:t>
      </w:r>
      <w:r>
        <w:t>ons of sustainable performance, through the mediating variable of sustainable innovation capability, is significant. However, this effect has a positive impact on environmental and social performance, while having a negative impact on economic performance.</w:t>
      </w:r>
      <w:r>
        <w:t xml:space="preserve"> These findings provide Mediterranean port managers with concrete levers to optimize their digital strategies and strengthen their ecological transition, particularly through increased investment in technological factors and sustainable innovation, while e</w:t>
      </w:r>
      <w:r>
        <w:t>nsuring a balance between the three dimensions of sustainability.</w:t>
      </w:r>
    </w:p>
    <w:p w:rsidR="00E64F62" w:rsidRDefault="00B9552D">
      <w:pPr>
        <w:pStyle w:val="BodyText"/>
        <w:spacing w:before="209"/>
        <w:ind w:right="65"/>
        <w:jc w:val="left"/>
      </w:pPr>
      <w:r>
        <w:rPr>
          <w:b/>
        </w:rPr>
        <w:t>Key</w:t>
      </w:r>
      <w:r>
        <w:rPr>
          <w:b/>
          <w:spacing w:val="-3"/>
        </w:rPr>
        <w:t xml:space="preserve"> </w:t>
      </w:r>
      <w:r>
        <w:rPr>
          <w:b/>
        </w:rPr>
        <w:t>words:</w:t>
      </w:r>
      <w:r>
        <w:rPr>
          <w:b/>
          <w:spacing w:val="-3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Transformation;</w:t>
      </w:r>
      <w:r>
        <w:rPr>
          <w:spacing w:val="-5"/>
        </w:rPr>
        <w:t xml:space="preserve"> </w:t>
      </w:r>
      <w:r>
        <w:t>TOE</w:t>
      </w:r>
      <w:r>
        <w:rPr>
          <w:spacing w:val="-4"/>
        </w:rPr>
        <w:t xml:space="preserve"> </w:t>
      </w:r>
      <w:r>
        <w:t>Framework;</w:t>
      </w:r>
      <w:r>
        <w:rPr>
          <w:spacing w:val="-5"/>
        </w:rPr>
        <w:t xml:space="preserve"> </w:t>
      </w:r>
      <w:r>
        <w:t>Sustainable Performance;</w:t>
      </w:r>
      <w:r>
        <w:rPr>
          <w:spacing w:val="-5"/>
        </w:rPr>
        <w:t xml:space="preserve"> </w:t>
      </w:r>
      <w:r>
        <w:t>Sustainable</w:t>
      </w:r>
      <w:r>
        <w:rPr>
          <w:spacing w:val="-2"/>
        </w:rPr>
        <w:t xml:space="preserve"> </w:t>
      </w:r>
      <w:r>
        <w:t xml:space="preserve">Innovation </w:t>
      </w:r>
      <w:r>
        <w:rPr>
          <w:spacing w:val="-2"/>
        </w:rPr>
        <w:t>Capability</w:t>
      </w:r>
    </w:p>
    <w:sectPr w:rsidR="00E64F62" w:rsidSect="00B9552D">
      <w:type w:val="continuous"/>
      <w:pgSz w:w="11910" w:h="16840"/>
      <w:pgMar w:top="132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944F8"/>
    <w:multiLevelType w:val="hybridMultilevel"/>
    <w:tmpl w:val="1E7CD868"/>
    <w:lvl w:ilvl="0" w:tplc="9274CFCC">
      <w:start w:val="1"/>
      <w:numFmt w:val="decimal"/>
      <w:lvlText w:val="%1."/>
      <w:lvlJc w:val="left"/>
      <w:pPr>
        <w:ind w:left="141" w:hanging="219"/>
        <w:jc w:val="left"/>
      </w:pPr>
      <w:rPr>
        <w:rFonts w:hint="default"/>
        <w:spacing w:val="0"/>
        <w:w w:val="91"/>
        <w:lang w:val="en-US" w:eastAsia="en-US" w:bidi="ar-SA"/>
      </w:rPr>
    </w:lvl>
    <w:lvl w:ilvl="1" w:tplc="5B5E8EBA">
      <w:numFmt w:val="bullet"/>
      <w:lvlText w:val="•"/>
      <w:lvlJc w:val="left"/>
      <w:pPr>
        <w:ind w:left="1061" w:hanging="219"/>
      </w:pPr>
      <w:rPr>
        <w:rFonts w:hint="default"/>
        <w:lang w:val="en-US" w:eastAsia="en-US" w:bidi="ar-SA"/>
      </w:rPr>
    </w:lvl>
    <w:lvl w:ilvl="2" w:tplc="FAA40F00">
      <w:numFmt w:val="bullet"/>
      <w:lvlText w:val="•"/>
      <w:lvlJc w:val="left"/>
      <w:pPr>
        <w:ind w:left="1983" w:hanging="219"/>
      </w:pPr>
      <w:rPr>
        <w:rFonts w:hint="default"/>
        <w:lang w:val="en-US" w:eastAsia="en-US" w:bidi="ar-SA"/>
      </w:rPr>
    </w:lvl>
    <w:lvl w:ilvl="3" w:tplc="D1FC4894">
      <w:numFmt w:val="bullet"/>
      <w:lvlText w:val="•"/>
      <w:lvlJc w:val="left"/>
      <w:pPr>
        <w:ind w:left="2904" w:hanging="219"/>
      </w:pPr>
      <w:rPr>
        <w:rFonts w:hint="default"/>
        <w:lang w:val="en-US" w:eastAsia="en-US" w:bidi="ar-SA"/>
      </w:rPr>
    </w:lvl>
    <w:lvl w:ilvl="4" w:tplc="C76C00A4">
      <w:numFmt w:val="bullet"/>
      <w:lvlText w:val="•"/>
      <w:lvlJc w:val="left"/>
      <w:pPr>
        <w:ind w:left="3826" w:hanging="219"/>
      </w:pPr>
      <w:rPr>
        <w:rFonts w:hint="default"/>
        <w:lang w:val="en-US" w:eastAsia="en-US" w:bidi="ar-SA"/>
      </w:rPr>
    </w:lvl>
    <w:lvl w:ilvl="5" w:tplc="06985A3E">
      <w:numFmt w:val="bullet"/>
      <w:lvlText w:val="•"/>
      <w:lvlJc w:val="left"/>
      <w:pPr>
        <w:ind w:left="4748" w:hanging="219"/>
      </w:pPr>
      <w:rPr>
        <w:rFonts w:hint="default"/>
        <w:lang w:val="en-US" w:eastAsia="en-US" w:bidi="ar-SA"/>
      </w:rPr>
    </w:lvl>
    <w:lvl w:ilvl="6" w:tplc="7D2C99FA">
      <w:numFmt w:val="bullet"/>
      <w:lvlText w:val="•"/>
      <w:lvlJc w:val="left"/>
      <w:pPr>
        <w:ind w:left="5669" w:hanging="219"/>
      </w:pPr>
      <w:rPr>
        <w:rFonts w:hint="default"/>
        <w:lang w:val="en-US" w:eastAsia="en-US" w:bidi="ar-SA"/>
      </w:rPr>
    </w:lvl>
    <w:lvl w:ilvl="7" w:tplc="A12CBED4">
      <w:numFmt w:val="bullet"/>
      <w:lvlText w:val="•"/>
      <w:lvlJc w:val="left"/>
      <w:pPr>
        <w:ind w:left="6591" w:hanging="219"/>
      </w:pPr>
      <w:rPr>
        <w:rFonts w:hint="default"/>
        <w:lang w:val="en-US" w:eastAsia="en-US" w:bidi="ar-SA"/>
      </w:rPr>
    </w:lvl>
    <w:lvl w:ilvl="8" w:tplc="3E6E7A42">
      <w:numFmt w:val="bullet"/>
      <w:lvlText w:val="•"/>
      <w:lvlJc w:val="left"/>
      <w:pPr>
        <w:ind w:left="7513" w:hanging="219"/>
      </w:pPr>
      <w:rPr>
        <w:rFonts w:hint="default"/>
        <w:lang w:val="en-US" w:eastAsia="en-US" w:bidi="ar-SA"/>
      </w:rPr>
    </w:lvl>
  </w:abstractNum>
  <w:abstractNum w:abstractNumId="1">
    <w:nsid w:val="6B427F04"/>
    <w:multiLevelType w:val="hybridMultilevel"/>
    <w:tmpl w:val="3898678C"/>
    <w:lvl w:ilvl="0" w:tplc="E4CE33E4">
      <w:start w:val="2"/>
      <w:numFmt w:val="decimal"/>
      <w:lvlText w:val="%1"/>
      <w:lvlJc w:val="left"/>
      <w:pPr>
        <w:ind w:left="86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3DF43AD6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A5B81AEA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3" w:tplc="D144BE7A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 w:tplc="CC323A60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5" w:tplc="E5081D74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6" w:tplc="5D701582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7" w:tplc="7E1A0BE0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8" w:tplc="D2A83502"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</w:abstractNum>
  <w:abstractNum w:abstractNumId="2">
    <w:nsid w:val="7DE50D91"/>
    <w:multiLevelType w:val="multilevel"/>
    <w:tmpl w:val="35A08712"/>
    <w:lvl w:ilvl="0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21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124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6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8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64F62"/>
    <w:rsid w:val="00B9552D"/>
    <w:rsid w:val="00E6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9" w:right="2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1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9"/>
      <w:ind w:left="14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9" w:right="2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1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9"/>
      <w:ind w:left="14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Samya</cp:lastModifiedBy>
  <cp:revision>2</cp:revision>
  <dcterms:created xsi:type="dcterms:W3CDTF">2025-10-04T17:41:00Z</dcterms:created>
  <dcterms:modified xsi:type="dcterms:W3CDTF">2025-10-04T17:42:00Z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2025-10-04T00:00:00Z</vt:filetime>
  </property>
  <property fmtid="{D5CDD505-2E9C-101B-9397-08002B2CF9AE}" pid="3" name="LastSaved">
    <vt:filetime>2025-10-04T00:00:00Z</vt:filetime>
  </property>
</Properties>
</file>