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PARTICULIÈRES – {{ produit.libelle }} – police n° {{ police.numero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Effet : {{ police.date_effet | date }} ; échéance : {{ police.date_echeance | date }} ; durée : {{ police.duree_libelle }}</w:t>
      </w:r>
    </w:p>
    <w:p>
      <w:r>
        <w:t>{%p for i in intermediaires %}</w:t>
      </w:r>
    </w:p>
    <w:p>
      <w:r>
        <w:t>Intermédiaire : {{ i.nom }} ({{ i.code }})</w:t>
      </w:r>
    </w:p>
    <w:p>
      <w:r>
        <w:t>{%p endfor %}</w:t>
      </w:r>
    </w:p>
    <w:p>
      <w:r>
        <w:t>Vol caisse, capital garanti : {{ (risque.capital_vol_caisse == "100000") | case }} 100 000 F   {{ (risque.capital_vol_caisse == "250000") | case }} 250 000 F   {{ (risque.capital_vol_caisse == "500000") | case }} 500 000 F</w:t>
      </w:r>
    </w:p>
    <w:p>
      <w:r>
        <w:t>Gardiennage : {{ (risque.gardiennage == "JOUR") | case }} Jour   {{ (risque.gardiennage == "NUIT") | case }} Nuit   {{ (risque.gardiennage == "JOUR_NUIT") | case }} Jour et nuit</w:t>
      </w:r>
    </w:p>
    <w:p>
      <w:r>
        <w:t>Statut de l'assuré : {{ (risque.statut == "PROPRIETAIRE") | case }} Propriétaire   {{ (risque.statut == "LOCATAIRE") | case }} Locataire</w:t>
      </w:r>
    </w:p>
    <w:p>
      <w:r>
        <w:t>Primes : nette {{ prime.nette | montant }} ; accessoires {{ prime.accessoires | montant }} ; taxe ({{ prime.taux_taxe | pct }}) {{ prime.taxe | montant }} ; TOTAL TTC {{ prime.ttc | montant }} F CFA, soit {{ prime.ttc | lettres }}.</w:t>
      </w:r>
    </w:p>
    <w:p>
      <w:r>
        <w:t>Composition du contrat : les présentes conditions particulières et les conditions générales {{ produit.cg_libelle }}, visa {{ produit.cg_visa }}, forment le contrat.</w:t>
      </w:r>
    </w:p>
    <w:p>
      <w:r>
        <w:t>Réclamation : toute réclamation s'adresse à {{ societe.email_reclamation }}, puis, à défaut de réponse, aux voies de recours prévues par la loi.</w:t>
      </w:r>
    </w:p>
    <w:p>
      <w:r>
        <w:t>Fait à {{ doc.lieu_emission }}, le {{ doc.date_emission | date }}. {{ societe.raison_sociale }}, RCCM {{ societe.rccm }}.</w:t>
      </w:r>
    </w:p>
    <w:p>
      <w:r>
        <w:t>Pour SIM Assurances : {{ signature_sim }}   Le souscripteur (signature manuscrite précédée de « lu et approuvé ») :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