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police n° {{ police.numero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client</w:t>
            </w:r>
          </w:p>
        </w:tc>
        <w:tc>
          <w:tcPr>
            <w:tcW w:type="dxa" w:w="4320"/>
          </w:tcPr>
          <w:p>
            <w:r>
              <w:t>Téléphone</w:t>
            </w:r>
          </w:p>
        </w:tc>
      </w:tr>
      <w:tr>
        <w:tc>
          <w:tcPr>
            <w:tcW w:type="dxa" w:w="4320"/>
          </w:tcPr>
          <w:p>
            <w:r>
              <w:t>{{ client.nom }}</w:t>
            </w:r>
          </w:p>
        </w:tc>
        <w:tc>
          <w:tcPr>
            <w:tcW w:type="dxa" w:w="4320"/>
          </w:tcPr>
          <w:p>
            <w:r>
              <w:t>{{ souscripteur.telephone }}</w:t>
            </w:r>
          </w:p>
        </w:tc>
      </w:tr>
    </w:tbl>
    <w:p>
      <w:r>
        <w:t>Souscripteur : {{ souscripteur.nom }} ; du {{ police.date_effet | date }} au {{ police.date_echeance | date }} ; prime TTC {{ prime.ttc | montant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