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CONDITIONS PARTICULIÈRES – police n° {{ police.numero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Nom du client</w:t>
            </w:r>
          </w:p>
        </w:tc>
        <w:tc>
          <w:tcPr>
            <w:tcW w:type="dxa" w:w="4320"/>
          </w:tcPr>
          <w:p>
            <w:r>
              <w:t>Téléphone</w:t>
            </w:r>
          </w:p>
        </w:tc>
      </w:tr>
      <w:tr>
        <w:tc>
          <w:tcPr>
            <w:tcW w:type="dxa" w:w="4320"/>
          </w:tcPr>
          <w:p>
            <w:r>
              <w:t>{{ client.nom }}</w:t>
            </w:r>
          </w:p>
        </w:tc>
        <w:tc>
          <w:tcPr>
            <w:tcW w:type="dxa" w:w="4320"/>
          </w:tcPr>
          <w:p>
            <w:r>
              <w:t>{{ souscripteur.telephone 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