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Garanties de la formule Standard (tableau inventé)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Garantie</w:t>
            </w:r>
          </w:p>
        </w:tc>
        <w:tc>
          <w:tcPr>
            <w:tcW w:type="dxa" w:w="4320"/>
          </w:tcPr>
          <w:p>
            <w:r>
              <w:t>Capital</w:t>
            </w:r>
          </w:p>
        </w:tc>
      </w:tr>
      <w:tr>
        <w:tc>
          <w:tcPr>
            <w:tcW w:type="dxa" w:w="4320"/>
          </w:tcPr>
          <w:p>
            <w:r>
              <w:t>Décès toutes causes</w:t>
            </w:r>
          </w:p>
        </w:tc>
        <w:tc>
          <w:tcPr>
            <w:tcW w:type="dxa" w:w="4320"/>
          </w:tcPr>
          <w:p>
            <w:r>
              <w:t>5 000 000</w:t>
            </w:r>
          </w:p>
        </w:tc>
      </w:tr>
      <w:tr>
        <w:tc>
          <w:tcPr>
            <w:tcW w:type="dxa" w:w="4320"/>
          </w:tcPr>
          <w:p>
            <w:r>
              <w:t>Invalidité permanente totale</w:t>
            </w:r>
          </w:p>
        </w:tc>
        <w:tc>
          <w:tcPr>
            <w:tcW w:type="dxa" w:w="4320"/>
          </w:tcPr>
          <w:p>
            <w:r>
              <w:t>5 000 000</w:t>
            </w:r>
          </w:p>
        </w:tc>
      </w:tr>
      <w:tr>
        <w:tc>
          <w:tcPr>
            <w:tcW w:type="dxa" w:w="4320"/>
          </w:tcPr>
          <w:p>
            <w:r>
              <w:t>Frais funéraires</w:t>
            </w:r>
          </w:p>
        </w:tc>
        <w:tc>
          <w:tcPr>
            <w:tcW w:type="dxa" w:w="4320"/>
          </w:tcPr>
          <w:p>
            <w:r>
              <w:t>500 000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