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Effet : {{ police.date_effet | date }} ; échéance : {{ police.date_echeance | date }} ; durée : {{ police.duree_libelle }}</w:t>
      </w:r>
    </w:p>
    <w:p>
      <w:r>
        <w:t>{%p for i in intermediaires %}</w:t>
      </w:r>
    </w:p>
    <w:p>
      <w:r>
        <w:t>Intermédiaire : {{ i.nom }} ({{ i.code }})</w:t>
      </w:r>
    </w:p>
    <w:p>
      <w:r>
        <w:t>{%p endfor %}</w:t>
      </w:r>
    </w:p>
    <w:p>
      <w:r>
        <w:t>Garanties souscrites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Garantie</w:t>
            </w:r>
          </w:p>
        </w:tc>
        <w:tc>
          <w:tcPr>
            <w:tcW w:type="dxa" w:w="1440"/>
          </w:tcPr>
          <w:p>
            <w:r>
              <w:t>Branche</w:t>
            </w:r>
          </w:p>
        </w:tc>
        <w:tc>
          <w:tcPr>
            <w:tcW w:type="dxa" w:w="1440"/>
          </w:tcPr>
          <w:p>
            <w:r>
              <w:t>Prime nette</w:t>
            </w:r>
          </w:p>
        </w:tc>
        <w:tc>
          <w:tcPr>
            <w:tcW w:type="dxa" w:w="1440"/>
          </w:tcPr>
          <w:p>
            <w:r>
              <w:t>Taux</w:t>
            </w:r>
          </w:p>
        </w:tc>
        <w:tc>
          <w:tcPr>
            <w:tcW w:type="dxa" w:w="1440"/>
          </w:tcPr>
          <w:p>
            <w:r>
              <w:t>Taxe</w:t>
            </w:r>
          </w:p>
        </w:tc>
        <w:tc>
          <w:tcPr>
            <w:tcW w:type="dxa" w:w="1440"/>
          </w:tcPr>
          <w:p>
            <w:r>
              <w:t>TTC</w:t>
            </w:r>
          </w:p>
        </w:tc>
      </w:tr>
      <w:tr>
        <w:tc>
          <w:tcPr>
            <w:tcW w:type="dxa" w:w="1440"/>
          </w:tcPr>
          <w:p>
            <w:r>
              <w:t>{%tr for g in garanties_souscrites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{{ g.libelle }}</w:t>
            </w:r>
          </w:p>
        </w:tc>
        <w:tc>
          <w:tcPr>
            <w:tcW w:type="dxa" w:w="1440"/>
          </w:tcPr>
          <w:p>
            <w:r>
              <w:t>{{ g.branche }}</w:t>
            </w:r>
          </w:p>
        </w:tc>
        <w:tc>
          <w:tcPr>
            <w:tcW w:type="dxa" w:w="1440"/>
          </w:tcPr>
          <w:p>
            <w:r>
              <w:t>{{ g.prime_nette | montant }}</w:t>
            </w:r>
          </w:p>
        </w:tc>
        <w:tc>
          <w:tcPr>
            <w:tcW w:type="dxa" w:w="1440"/>
          </w:tcPr>
          <w:p>
            <w:r>
              <w:t>{{ g.taux_taxe | pct }}</w:t>
            </w:r>
          </w:p>
        </w:tc>
        <w:tc>
          <w:tcPr>
            <w:tcW w:type="dxa" w:w="1440"/>
          </w:tcPr>
          <w:p>
            <w:r>
              <w:t>{{ g.taxe | montant }}</w:t>
            </w:r>
          </w:p>
        </w:tc>
        <w:tc>
          <w:tcPr>
            <w:tcW w:type="dxa" w:w="1440"/>
          </w:tcPr>
          <w:p>
            <w:r>
              <w:t>{{ g.ttc | montant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Primes : nette {{ prime.nette | montant }} ; accessoires {{ prime.accessoires | montant }} ; taxe ({{ prime.taux_taxe | pct }}) {{ prime.taxe | montant }} ; TOTAL TTC {{ prime.ttc | montant }} F CFA, soit {{ prime.ttc | lettres }}.</w:t>
      </w:r>
    </w:p>
    <w:p>
      <w:r>
        <w:t>Composition du contrat : les présentes conditions particulières et les conditions générales {{ produit.cg_libelle }}, visa {{ produit.cg_visa }}, forment le contrat.</w:t>
      </w:r>
    </w:p>
    <w:p>
      <w:r>
        <w:t>Réclamation : toute réclamation s'adresse à {{ societe.email_reclamation }}, puis, à défaut de réponse, aux voies de recours prévues par la loi.</w:t>
      </w:r>
    </w:p>
    <w:p>
      <w:r>
        <w:t>Fait à {{ doc.lieu_emission }}, le {{ doc.date_emission | date }}. {{ societe.raison_sociale }}, RCCM {{ societe.rccm }}.</w:t>
      </w:r>
    </w:p>
    <w:p>
      <w:r>
        <w:t>Pour SIM Assurances : {{ signature_sim }}   Le souscripteur (signature manuscrite précédée de « lu et approuvé ») :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