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aps/>
          <w:color w:val="1F3864"/>
          <w:sz w:val="30"/>
          <w:szCs w:val="30"/>
        </w:rPr>
        <w:t xml:space="preserve">SIM ASSURANCES</w:t>
      </w:r>
    </w:p>
    <w:p>
      <w:pPr>
        <w:spacing w:after="600"/>
      </w:pPr>
    </w:p>
    <w:p>
      <w:pPr>
        <w:pBdr>
          <w:bottom w:val="single" w:color="2E5090" w:sz="10" w:space="12"/>
        </w:pBdr>
        <w:spacing w:after="300"/>
        <w:jc w:val="center"/>
      </w:pPr>
      <w:r>
        <w:rPr>
          <w:b/>
          <w:bCs/>
          <w:color w:val="1F3864"/>
          <w:sz w:val="56"/>
          <w:szCs w:val="56"/>
        </w:rPr>
        <w:t xml:space="preserve">CAHIER DES CHARGES</w:t>
      </w:r>
    </w:p>
    <w:p>
      <w:pPr>
        <w:spacing w:after="700"/>
        <w:jc w:val="center"/>
      </w:pPr>
      <w:r>
        <w:rPr>
          <w:b/>
          <w:bCs/>
          <w:color w:val="2E5090"/>
          <w:sz w:val="32"/>
          <w:szCs w:val="32"/>
        </w:rPr>
        <w:t xml:space="preserve">Application de gestion des demandes d'achat</w:t>
      </w:r>
    </w:p>
    <w:p>
      <w:pPr>
        <w:spacing w:after="1600"/>
        <w:jc w:val="center"/>
      </w:pPr>
      <w:r>
        <w:rPr>
          <w:i/>
          <w:iCs/>
          <w:color w:val="595959"/>
          <w:sz w:val="22"/>
          <w:szCs w:val="22"/>
        </w:rPr>
        <w:t xml:space="preserve">Formulaire public de demande, validation RH / Direction Générale, signature électronique, verrouillage, annulation et comptabilité par catégorie et par période</w:t>
      </w:r>
    </w:p>
    <w:p>
      <w:pPr>
        <w:spacing w:after="1600"/>
      </w:pPr>
    </w:p>
    <w:p>
      <w:pPr>
        <w:spacing w:after="80"/>
        <w:jc w:val="center"/>
      </w:pPr>
      <w:r>
        <w:rPr>
          <w:color w:val="595959"/>
          <w:sz w:val="21"/>
          <w:szCs w:val="21"/>
        </w:rPr>
        <w:t xml:space="preserve">Version 1.0</w:t>
      </w:r>
    </w:p>
    <w:p>
      <w:pPr>
        <w:spacing w:after="80"/>
        <w:jc w:val="center"/>
      </w:pPr>
      <w:r>
        <w:rPr>
          <w:color w:val="595959"/>
          <w:sz w:val="21"/>
          <w:szCs w:val="21"/>
        </w:rPr>
        <w:t xml:space="preserve">Document établi le 21 août 2026</w:t>
      </w:r>
    </w:p>
    <w:p>
      <w:pPr>
        <w:jc w:val="center"/>
      </w:pPr>
      <w:r>
        <w:rPr>
          <w:color w:val="595959"/>
          <w:sz w:val="21"/>
          <w:szCs w:val="21"/>
        </w:rPr>
        <w:t xml:space="preserve">Statut : projet — à valider avec la Direction Générale et le service RH</w:t>
      </w:r>
    </w:p>
    <w:p>
      <w:pPr>
        <w:sectPr>
          <w:pgSz w:w="11906" w:h="16838" w:orient="portrait"/>
          <w:pgMar w:top="1440" w:right="1300" w:bottom="1440" w:left="1300" w:header="708" w:footer="708" w:gutter="0"/>
          <w:pgNumType/>
          <w:docGrid w:linePitch="360"/>
        </w:sectPr>
      </w:pPr>
    </w:p>
    <w:p>
      <w:pPr>
        <w:pStyle w:val="Heading1"/>
        <w:pBdr>
          <w:bottom w:val="single" w:color="1F3864" w:sz="6" w:space="4"/>
        </w:pBdr>
        <w:spacing w:after="200" w:before="480"/>
      </w:pPr>
      <w:r>
        <w:rPr>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300" w:right="1200" w:bottom="1300" w:left="1200" w:header="708" w:footer="708" w:gutter="0"/>
          <w:pgNumType/>
          <w:docGrid w:linePitch="360"/>
        </w:sectPr>
      </w:pPr>
    </w:p>
    <w:p>
      <w:pPr>
        <w:pStyle w:val="Heading1"/>
        <w:pBdr>
          <w:bottom w:val="single" w:color="1F3864" w:sz="6" w:space="4"/>
        </w:pBdr>
        <w:spacing w:after="200" w:before="480"/>
      </w:pPr>
      <w:r>
        <w:rPr>
          <w:b/>
          <w:bCs/>
          <w:color w:val="1F3864"/>
          <w:sz w:val="30"/>
          <w:szCs w:val="30"/>
        </w:rPr>
        <w:t xml:space="preserve">1. Présentation du projet</w:t>
      </w:r>
    </w:p>
    <w:p>
      <w:pPr>
        <w:pStyle w:val="Heading2"/>
        <w:spacing w:after="140" w:before="320"/>
      </w:pPr>
      <w:r>
        <w:rPr>
          <w:b/>
          <w:bCs/>
          <w:color w:val="2E5090"/>
          <w:sz w:val="24"/>
          <w:szCs w:val="24"/>
        </w:rPr>
        <w:t xml:space="preserve">1.1 Contexte</w:t>
      </w:r>
    </w:p>
    <w:p>
      <w:pPr>
        <w:spacing w:after="160" w:line="300"/>
        <w:jc w:val="both"/>
      </w:pPr>
      <w:r>
        <w:rPr>
          <w:color w:val="222222"/>
          <w:sz w:val="21"/>
          <w:szCs w:val="21"/>
        </w:rPr>
        <w:t xml:space="preserve">SIM ASSURANCES gère aujourd'hui ses demandes d'achat au moyen d'une fiche unique ("Fiche de demande d'achat"), remplie manuellement et faisant circuler les signatures physiquement. Ce document décrit les besoins fonctionnels et techniques d'une application web destinée à digitaliser l'ensemble de ce processus : saisie, validation, signature, verrouillage, annulation et suivi comptable des demandes d'achat, en s'appuyant sur la structure de la fiche existante fournie par l'entreprise.</w:t>
      </w:r>
    </w:p>
    <w:p>
      <w:pPr>
        <w:pStyle w:val="Heading2"/>
        <w:spacing w:after="140" w:before="320"/>
      </w:pPr>
      <w:r>
        <w:rPr>
          <w:b/>
          <w:bCs/>
          <w:color w:val="2E5090"/>
          <w:sz w:val="24"/>
          <w:szCs w:val="24"/>
        </w:rPr>
        <w:t xml:space="preserve">1.2 Objectifs du projet</w:t>
      </w:r>
    </w:p>
    <w:p>
      <w:pPr>
        <w:pStyle w:val="ListParagraph"/>
        <w:numPr>
          <w:ilvl w:val="0"/>
          <w:numId w:val="2"/>
        </w:numPr>
        <w:spacing w:after="90" w:line="280"/>
      </w:pPr>
      <w:r>
        <w:rPr>
          <w:color w:val="222222"/>
          <w:sz w:val="21"/>
          <w:szCs w:val="21"/>
        </w:rPr>
        <w:t xml:space="preserve">Permettre à tout collaborateur de soumettre une demande d'achat en ligne, à tout moment, via une page publique, sans avoir besoin d'un compte.</w:t>
      </w:r>
    </w:p>
    <w:p>
      <w:pPr>
        <w:pStyle w:val="ListParagraph"/>
        <w:numPr>
          <w:ilvl w:val="0"/>
          <w:numId w:val="2"/>
        </w:numPr>
        <w:spacing w:after="90" w:line="280"/>
      </w:pPr>
      <w:r>
        <w:rPr>
          <w:color w:val="222222"/>
          <w:sz w:val="21"/>
          <w:szCs w:val="21"/>
        </w:rPr>
        <w:t xml:space="preserve">Mettre à disposition deux espaces de validation distincts et de pouvoir équivalent : l'Espace RH (Responsable Comptable Financier RH) et l'Espace Direction Générale (DG).</w:t>
      </w:r>
    </w:p>
    <w:p>
      <w:pPr>
        <w:pStyle w:val="ListParagraph"/>
        <w:numPr>
          <w:ilvl w:val="0"/>
          <w:numId w:val="2"/>
        </w:numPr>
        <w:spacing w:after="90" w:line="280"/>
      </w:pPr>
      <w:r>
        <w:rPr>
          <w:color w:val="222222"/>
          <w:sz w:val="21"/>
          <w:szCs w:val="21"/>
        </w:rPr>
        <w:t xml:space="preserve">Apposer automatiquement, dès qu'une demande est validée, la signature électronique du valideur (nom, date, heure) dans la case correspondante de la fiche.</w:t>
      </w:r>
    </w:p>
    <w:p>
      <w:pPr>
        <w:pStyle w:val="ListParagraph"/>
        <w:numPr>
          <w:ilvl w:val="0"/>
          <w:numId w:val="2"/>
        </w:numPr>
        <w:spacing w:after="90" w:line="280"/>
      </w:pPr>
      <w:r>
        <w:rPr>
          <w:color w:val="222222"/>
          <w:sz w:val="21"/>
          <w:szCs w:val="21"/>
        </w:rPr>
        <w:t xml:space="preserve">Verrouiller définitivement toute demande validée : plus aucune modification ni suppression n'est possible, par quiconque.</w:t>
      </w:r>
    </w:p>
    <w:p>
      <w:pPr>
        <w:pStyle w:val="ListParagraph"/>
        <w:numPr>
          <w:ilvl w:val="0"/>
          <w:numId w:val="2"/>
        </w:numPr>
        <w:spacing w:after="90" w:line="280"/>
      </w:pPr>
      <w:r>
        <w:rPr>
          <w:color w:val="222222"/>
          <w:sz w:val="21"/>
          <w:szCs w:val="21"/>
        </w:rPr>
        <w:t xml:space="preserve">Permettre l'annulation d'une demande déjà validée, sans jamais la supprimer, afin de conserver une traçabilité complète.</w:t>
      </w:r>
    </w:p>
    <w:p>
      <w:pPr>
        <w:pStyle w:val="ListParagraph"/>
        <w:numPr>
          <w:ilvl w:val="0"/>
          <w:numId w:val="2"/>
        </w:numPr>
        <w:spacing w:after="90" w:line="280"/>
      </w:pPr>
      <w:r>
        <w:rPr>
          <w:color w:val="222222"/>
          <w:sz w:val="21"/>
          <w:szCs w:val="21"/>
        </w:rPr>
        <w:t xml:space="preserve">Fournir un module de comptabilité et de reporting des demandes validées, ventilé par catégorie d'achat et par période.</w:t>
      </w:r>
    </w:p>
    <w:p>
      <w:pPr>
        <w:pStyle w:val="ListParagraph"/>
        <w:numPr>
          <w:ilvl w:val="0"/>
          <w:numId w:val="2"/>
        </w:numPr>
        <w:spacing w:after="90" w:line="280"/>
      </w:pPr>
      <w:r>
        <w:rPr>
          <w:color w:val="222222"/>
          <w:sz w:val="21"/>
          <w:szCs w:val="21"/>
        </w:rPr>
        <w:t xml:space="preserve">Reproduire fidèlement, dans la version numérique puis dans les exports PDF, la structure de la fiche papier existante (en-tête, tableau des articles, tableau budgétaire, cases de signature).</w:t>
      </w:r>
    </w:p>
    <w:p>
      <w:pPr>
        <w:pStyle w:val="Heading2"/>
        <w:spacing w:after="140" w:before="320"/>
      </w:pPr>
      <w:r>
        <w:rPr>
          <w:b/>
          <w:bCs/>
          <w:color w:val="2E5090"/>
          <w:sz w:val="24"/>
          <w:szCs w:val="24"/>
        </w:rPr>
        <w:t xml:space="preserve">1.3 Périmètre du projet</w:t>
      </w:r>
    </w:p>
    <w:p>
      <w:pPr>
        <w:spacing w:after="160" w:line="300"/>
        <w:jc w:val="both"/>
      </w:pPr>
      <w:r>
        <w:rPr>
          <w:color w:val="222222"/>
          <w:sz w:val="21"/>
          <w:szCs w:val="21"/>
        </w:rPr>
        <w:t xml:space="preserve">Le périmètre couvre : le formulaire public de demande d'achat, les espaces privés RH et DG, un espace d'administration, le moteur de workflow (soumission, validation, rejet, annulation), la signature électronique, le verrouillage post-validation, le module de comptabilité/reporting, la génération de documents PDF et les notifications. Sont explicitement hors périmètre, sauf extension ultérieure validée par SIM ASSURANCES : la comptabilité générale de l'entreprise, la gestion de la paie et l'intégration avec un éventuel ERP existant.</w:t>
      </w:r>
    </w:p>
    <w:p>
      <w:pPr>
        <w:pStyle w:val="Heading1"/>
        <w:pBdr>
          <w:bottom w:val="single" w:color="1F3864" w:sz="6" w:space="4"/>
        </w:pBdr>
        <w:spacing w:after="200" w:before="480"/>
      </w:pPr>
      <w:r>
        <w:rPr>
          <w:b/>
          <w:bCs/>
          <w:color w:val="1F3864"/>
          <w:sz w:val="30"/>
          <w:szCs w:val="30"/>
        </w:rPr>
        <w:t xml:space="preserve">2. Acteurs et profils utilisateurs</w:t>
      </w:r>
    </w:p>
    <w:p>
      <w:pPr>
        <w:spacing w:after="160" w:line="300"/>
        <w:jc w:val="both"/>
      </w:pPr>
      <w:r>
        <w:rPr>
          <w:color w:val="222222"/>
          <w:sz w:val="21"/>
          <w:szCs w:val="21"/>
        </w:rPr>
        <w:t xml:space="preserve">Quatre profils sont identifiés. Le profil "Administrateur" n'a pas été explicitement demandé mais est indispensable pour paramétrer l'application (catégories, budgets, comptes) ; il est proposé en complément.</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Acteur</w:t>
            </w:r>
          </w:p>
        </w:tc>
        <w:tc>
          <w:tcPr>
            <w:tcW w:type="dxa" w:w="6426"/>
            <w:shd w:fill="1F3864" w:val="clear"/>
            <w:tcMar>
              <w:top w:type="dxa" w:w="80"/>
              <w:left w:type="dxa" w:w="100"/>
              <w:bottom w:type="dxa" w:w="80"/>
              <w:right w:type="dxa" w:w="100"/>
            </w:tcMar>
            <w:vAlign w:val="center"/>
          </w:tcPr>
          <w:p>
            <w:pPr>
              <w:jc w:val="left"/>
            </w:pPr>
            <w:r>
              <w:rPr>
                <w:b/>
                <w:bCs/>
                <w:color w:val="FFFFFF"/>
                <w:sz w:val="20"/>
                <w:szCs w:val="20"/>
              </w:rPr>
              <w:t xml:space="preserve">Accès</w:t>
            </w:r>
          </w:p>
        </w:tc>
        <w:tc>
          <w:tcPr>
            <w:shd w:fill="1F3864" w:val="clear"/>
            <w:tcMar>
              <w:top w:type="dxa" w:w="80"/>
              <w:left w:type="dxa" w:w="100"/>
              <w:bottom w:type="dxa" w:w="80"/>
              <w:right w:type="dxa" w:w="100"/>
            </w:tcMar>
            <w:vAlign w:val="center"/>
          </w:tcPr>
          <w:p>
            <w:pPr>
              <w:jc w:val="left"/>
            </w:pPr>
            <w:r>
              <w:rPr>
                <w:b/>
                <w:bCs/>
                <w:color w:val="FFFFFF"/>
                <w:sz w:val="20"/>
                <w:szCs w:val="20"/>
              </w:rPr>
              <w:t xml:space="preserve">Authentification</w:t>
            </w:r>
          </w:p>
        </w:tc>
        <w:tc>
          <w:tcPr>
            <w:shd w:fill="1F3864" w:val="clear"/>
            <w:tcMar>
              <w:top w:type="dxa" w:w="80"/>
              <w:left w:type="dxa" w:w="100"/>
              <w:bottom w:type="dxa" w:w="80"/>
              <w:right w:type="dxa" w:w="100"/>
            </w:tcMar>
            <w:vAlign w:val="center"/>
          </w:tcPr>
          <w:p>
            <w:pPr>
              <w:jc w:val="left"/>
            </w:pPr>
            <w:r>
              <w:rPr>
                <w:b/>
                <w:bCs/>
                <w:color w:val="FFFFFF"/>
                <w:sz w:val="20"/>
                <w:szCs w:val="20"/>
              </w:rPr>
              <w:t xml:space="preserve">Droits principaux</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Demandeur</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Page publique</w:t>
            </w:r>
          </w:p>
        </w:tc>
        <w:tc>
          <w:tcPr>
            <w:tcMar>
              <w:top w:type="dxa" w:w="80"/>
              <w:left w:type="dxa" w:w="100"/>
              <w:bottom w:type="dxa" w:w="80"/>
              <w:right w:type="dxa" w:w="100"/>
            </w:tcMar>
            <w:vAlign w:val="center"/>
          </w:tcPr>
          <w:p>
            <w:pPr>
              <w:jc w:val="left"/>
            </w:pPr>
            <w:r>
              <w:rPr>
                <w:b w:val="false"/>
                <w:bCs w:val="false"/>
                <w:color w:val="222222"/>
                <w:sz w:val="20"/>
                <w:szCs w:val="20"/>
              </w:rPr>
              <w:t xml:space="preserve">Aucune (email de confirmation avec lien de suivi)</w:t>
            </w:r>
          </w:p>
        </w:tc>
        <w:tc>
          <w:tcPr>
            <w:tcMar>
              <w:top w:type="dxa" w:w="80"/>
              <w:left w:type="dxa" w:w="100"/>
              <w:bottom w:type="dxa" w:w="80"/>
              <w:right w:type="dxa" w:w="100"/>
            </w:tcMar>
            <w:vAlign w:val="center"/>
          </w:tcPr>
          <w:p>
            <w:pPr>
              <w:jc w:val="left"/>
            </w:pPr>
            <w:r>
              <w:rPr>
                <w:b w:val="false"/>
                <w:bCs w:val="false"/>
                <w:color w:val="222222"/>
                <w:sz w:val="20"/>
                <w:szCs w:val="20"/>
              </w:rPr>
              <w:t xml:space="preserve">Créer une demande, suivre son statut, modifier/supprimer sa demande tant qu'elle n'est pas validée</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Espace RH
(Responsable Comptable Financier RH)</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Espace privé</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Identifiant + mot de passe</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Consulter toutes les demandes, valider, rejeter, annuler, consulter les rapports</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Espace DG
(Direction Générale)</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Espace privé</w:t>
            </w:r>
          </w:p>
        </w:tc>
        <w:tc>
          <w:tcPr>
            <w:tcMar>
              <w:top w:type="dxa" w:w="80"/>
              <w:left w:type="dxa" w:w="100"/>
              <w:bottom w:type="dxa" w:w="80"/>
              <w:right w:type="dxa" w:w="100"/>
            </w:tcMar>
            <w:vAlign w:val="center"/>
          </w:tcPr>
          <w:p>
            <w:pPr>
              <w:jc w:val="left"/>
            </w:pPr>
            <w:r>
              <w:rPr>
                <w:b w:val="false"/>
                <w:bCs w:val="false"/>
                <w:color w:val="222222"/>
                <w:sz w:val="20"/>
                <w:szCs w:val="20"/>
              </w:rPr>
              <w:t xml:space="preserve">Identifiant + mot de passe</w:t>
            </w:r>
          </w:p>
        </w:tc>
        <w:tc>
          <w:tcPr>
            <w:tcMar>
              <w:top w:type="dxa" w:w="80"/>
              <w:left w:type="dxa" w:w="100"/>
              <w:bottom w:type="dxa" w:w="80"/>
              <w:right w:type="dxa" w:w="100"/>
            </w:tcMar>
            <w:vAlign w:val="center"/>
          </w:tcPr>
          <w:p>
            <w:pPr>
              <w:jc w:val="left"/>
            </w:pPr>
            <w:r>
              <w:rPr>
                <w:b w:val="false"/>
                <w:bCs w:val="false"/>
                <w:color w:val="222222"/>
                <w:sz w:val="20"/>
                <w:szCs w:val="20"/>
              </w:rPr>
              <w:t xml:space="preserve">Mêmes droits que l'espace RH : valider, rejeter, annuler, consulter les rapports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Administrateur (proposé)</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Espace privé</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Identifiant + mot de passe</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Gérer les comptes, catégories, entités, budgets et paramètres ; consulter l'historique complet et le journal d'audit</w:t>
            </w:r>
          </w:p>
        </w:tc>
      </w:tr>
    </w:tbl>
    <w:p>
      <w:pPr>
        <w:pBdr>
          <w:left w:val="single" w:color="C0392B" w:sz="18" w:space="8"/>
        </w:pBdr>
        <w:shd w:fill="FCECEC" w:val="clear"/>
        <w:spacing w:after="220" w:before="100" w:line="280"/>
        <w:ind w:left="200"/>
      </w:pPr>
      <w:r>
        <w:rPr>
          <w:b/>
          <w:bCs/>
          <w:i/>
          <w:iCs/>
          <w:color w:val="C0392B"/>
          <w:sz w:val="20"/>
          <w:szCs w:val="20"/>
        </w:rPr>
        <w:t xml:space="preserve">Point d'attention — </w:t>
      </w:r>
      <w:r>
        <w:rPr>
          <w:i/>
          <w:iCs/>
          <w:color w:val="5A1E14"/>
          <w:sz w:val="20"/>
          <w:szCs w:val="20"/>
        </w:rPr>
        <w:t xml:space="preserve">La fiche fournie comporte quatre cases de signature (Demandeur, Directeur Commercial, Responsable Comptable Financier RH, Directeur Général), alors que la demande initiale ne prévoit que deux comptes valideurs (RH et DG). Ce cahier des charges part de l'hypothèse que la case « Directeur Commercial » est retirée du circuit de validation numérique (ou conservée à titre purement informatif, sans pouvoir de validation). Merci de confirmer ce point avec la Direction Générale — voir section 12.</w:t>
      </w:r>
    </w:p>
    <w:p>
      <w:pPr>
        <w:pStyle w:val="Heading1"/>
        <w:pBdr>
          <w:bottom w:val="single" w:color="1F3864" w:sz="6" w:space="4"/>
        </w:pBdr>
        <w:spacing w:after="200" w:before="480"/>
      </w:pPr>
      <w:r>
        <w:rPr>
          <w:b/>
          <w:bCs/>
          <w:color w:val="1F3864"/>
          <w:sz w:val="30"/>
          <w:szCs w:val="30"/>
        </w:rPr>
        <w:t xml:space="preserve">3. Vue d'ensemble du fonctionnement</w:t>
      </w:r>
    </w:p>
    <w:p>
      <w:pPr>
        <w:spacing w:after="160" w:line="300"/>
        <w:jc w:val="both"/>
      </w:pPr>
      <w:r>
        <w:rPr>
          <w:color w:val="222222"/>
          <w:sz w:val="21"/>
          <w:szCs w:val="21"/>
        </w:rPr>
        <w:t xml:space="preserve">Le principe général retenu, conforme à la demande, est le suivant : une demande est soumise publiquement, puis reste modifiable par son auteur tant qu'aucun valideur n'a statué. Dès que l'un des deux valideurs — RH ou DG, peu importe lequel — valide la demande, celle-ci devient définitive : sa signature électronique est apposée automatiquement, et la demande est verrouillée (non modifiable, non supprimable). Elle peut ensuite uniquement être annulée, jamais supprimée. Toutes les demandes validées alimentent en continu le module de comptabilité par catégorie et par période.</w:t>
      </w:r>
    </w:p>
    <w:p>
      <w:pPr>
        <w:pStyle w:val="Heading1"/>
        <w:pBdr>
          <w:bottom w:val="single" w:color="1F3864" w:sz="6" w:space="4"/>
        </w:pBdr>
        <w:spacing w:after="200" w:before="480"/>
      </w:pPr>
      <w:r>
        <w:rPr>
          <w:b/>
          <w:bCs/>
          <w:color w:val="1F3864"/>
          <w:sz w:val="30"/>
          <w:szCs w:val="30"/>
        </w:rPr>
        <w:t xml:space="preserve">4. Fonctionnalités détaillées</w:t>
      </w:r>
    </w:p>
    <w:p>
      <w:pPr>
        <w:shd w:fill="DCE6F1" w:val="clear"/>
        <w:spacing w:after="120" w:before="280"/>
      </w:pPr>
      <w:r>
        <w:rPr>
          <w:b/>
          <w:bCs/>
          <w:color w:val="1F3864"/>
          <w:sz w:val="21"/>
          <w:szCs w:val="21"/>
        </w:rPr>
        <w:t xml:space="preserve">  F-01  </w:t>
      </w:r>
      <w:r>
        <w:rPr>
          <w:b/>
          <w:bCs/>
          <w:color w:val="1F3864"/>
          <w:sz w:val="21"/>
          <w:szCs w:val="21"/>
        </w:rPr>
        <w:t xml:space="preserve">  Formulaire public de demande d'achat</w:t>
      </w:r>
    </w:p>
    <w:p>
      <w:pPr>
        <w:pStyle w:val="ListParagraph"/>
        <w:numPr>
          <w:ilvl w:val="0"/>
          <w:numId w:val="2"/>
        </w:numPr>
        <w:spacing w:after="90" w:line="280"/>
      </w:pPr>
      <w:r>
        <w:rPr>
          <w:color w:val="222222"/>
          <w:sz w:val="21"/>
          <w:szCs w:val="21"/>
        </w:rPr>
        <w:t xml:space="preserve">Accessible sans authentification, en français, avec une présentation responsive (ordinateur, tablette, mobile).</w:t>
      </w:r>
    </w:p>
    <w:p>
      <w:pPr>
        <w:pStyle w:val="ListParagraph"/>
        <w:numPr>
          <w:ilvl w:val="0"/>
          <w:numId w:val="2"/>
        </w:numPr>
        <w:spacing w:after="90" w:line="280"/>
      </w:pPr>
      <w:r>
        <w:rPr>
          <w:color w:val="222222"/>
          <w:sz w:val="21"/>
          <w:szCs w:val="21"/>
        </w:rPr>
        <w:t xml:space="preserve">Reprend les rubriques de la fiche existante : date d'établissement (renseignée automatiquement, non modifiable), entité bénéficiaire, motif de l'achat, date de livraison souhaitée, tableau des articles (libellé, quantité, prix unitaire, total calculé) et poste budgétaire concerné.</w:t>
      </w:r>
    </w:p>
    <w:p>
      <w:pPr>
        <w:pStyle w:val="ListParagraph"/>
        <w:numPr>
          <w:ilvl w:val="0"/>
          <w:numId w:val="2"/>
        </w:numPr>
        <w:spacing w:after="90" w:line="280"/>
      </w:pPr>
      <w:r>
        <w:rPr>
          <w:color w:val="222222"/>
          <w:sz w:val="21"/>
          <w:szCs w:val="21"/>
        </w:rPr>
        <w:t xml:space="preserve">Ajout recommandé : nom, fonction et coordonnées (email/téléphone) du demandeur — absents de la fiche actuelle mais nécessaires pour la notification et le suivi de la demande sans compte.</w:t>
      </w:r>
    </w:p>
    <w:p>
      <w:pPr>
        <w:pStyle w:val="ListParagraph"/>
        <w:numPr>
          <w:ilvl w:val="0"/>
          <w:numId w:val="2"/>
        </w:numPr>
        <w:spacing w:after="90" w:line="280"/>
      </w:pPr>
      <w:r>
        <w:rPr>
          <w:color w:val="222222"/>
          <w:sz w:val="21"/>
          <w:szCs w:val="21"/>
        </w:rPr>
        <w:t xml:space="preserve">Ajout recommandé : une catégorie d'achat (liste déroulante paramétrable, ex. Fournitures de bureau, Informatique/Logiciels, Services, Équipement, Maintenance, Assurance, Autre) afin de permettre la comptabilité par catégorie demandée.</w:t>
      </w:r>
    </w:p>
    <w:p>
      <w:pPr>
        <w:pStyle w:val="ListParagraph"/>
        <w:numPr>
          <w:ilvl w:val="0"/>
          <w:numId w:val="2"/>
        </w:numPr>
        <w:spacing w:after="90" w:line="280"/>
      </w:pPr>
      <w:r>
        <w:rPr>
          <w:color w:val="222222"/>
          <w:sz w:val="21"/>
          <w:szCs w:val="21"/>
        </w:rPr>
        <w:t xml:space="preserve">Ajout/suppression dynamique de lignes d'articles ; calcul automatique des totaux par ligne et du total général.</w:t>
      </w:r>
    </w:p>
    <w:p>
      <w:pPr>
        <w:pStyle w:val="ListParagraph"/>
        <w:numPr>
          <w:ilvl w:val="0"/>
          <w:numId w:val="2"/>
        </w:numPr>
        <w:spacing w:after="90" w:line="280"/>
      </w:pPr>
      <w:r>
        <w:rPr>
          <w:color w:val="222222"/>
          <w:sz w:val="21"/>
          <w:szCs w:val="21"/>
        </w:rPr>
        <w:t xml:space="preserve">Possibilité de joindre des pièces justificatives (devis, facture pro forma, bon de commande).</w:t>
      </w:r>
    </w:p>
    <w:p>
      <w:pPr>
        <w:pStyle w:val="ListParagraph"/>
        <w:numPr>
          <w:ilvl w:val="0"/>
          <w:numId w:val="2"/>
        </w:numPr>
        <w:spacing w:after="90" w:line="280"/>
      </w:pPr>
      <w:r>
        <w:rPr>
          <w:color w:val="222222"/>
          <w:sz w:val="21"/>
          <w:szCs w:val="21"/>
        </w:rPr>
        <w:t xml:space="preserve">Protection anti-spam (captcha) et limitation du nombre de soumissions par période, la page étant accessible publiquement.</w:t>
      </w:r>
    </w:p>
    <w:p>
      <w:pPr>
        <w:pStyle w:val="ListParagraph"/>
        <w:numPr>
          <w:ilvl w:val="0"/>
          <w:numId w:val="2"/>
        </w:numPr>
        <w:spacing w:after="90" w:line="280"/>
      </w:pPr>
      <w:r>
        <w:rPr>
          <w:color w:val="222222"/>
          <w:sz w:val="21"/>
          <w:szCs w:val="21"/>
        </w:rPr>
        <w:t xml:space="preserve">À la soumission : attribution automatique d'un numéro unique de demande, et envoi d'un accusé de réception par email contenant un lien de suivi personnel.</w:t>
      </w:r>
    </w:p>
    <w:p>
      <w:pPr>
        <w:shd w:fill="DCE6F1" w:val="clear"/>
        <w:spacing w:after="120" w:before="280"/>
      </w:pPr>
      <w:r>
        <w:rPr>
          <w:b/>
          <w:bCs/>
          <w:color w:val="1F3864"/>
          <w:sz w:val="21"/>
          <w:szCs w:val="21"/>
        </w:rPr>
        <w:t xml:space="preserve">  F-02  </w:t>
      </w:r>
      <w:r>
        <w:rPr>
          <w:b/>
          <w:bCs/>
          <w:color w:val="1F3864"/>
          <w:sz w:val="21"/>
          <w:szCs w:val="21"/>
        </w:rPr>
        <w:t xml:space="preserve">  Espaces de validation RH et DG</w:t>
      </w:r>
    </w:p>
    <w:p>
      <w:pPr>
        <w:pStyle w:val="ListParagraph"/>
        <w:numPr>
          <w:ilvl w:val="0"/>
          <w:numId w:val="2"/>
        </w:numPr>
        <w:spacing w:after="90" w:line="280"/>
      </w:pPr>
      <w:r>
        <w:rPr>
          <w:color w:val="222222"/>
          <w:sz w:val="21"/>
          <w:szCs w:val="21"/>
        </w:rPr>
        <w:t xml:space="preserve">Authentification sécurisée par identifiant et mot de passe (une double authentification est recommandée, voir section 10).</w:t>
      </w:r>
    </w:p>
    <w:p>
      <w:pPr>
        <w:pStyle w:val="ListParagraph"/>
        <w:numPr>
          <w:ilvl w:val="0"/>
          <w:numId w:val="2"/>
        </w:numPr>
        <w:spacing w:after="90" w:line="280"/>
      </w:pPr>
      <w:r>
        <w:rPr>
          <w:color w:val="222222"/>
          <w:sz w:val="21"/>
          <w:szCs w:val="21"/>
        </w:rPr>
        <w:t xml:space="preserve">Liste des demandes avec filtres par statut, entité, catégorie, période et montant, et tri par date ou urgence.</w:t>
      </w:r>
    </w:p>
    <w:p>
      <w:pPr>
        <w:pStyle w:val="ListParagraph"/>
        <w:numPr>
          <w:ilvl w:val="0"/>
          <w:numId w:val="2"/>
        </w:numPr>
        <w:spacing w:after="90" w:line="280"/>
      </w:pPr>
      <w:r>
        <w:rPr>
          <w:color w:val="222222"/>
          <w:sz w:val="21"/>
          <w:szCs w:val="21"/>
        </w:rPr>
        <w:t xml:space="preserve">Vue détaillée d'une demande, présentée sous une forme identique à la fiche papier.</w:t>
      </w:r>
    </w:p>
    <w:p>
      <w:pPr>
        <w:pStyle w:val="ListParagraph"/>
        <w:numPr>
          <w:ilvl w:val="0"/>
          <w:numId w:val="2"/>
        </w:numPr>
        <w:spacing w:after="90" w:line="280"/>
      </w:pPr>
      <w:r>
        <w:rPr>
          <w:color w:val="222222"/>
          <w:sz w:val="21"/>
          <w:szCs w:val="21"/>
        </w:rPr>
        <w:t xml:space="preserve">Actions disponibles : Valider, Rejeter (motif obligatoire), Annuler (si déjà validée), Commenter.</w:t>
      </w:r>
    </w:p>
    <w:p>
      <w:pPr>
        <w:pStyle w:val="ListParagraph"/>
        <w:numPr>
          <w:ilvl w:val="0"/>
          <w:numId w:val="2"/>
        </w:numPr>
        <w:spacing w:after="90" w:line="280"/>
      </w:pPr>
      <w:r>
        <w:rPr>
          <w:color w:val="222222"/>
          <w:sz w:val="21"/>
          <w:szCs w:val="21"/>
        </w:rPr>
        <w:t xml:space="preserve">Les deux espaces disposent d'un pouvoir de validation strictement équivalent : la validation par l'un des deux suffit à rendre la demande définitive (voir RG-04).</w:t>
      </w:r>
    </w:p>
    <w:p>
      <w:pPr>
        <w:shd w:fill="DCE6F1" w:val="clear"/>
        <w:spacing w:after="120" w:before="280"/>
      </w:pPr>
      <w:r>
        <w:rPr>
          <w:b/>
          <w:bCs/>
          <w:color w:val="1F3864"/>
          <w:sz w:val="21"/>
          <w:szCs w:val="21"/>
        </w:rPr>
        <w:t xml:space="preserve">  F-03  </w:t>
      </w:r>
      <w:r>
        <w:rPr>
          <w:b/>
          <w:bCs/>
          <w:color w:val="1F3864"/>
          <w:sz w:val="21"/>
          <w:szCs w:val="21"/>
        </w:rPr>
        <w:t xml:space="preserve">  Signature électronique automatique</w:t>
      </w:r>
    </w:p>
    <w:p>
      <w:pPr>
        <w:pStyle w:val="ListParagraph"/>
        <w:numPr>
          <w:ilvl w:val="0"/>
          <w:numId w:val="2"/>
        </w:numPr>
        <w:spacing w:after="90" w:line="280"/>
      </w:pPr>
      <w:r>
        <w:rPr>
          <w:color w:val="222222"/>
          <w:sz w:val="21"/>
          <w:szCs w:val="21"/>
        </w:rPr>
        <w:t xml:space="preserve">Dès qu'un valideur clique sur « Valider », le système inscrit automatiquement, dans la case de signature qui lui correspond : son nom et prénom, la date et l'heure exactes de validation (horodatage du serveur), et son rôle (RH ou DG).</w:t>
      </w:r>
    </w:p>
    <w:p>
      <w:pPr>
        <w:pStyle w:val="ListParagraph"/>
        <w:numPr>
          <w:ilvl w:val="0"/>
          <w:numId w:val="2"/>
        </w:numPr>
        <w:spacing w:after="90" w:line="280"/>
      </w:pPr>
      <w:r>
        <w:rPr>
          <w:color w:val="222222"/>
          <w:sz w:val="21"/>
          <w:szCs w:val="21"/>
        </w:rPr>
        <w:t xml:space="preserve">La signature n'est jamais saisie manuellement ; elle est générée par le système à partir du compte connecté, ce qui en garantit l'authenticité et évite toute contestation.</w:t>
      </w:r>
    </w:p>
    <w:p>
      <w:pPr>
        <w:pStyle w:val="ListParagraph"/>
        <w:numPr>
          <w:ilvl w:val="0"/>
          <w:numId w:val="2"/>
        </w:numPr>
        <w:spacing w:after="90" w:line="280"/>
      </w:pPr>
      <w:r>
        <w:rPr>
          <w:color w:val="222222"/>
          <w:sz w:val="21"/>
          <w:szCs w:val="21"/>
        </w:rPr>
        <w:t xml:space="preserve">Une empreinte technique (adresse IP, identifiant de session) peut être conservée à des fins d'audit, sans être affichée sur la fiche imprimée.</w:t>
      </w:r>
    </w:p>
    <w:p>
      <w:pPr>
        <w:shd w:fill="DCE6F1" w:val="clear"/>
        <w:spacing w:after="120" w:before="280"/>
      </w:pPr>
      <w:r>
        <w:rPr>
          <w:b/>
          <w:bCs/>
          <w:color w:val="1F3864"/>
          <w:sz w:val="21"/>
          <w:szCs w:val="21"/>
        </w:rPr>
        <w:t xml:space="preserve">  F-04  </w:t>
      </w:r>
      <w:r>
        <w:rPr>
          <w:b/>
          <w:bCs/>
          <w:color w:val="1F3864"/>
          <w:sz w:val="21"/>
          <w:szCs w:val="21"/>
        </w:rPr>
        <w:t xml:space="preserve">  Verrouillage après validation (immutabilité)</w:t>
      </w:r>
    </w:p>
    <w:p>
      <w:pPr>
        <w:pStyle w:val="ListParagraph"/>
        <w:numPr>
          <w:ilvl w:val="0"/>
          <w:numId w:val="2"/>
        </w:numPr>
        <w:spacing w:after="90" w:line="280"/>
      </w:pPr>
      <w:r>
        <w:rPr>
          <w:color w:val="222222"/>
          <w:sz w:val="21"/>
          <w:szCs w:val="21"/>
        </w:rPr>
        <w:t xml:space="preserve">Dès qu'une demande passe au statut « Validée », son contenu (articles, montants, motif, dates, entité) devient intégralement en lecture seule.</w:t>
      </w:r>
    </w:p>
    <w:p>
      <w:pPr>
        <w:pStyle w:val="ListParagraph"/>
        <w:numPr>
          <w:ilvl w:val="0"/>
          <w:numId w:val="2"/>
        </w:numPr>
        <w:spacing w:after="90" w:line="280"/>
      </w:pPr>
      <w:r>
        <w:rPr>
          <w:color w:val="222222"/>
          <w:sz w:val="21"/>
          <w:szCs w:val="21"/>
        </w:rPr>
        <w:t xml:space="preserve">Aucun profil — demandeur, RH, DG ou administrateur — ne peut plus modifier ni supprimer une demande validée. Seule l'action « Annuler » reste possible.</w:t>
      </w:r>
    </w:p>
    <w:p>
      <w:pPr>
        <w:shd w:fill="DCE6F1" w:val="clear"/>
        <w:spacing w:after="120" w:before="280"/>
      </w:pPr>
      <w:r>
        <w:rPr>
          <w:b/>
          <w:bCs/>
          <w:color w:val="1F3864"/>
          <w:sz w:val="21"/>
          <w:szCs w:val="21"/>
        </w:rPr>
        <w:t xml:space="preserve">  F-05  </w:t>
      </w:r>
      <w:r>
        <w:rPr>
          <w:b/>
          <w:bCs/>
          <w:color w:val="1F3864"/>
          <w:sz w:val="21"/>
          <w:szCs w:val="21"/>
        </w:rPr>
        <w:t xml:space="preserve">  Annulation d'une demande validée (sans suppression)</w:t>
      </w:r>
    </w:p>
    <w:p>
      <w:pPr>
        <w:pStyle w:val="ListParagraph"/>
        <w:numPr>
          <w:ilvl w:val="0"/>
          <w:numId w:val="2"/>
        </w:numPr>
        <w:spacing w:after="90" w:line="280"/>
      </w:pPr>
      <w:r>
        <w:rPr>
          <w:color w:val="222222"/>
          <w:sz w:val="21"/>
          <w:szCs w:val="21"/>
        </w:rPr>
        <w:t xml:space="preserve">Action réservée aux profils RH et DG (l'administrateur peut être habilité à titre exceptionnel, à confirmer).</w:t>
      </w:r>
    </w:p>
    <w:p>
      <w:pPr>
        <w:pStyle w:val="ListParagraph"/>
        <w:numPr>
          <w:ilvl w:val="0"/>
          <w:numId w:val="2"/>
        </w:numPr>
        <w:spacing w:after="90" w:line="280"/>
      </w:pPr>
      <w:r>
        <w:rPr>
          <w:color w:val="222222"/>
          <w:sz w:val="21"/>
          <w:szCs w:val="21"/>
        </w:rPr>
        <w:t xml:space="preserve">Un motif d'annulation est obligatoire (catégorie de motif + commentaire libre, par exemple : achat non réalisé, erreur de saisie, budget devenu indisponible).</w:t>
      </w:r>
    </w:p>
    <w:p>
      <w:pPr>
        <w:pStyle w:val="ListParagraph"/>
        <w:numPr>
          <w:ilvl w:val="0"/>
          <w:numId w:val="2"/>
        </w:numPr>
        <w:spacing w:after="90" w:line="280"/>
      </w:pPr>
      <w:r>
        <w:rPr>
          <w:color w:val="222222"/>
          <w:sz w:val="21"/>
          <w:szCs w:val="21"/>
        </w:rPr>
        <w:t xml:space="preserve">La demande passe au statut « Annulée » : elle reste consultable avec l'ensemble de ses données d'origine, ainsi que l'auteur, la date et le motif de l'annulation.</w:t>
      </w:r>
    </w:p>
    <w:p>
      <w:pPr>
        <w:pStyle w:val="ListParagraph"/>
        <w:numPr>
          <w:ilvl w:val="0"/>
          <w:numId w:val="2"/>
        </w:numPr>
        <w:spacing w:after="90" w:line="280"/>
      </w:pPr>
      <w:r>
        <w:rPr>
          <w:color w:val="222222"/>
          <w:sz w:val="21"/>
          <w:szCs w:val="21"/>
        </w:rPr>
        <w:t xml:space="preserve">Une demande annulée est exclue par défaut des totaux « achats validés » du module comptable, mais reste consultable séparément à titre indicatif (règle paramétrable — voir RG-11).</w:t>
      </w:r>
    </w:p>
    <w:p>
      <w:pPr>
        <w:shd w:fill="DCE6F1" w:val="clear"/>
        <w:spacing w:after="120" w:before="280"/>
      </w:pPr>
      <w:r>
        <w:rPr>
          <w:b/>
          <w:bCs/>
          <w:color w:val="1F3864"/>
          <w:sz w:val="21"/>
          <w:szCs w:val="21"/>
        </w:rPr>
        <w:t xml:space="preserve">  F-06  </w:t>
      </w:r>
      <w:r>
        <w:rPr>
          <w:b/>
          <w:bCs/>
          <w:color w:val="1F3864"/>
          <w:sz w:val="21"/>
          <w:szCs w:val="21"/>
        </w:rPr>
        <w:t xml:space="preserve">  Comptabilité et reporting par catégorie et par période</w:t>
      </w:r>
    </w:p>
    <w:p>
      <w:pPr>
        <w:pStyle w:val="ListParagraph"/>
        <w:numPr>
          <w:ilvl w:val="0"/>
          <w:numId w:val="2"/>
        </w:numPr>
        <w:spacing w:after="90" w:line="280"/>
      </w:pPr>
      <w:r>
        <w:rPr>
          <w:color w:val="222222"/>
          <w:sz w:val="21"/>
          <w:szCs w:val="21"/>
        </w:rPr>
        <w:t xml:space="preserve">Tableau de bord présentant le total des demandes validées, ventilé par catégorie d'achat, par entité bénéficiaire et par période (jour, semaine, mois, trimestre, année, ou période personnalisée).</w:t>
      </w:r>
    </w:p>
    <w:p>
      <w:pPr>
        <w:pStyle w:val="ListParagraph"/>
        <w:numPr>
          <w:ilvl w:val="0"/>
          <w:numId w:val="2"/>
        </w:numPr>
        <w:spacing w:after="90" w:line="280"/>
      </w:pPr>
      <w:r>
        <w:rPr>
          <w:color w:val="222222"/>
          <w:sz w:val="21"/>
          <w:szCs w:val="21"/>
        </w:rPr>
        <w:t xml:space="preserve">Reprise et mise à jour automatique du tableau Budget / Réalisé / Disponible déjà présent sur la fiche existante, poste par poste, à chaque validation définitive.</w:t>
      </w:r>
    </w:p>
    <w:p>
      <w:pPr>
        <w:pStyle w:val="ListParagraph"/>
        <w:numPr>
          <w:ilvl w:val="0"/>
          <w:numId w:val="2"/>
        </w:numPr>
        <w:spacing w:after="90" w:line="280"/>
      </w:pPr>
      <w:r>
        <w:rPr>
          <w:color w:val="222222"/>
          <w:sz w:val="21"/>
          <w:szCs w:val="21"/>
        </w:rPr>
        <w:t xml:space="preserve">Alerte automatique lorsqu'une nouvelle demande risque de dépasser le budget disponible d'un poste.</w:t>
      </w:r>
    </w:p>
    <w:p>
      <w:pPr>
        <w:pStyle w:val="ListParagraph"/>
        <w:numPr>
          <w:ilvl w:val="0"/>
          <w:numId w:val="2"/>
        </w:numPr>
        <w:spacing w:after="90" w:line="280"/>
      </w:pPr>
      <w:r>
        <w:rPr>
          <w:color w:val="222222"/>
          <w:sz w:val="21"/>
          <w:szCs w:val="21"/>
        </w:rPr>
        <w:t xml:space="preserve">Export des rapports aux formats Excel et PDF, et représentation graphique de la répartition par catégorie (histogrammes, camemberts).</w:t>
      </w:r>
    </w:p>
    <w:p>
      <w:pPr>
        <w:shd w:fill="DCE6F1" w:val="clear"/>
        <w:spacing w:after="120" w:before="280"/>
      </w:pPr>
      <w:r>
        <w:rPr>
          <w:b/>
          <w:bCs/>
          <w:color w:val="1F3864"/>
          <w:sz w:val="21"/>
          <w:szCs w:val="21"/>
        </w:rPr>
        <w:t xml:space="preserve">  F-07  </w:t>
      </w:r>
      <w:r>
        <w:rPr>
          <w:b/>
          <w:bCs/>
          <w:color w:val="1F3864"/>
          <w:sz w:val="21"/>
          <w:szCs w:val="21"/>
        </w:rPr>
        <w:t xml:space="preserve">  Génération et export de la fiche officielle</w:t>
      </w:r>
    </w:p>
    <w:p>
      <w:pPr>
        <w:pStyle w:val="ListParagraph"/>
        <w:numPr>
          <w:ilvl w:val="0"/>
          <w:numId w:val="2"/>
        </w:numPr>
        <w:spacing w:after="90" w:line="280"/>
      </w:pPr>
      <w:r>
        <w:rPr>
          <w:color w:val="222222"/>
          <w:sz w:val="21"/>
          <w:szCs w:val="21"/>
        </w:rPr>
        <w:t xml:space="preserve">Génération automatique d'un PDF reproduisant la mise en page de la fiche originale (en-tête SIM ASSURANCES, tableau des articles, tableau budgétaire, cases de signature en bas de page), avec les signatures électroniques effectivement apposées.</w:t>
      </w:r>
    </w:p>
    <w:p>
      <w:pPr>
        <w:pStyle w:val="ListParagraph"/>
        <w:numPr>
          <w:ilvl w:val="0"/>
          <w:numId w:val="2"/>
        </w:numPr>
        <w:spacing w:after="90" w:line="280"/>
      </w:pPr>
      <w:r>
        <w:rPr>
          <w:color w:val="222222"/>
          <w:sz w:val="21"/>
          <w:szCs w:val="21"/>
        </w:rPr>
        <w:t xml:space="preserve">Impression directe possible depuis l'application.</w:t>
      </w:r>
    </w:p>
    <w:p>
      <w:pPr>
        <w:pStyle w:val="ListParagraph"/>
        <w:numPr>
          <w:ilvl w:val="0"/>
          <w:numId w:val="2"/>
        </w:numPr>
        <w:spacing w:after="90" w:line="280"/>
      </w:pPr>
      <w:r>
        <w:rPr>
          <w:color w:val="222222"/>
          <w:sz w:val="21"/>
          <w:szCs w:val="21"/>
        </w:rPr>
        <w:t xml:space="preserve">Ajout recommandé : le numéro unique de la demande et un code de vérification (QR code) permettant de contrôler l'authenticité du document imprimé.</w:t>
      </w:r>
    </w:p>
    <w:p>
      <w:pPr>
        <w:shd w:fill="DCE6F1" w:val="clear"/>
        <w:spacing w:after="120" w:before="280"/>
      </w:pPr>
      <w:r>
        <w:rPr>
          <w:b/>
          <w:bCs/>
          <w:color w:val="1F3864"/>
          <w:sz w:val="21"/>
          <w:szCs w:val="21"/>
        </w:rPr>
        <w:t xml:space="preserve">  F-08  </w:t>
      </w:r>
      <w:r>
        <w:rPr>
          <w:b/>
          <w:bCs/>
          <w:color w:val="1F3864"/>
          <w:sz w:val="21"/>
          <w:szCs w:val="21"/>
        </w:rPr>
        <w:t xml:space="preserve">  Suivi de la demande par le demandeur</w:t>
      </w:r>
    </w:p>
    <w:p>
      <w:pPr>
        <w:pStyle w:val="ListParagraph"/>
        <w:numPr>
          <w:ilvl w:val="0"/>
          <w:numId w:val="2"/>
        </w:numPr>
        <w:spacing w:after="90" w:line="280"/>
      </w:pPr>
      <w:r>
        <w:rPr>
          <w:color w:val="222222"/>
          <w:sz w:val="21"/>
          <w:szCs w:val="21"/>
        </w:rPr>
        <w:t xml:space="preserve">Le demandeur, bien que non authentifié, peut suivre l'état de sa demande à tout moment via le lien personnel reçu par email ou en saisissant son numéro de demande.</w:t>
      </w:r>
    </w:p>
    <w:p>
      <w:pPr>
        <w:pStyle w:val="ListParagraph"/>
        <w:numPr>
          <w:ilvl w:val="0"/>
          <w:numId w:val="2"/>
        </w:numPr>
        <w:spacing w:after="90" w:line="280"/>
      </w:pPr>
      <w:r>
        <w:rPr>
          <w:color w:val="222222"/>
          <w:sz w:val="21"/>
          <w:szCs w:val="21"/>
        </w:rPr>
        <w:t xml:space="preserve">Statuts visibles : Soumise, En attente de validation, Validée, Rejetée, Annulée.</w:t>
      </w:r>
    </w:p>
    <w:p>
      <w:pPr>
        <w:shd w:fill="DCE6F1" w:val="clear"/>
        <w:spacing w:after="120" w:before="280"/>
      </w:pPr>
      <w:r>
        <w:rPr>
          <w:b/>
          <w:bCs/>
          <w:color w:val="1F3864"/>
          <w:sz w:val="21"/>
          <w:szCs w:val="21"/>
        </w:rPr>
        <w:t xml:space="preserve">  F-09  </w:t>
      </w:r>
      <w:r>
        <w:rPr>
          <w:b/>
          <w:bCs/>
          <w:color w:val="1F3864"/>
          <w:sz w:val="21"/>
          <w:szCs w:val="21"/>
        </w:rPr>
        <w:t xml:space="preserve">  Notifications automatiques</w:t>
      </w:r>
    </w:p>
    <w:p>
      <w:pPr>
        <w:pStyle w:val="ListParagraph"/>
        <w:numPr>
          <w:ilvl w:val="0"/>
          <w:numId w:val="2"/>
        </w:numPr>
        <w:spacing w:after="90" w:line="280"/>
      </w:pPr>
      <w:r>
        <w:rPr>
          <w:color w:val="222222"/>
          <w:sz w:val="21"/>
          <w:szCs w:val="21"/>
        </w:rPr>
        <w:t xml:space="preserve">Email au demandeur à chaque changement de statut de sa demande (soumission, validation, rejet, annulation).</w:t>
      </w:r>
    </w:p>
    <w:p>
      <w:pPr>
        <w:pStyle w:val="ListParagraph"/>
        <w:numPr>
          <w:ilvl w:val="0"/>
          <w:numId w:val="2"/>
        </w:numPr>
        <w:spacing w:after="90" w:line="280"/>
      </w:pPr>
      <w:r>
        <w:rPr>
          <w:color w:val="222222"/>
          <w:sz w:val="21"/>
          <w:szCs w:val="21"/>
        </w:rPr>
        <w:t xml:space="preserve">Email aux valideurs RH et DG dès qu'une nouvelle demande est soumise et en attente de traitement.</w:t>
      </w:r>
    </w:p>
    <w:p>
      <w:pPr>
        <w:pStyle w:val="ListParagraph"/>
        <w:numPr>
          <w:ilvl w:val="0"/>
          <w:numId w:val="2"/>
        </w:numPr>
        <w:spacing w:after="90" w:line="280"/>
      </w:pPr>
      <w:r>
        <w:rPr>
          <w:color w:val="222222"/>
          <w:sz w:val="21"/>
          <w:szCs w:val="21"/>
        </w:rPr>
        <w:t xml:space="preserve">Alerte spécifique en cas de dépassement ou de quasi-dépassement d'un budget.</w:t>
      </w:r>
    </w:p>
    <w:p>
      <w:pPr>
        <w:shd w:fill="DCE6F1" w:val="clear"/>
        <w:spacing w:after="120" w:before="280"/>
      </w:pPr>
      <w:r>
        <w:rPr>
          <w:b/>
          <w:bCs/>
          <w:color w:val="1F3864"/>
          <w:sz w:val="21"/>
          <w:szCs w:val="21"/>
        </w:rPr>
        <w:t xml:space="preserve">  F-10  </w:t>
      </w:r>
      <w:r>
        <w:rPr>
          <w:b/>
          <w:bCs/>
          <w:color w:val="1F3864"/>
          <w:sz w:val="21"/>
          <w:szCs w:val="21"/>
        </w:rPr>
        <w:t xml:space="preserve">  Historique et journal d'audit</w:t>
      </w:r>
    </w:p>
    <w:p>
      <w:pPr>
        <w:pStyle w:val="ListParagraph"/>
        <w:numPr>
          <w:ilvl w:val="0"/>
          <w:numId w:val="2"/>
        </w:numPr>
        <w:spacing w:after="90" w:line="280"/>
      </w:pPr>
      <w:r>
        <w:rPr>
          <w:color w:val="222222"/>
          <w:sz w:val="21"/>
          <w:szCs w:val="21"/>
        </w:rPr>
        <w:t xml:space="preserve">Journal inaltérable de toutes les actions effectuées sur chaque demande : création, consultation, validation, rejet, annulation, avec l'auteur et l'horodatage précis de chaque action.</w:t>
      </w:r>
    </w:p>
    <w:p>
      <w:pPr>
        <w:pStyle w:val="ListParagraph"/>
        <w:numPr>
          <w:ilvl w:val="0"/>
          <w:numId w:val="2"/>
        </w:numPr>
        <w:spacing w:after="90" w:line="280"/>
      </w:pPr>
      <w:r>
        <w:rPr>
          <w:color w:val="222222"/>
          <w:sz w:val="21"/>
          <w:szCs w:val="21"/>
        </w:rPr>
        <w:t xml:space="preserve">Consultation réservée à l'administrateur, et aux profils RH/DG pour les actions relevant de leur périmètre.</w:t>
      </w:r>
    </w:p>
    <w:p>
      <w:pPr>
        <w:shd w:fill="DCE6F1" w:val="clear"/>
        <w:spacing w:after="120" w:before="280"/>
      </w:pPr>
      <w:r>
        <w:rPr>
          <w:b/>
          <w:bCs/>
          <w:color w:val="1F3864"/>
          <w:sz w:val="21"/>
          <w:szCs w:val="21"/>
        </w:rPr>
        <w:t xml:space="preserve">  F-11  </w:t>
      </w:r>
      <w:r>
        <w:rPr>
          <w:b/>
          <w:bCs/>
          <w:color w:val="1F3864"/>
          <w:sz w:val="21"/>
          <w:szCs w:val="21"/>
        </w:rPr>
        <w:t xml:space="preserve">  Paramétrage : catégories, entités, postes budgétaires</w:t>
      </w:r>
    </w:p>
    <w:p>
      <w:pPr>
        <w:pStyle w:val="ListParagraph"/>
        <w:numPr>
          <w:ilvl w:val="0"/>
          <w:numId w:val="2"/>
        </w:numPr>
        <w:spacing w:after="90" w:line="280"/>
      </w:pPr>
      <w:r>
        <w:rPr>
          <w:color w:val="222222"/>
          <w:sz w:val="21"/>
          <w:szCs w:val="21"/>
        </w:rPr>
        <w:t xml:space="preserve">Espace d'administration permettant de créer, modifier ou désactiver les catégories d'achat, les entités bénéficiaires, ainsi que les postes budgétaires et le budget alloué à chacun pour une période donnée.</w:t>
      </w:r>
    </w:p>
    <w:p>
      <w:pPr>
        <w:shd w:fill="DCE6F1" w:val="clear"/>
        <w:spacing w:after="120" w:before="280"/>
      </w:pPr>
      <w:r>
        <w:rPr>
          <w:b/>
          <w:bCs/>
          <w:color w:val="1F3864"/>
          <w:sz w:val="21"/>
          <w:szCs w:val="21"/>
        </w:rPr>
        <w:t xml:space="preserve">  F-12  </w:t>
      </w:r>
      <w:r>
        <w:rPr>
          <w:b/>
          <w:bCs/>
          <w:color w:val="1F3864"/>
          <w:sz w:val="21"/>
          <w:szCs w:val="21"/>
        </w:rPr>
        <w:t xml:space="preserve">  Gestion des utilisateurs et des rôles</w:t>
      </w:r>
    </w:p>
    <w:p>
      <w:pPr>
        <w:pStyle w:val="ListParagraph"/>
        <w:numPr>
          <w:ilvl w:val="0"/>
          <w:numId w:val="2"/>
        </w:numPr>
        <w:spacing w:after="90" w:line="280"/>
      </w:pPr>
      <w:r>
        <w:rPr>
          <w:color w:val="222222"/>
          <w:sz w:val="21"/>
          <w:szCs w:val="21"/>
        </w:rPr>
        <w:t xml:space="preserve">Création des comptes RH, DG et Administrateur, avec politique de mot de passe robuste, réinitialisation sécurisée et désactivation de compte.</w:t>
      </w:r>
    </w:p>
    <w:p>
      <w:pPr>
        <w:pStyle w:val="ListParagraph"/>
        <w:numPr>
          <w:ilvl w:val="0"/>
          <w:numId w:val="2"/>
        </w:numPr>
        <w:spacing w:after="90" w:line="280"/>
      </w:pPr>
      <w:r>
        <w:rPr>
          <w:color w:val="222222"/>
          <w:sz w:val="21"/>
          <w:szCs w:val="21"/>
        </w:rPr>
        <w:t xml:space="preserve">Journalisation des connexions et tentatives de connexion échouées.</w:t>
      </w:r>
    </w:p>
    <w:p>
      <w:pPr>
        <w:shd w:fill="DCE6F1" w:val="clear"/>
        <w:spacing w:after="120" w:before="280"/>
      </w:pPr>
      <w:r>
        <w:rPr>
          <w:b/>
          <w:bCs/>
          <w:color w:val="1F3864"/>
          <w:sz w:val="21"/>
          <w:szCs w:val="21"/>
        </w:rPr>
        <w:t xml:space="preserve">  F-13  </w:t>
      </w:r>
      <w:r>
        <w:rPr>
          <w:b/>
          <w:bCs/>
          <w:color w:val="1F3864"/>
          <w:sz w:val="21"/>
          <w:szCs w:val="21"/>
        </w:rPr>
        <w:t xml:space="preserve">  Recherche et filtres multicritères</w:t>
      </w:r>
    </w:p>
    <w:p>
      <w:pPr>
        <w:pStyle w:val="ListParagraph"/>
        <w:numPr>
          <w:ilvl w:val="0"/>
          <w:numId w:val="2"/>
        </w:numPr>
        <w:spacing w:after="90" w:line="280"/>
      </w:pPr>
      <w:r>
        <w:rPr>
          <w:color w:val="222222"/>
          <w:sz w:val="21"/>
          <w:szCs w:val="21"/>
        </w:rPr>
        <w:t xml:space="preserve">Recherche par numéro de demande, nom du demandeur, entité, catégorie, statut, plage de dates ou plage de montants, aussi bien pour les espaces RH/DG que pour le reporting.</w:t>
      </w:r>
    </w:p>
    <w:p>
      <w:pPr>
        <w:shd w:fill="DCE6F1" w:val="clear"/>
        <w:spacing w:after="120" w:before="280"/>
      </w:pPr>
      <w:r>
        <w:rPr>
          <w:b/>
          <w:bCs/>
          <w:color w:val="1F3864"/>
          <w:sz w:val="21"/>
          <w:szCs w:val="21"/>
        </w:rPr>
        <w:t xml:space="preserve">  F-14  </w:t>
      </w:r>
      <w:r>
        <w:rPr>
          <w:b/>
          <w:bCs/>
          <w:color w:val="1F3864"/>
          <w:sz w:val="21"/>
          <w:szCs w:val="21"/>
        </w:rPr>
        <w:t xml:space="preserve">  Pièces jointes</w:t>
      </w:r>
    </w:p>
    <w:p>
      <w:pPr>
        <w:pStyle w:val="ListParagraph"/>
        <w:numPr>
          <w:ilvl w:val="0"/>
          <w:numId w:val="2"/>
        </w:numPr>
        <w:spacing w:after="90" w:line="280"/>
      </w:pPr>
      <w:r>
        <w:rPr>
          <w:color w:val="222222"/>
          <w:sz w:val="21"/>
          <w:szCs w:val="21"/>
        </w:rPr>
        <w:t xml:space="preserve">Téléversement de fichiers justificatifs (devis, factures pro forma, bons de commande) aux formats PDF, JPG ou PNG, avec une taille maximale par fichier, consultables par les valideurs avant décision.</w:t>
      </w:r>
    </w:p>
    <w:p>
      <w:pPr>
        <w:shd w:fill="DCE6F1" w:val="clear"/>
        <w:spacing w:after="120" w:before="280"/>
      </w:pPr>
      <w:r>
        <w:rPr>
          <w:b/>
          <w:bCs/>
          <w:color w:val="1F3864"/>
          <w:sz w:val="21"/>
          <w:szCs w:val="21"/>
        </w:rPr>
        <w:t xml:space="preserve">  F-15  </w:t>
      </w:r>
      <w:r>
        <w:rPr>
          <w:b/>
          <w:bCs/>
          <w:color w:val="1F3864"/>
          <w:sz w:val="21"/>
          <w:szCs w:val="21"/>
        </w:rPr>
        <w:t xml:space="preserve">  Gestion multi-devises (à confirmer)</w:t>
      </w:r>
    </w:p>
    <w:p>
      <w:pPr>
        <w:pStyle w:val="ListParagraph"/>
        <w:numPr>
          <w:ilvl w:val="0"/>
          <w:numId w:val="2"/>
        </w:numPr>
        <w:spacing w:after="90" w:line="280"/>
      </w:pPr>
      <w:r>
        <w:rPr>
          <w:color w:val="222222"/>
          <w:sz w:val="21"/>
          <w:szCs w:val="21"/>
        </w:rPr>
        <w:t xml:space="preserve">La fiche existante mentionne un montant en USD ; il est recommandé de prévoir la saisie en franc CFA (XOF) et, au besoin, en devise étrangère, avec un taux de change de référence paramétrable pour la consolidation comptable.</w:t>
      </w:r>
    </w:p>
    <w:p>
      <w:pPr>
        <w:shd w:fill="DCE6F1" w:val="clear"/>
        <w:spacing w:after="120" w:before="280"/>
      </w:pPr>
      <w:r>
        <w:rPr>
          <w:b/>
          <w:bCs/>
          <w:color w:val="1F3864"/>
          <w:sz w:val="21"/>
          <w:szCs w:val="21"/>
        </w:rPr>
        <w:t xml:space="preserve">  F-16  </w:t>
      </w:r>
      <w:r>
        <w:rPr>
          <w:b/>
          <w:bCs/>
          <w:color w:val="1F3864"/>
          <w:sz w:val="21"/>
          <w:szCs w:val="21"/>
        </w:rPr>
        <w:t xml:space="preserve">  Sécurité et confidentialité des données</w:t>
      </w:r>
    </w:p>
    <w:p>
      <w:pPr>
        <w:pStyle w:val="ListParagraph"/>
        <w:numPr>
          <w:ilvl w:val="0"/>
          <w:numId w:val="2"/>
        </w:numPr>
        <w:spacing w:after="90" w:line="280"/>
      </w:pPr>
      <w:r>
        <w:rPr>
          <w:color w:val="222222"/>
          <w:sz w:val="21"/>
          <w:szCs w:val="21"/>
        </w:rPr>
        <w:t xml:space="preserve">Connexion chiffrée (HTTPS), protection contre les injections et les failles courantes (XSS, CSRF), limitation du taux de soumission du formulaire public, sauvegardes régulières et chiffrées des données.</w:t>
      </w:r>
    </w:p>
    <w:p>
      <w:pPr>
        <w:pStyle w:val="Heading1"/>
        <w:pBdr>
          <w:bottom w:val="single" w:color="1F3864" w:sz="6" w:space="4"/>
        </w:pBdr>
        <w:spacing w:after="200" w:before="480"/>
      </w:pPr>
      <w:r>
        <w:rPr>
          <w:b/>
          <w:bCs/>
          <w:color w:val="1F3864"/>
          <w:sz w:val="30"/>
          <w:szCs w:val="30"/>
        </w:rPr>
        <w:t xml:space="preserve">5. Règles de gestion</w:t>
      </w:r>
    </w:p>
    <w:p>
      <w:pPr>
        <w:spacing w:after="120" w:line="280"/>
        <w:ind w:left="200"/>
      </w:pPr>
      <w:r>
        <w:rPr>
          <w:b/>
          <w:bCs/>
          <w:color w:val="1F3864"/>
          <w:sz w:val="21"/>
          <w:szCs w:val="21"/>
        </w:rPr>
        <w:t xml:space="preserve">RG-01 — </w:t>
      </w:r>
      <w:r>
        <w:rPr>
          <w:color w:val="222222"/>
          <w:sz w:val="21"/>
          <w:szCs w:val="21"/>
        </w:rPr>
        <w:t xml:space="preserve">Toute demande d'achat est créée via le formulaire public ; aucune authentification n'est requise pour la soumettre.</w:t>
      </w:r>
    </w:p>
    <w:p>
      <w:pPr>
        <w:spacing w:after="120" w:line="280"/>
        <w:ind w:left="200"/>
      </w:pPr>
      <w:r>
        <w:rPr>
          <w:b/>
          <w:bCs/>
          <w:color w:val="1F3864"/>
          <w:sz w:val="21"/>
          <w:szCs w:val="21"/>
        </w:rPr>
        <w:t xml:space="preserve">RG-02 — </w:t>
      </w:r>
      <w:r>
        <w:rPr>
          <w:color w:val="222222"/>
          <w:sz w:val="21"/>
          <w:szCs w:val="21"/>
        </w:rPr>
        <w:t xml:space="preserve">Chaque demande reçoit, dès sa soumission, un numéro unique généré automatiquement (format proposé : DA-AAAA-NNNNN, par exemple DA-2026-00123).</w:t>
      </w:r>
    </w:p>
    <w:p>
      <w:pPr>
        <w:spacing w:after="120" w:line="280"/>
        <w:ind w:left="200"/>
      </w:pPr>
      <w:r>
        <w:rPr>
          <w:b/>
          <w:bCs/>
          <w:color w:val="1F3864"/>
          <w:sz w:val="21"/>
          <w:szCs w:val="21"/>
        </w:rPr>
        <w:t xml:space="preserve">RG-03 — </w:t>
      </w:r>
      <w:r>
        <w:rPr>
          <w:color w:val="222222"/>
          <w:sz w:val="21"/>
          <w:szCs w:val="21"/>
        </w:rPr>
        <w:t xml:space="preserve">Une demande non encore validée peut être modifiée ou supprimée par son auteur, via son lien de suivi personnel, tant qu'aucun valideur n'a statué dessus.</w:t>
      </w:r>
    </w:p>
    <w:p>
      <w:pPr>
        <w:spacing w:after="120" w:line="280"/>
        <w:ind w:left="200"/>
      </w:pPr>
      <w:r>
        <w:rPr>
          <w:b/>
          <w:bCs/>
          <w:color w:val="1F3864"/>
          <w:sz w:val="21"/>
          <w:szCs w:val="21"/>
        </w:rPr>
        <w:t xml:space="preserve">RG-04 — </w:t>
      </w:r>
      <w:r>
        <w:rPr>
          <w:color w:val="222222"/>
          <w:sz w:val="21"/>
          <w:szCs w:val="21"/>
        </w:rPr>
        <w:t xml:space="preserve">La validation par le RH ou par le DG — l'un des deux suffit — rend la demande « Validée ». Il n'est pas nécessaire que les deux valident ; chaque espace dispose d'un pouvoir de validation autonome et équivalent.</w:t>
      </w:r>
    </w:p>
    <w:p>
      <w:pPr>
        <w:spacing w:after="120" w:line="280"/>
        <w:ind w:left="200"/>
      </w:pPr>
      <w:r>
        <w:rPr>
          <w:b/>
          <w:bCs/>
          <w:color w:val="1F3864"/>
          <w:sz w:val="21"/>
          <w:szCs w:val="21"/>
        </w:rPr>
        <w:t xml:space="preserve">RG-05 — </w:t>
      </w:r>
      <w:r>
        <w:rPr>
          <w:color w:val="222222"/>
          <w:sz w:val="21"/>
          <w:szCs w:val="21"/>
        </w:rPr>
        <w:t xml:space="preserve">Dès la validation, le système enregistre automatiquement, sans intervention manuelle, le nom du valideur ainsi que la date et l'heure dans la case de signature correspondante de la fiche.</w:t>
      </w:r>
    </w:p>
    <w:p>
      <w:pPr>
        <w:spacing w:after="120" w:line="280"/>
        <w:ind w:left="200"/>
      </w:pPr>
      <w:r>
        <w:rPr>
          <w:b/>
          <w:bCs/>
          <w:color w:val="1F3864"/>
          <w:sz w:val="21"/>
          <w:szCs w:val="21"/>
        </w:rPr>
        <w:t xml:space="preserve">RG-06 — </w:t>
      </w:r>
      <w:r>
        <w:rPr>
          <w:color w:val="222222"/>
          <w:sz w:val="21"/>
          <w:szCs w:val="21"/>
        </w:rPr>
        <w:t xml:space="preserve">Une demande validée ne peut plus jamais être modifiée ni supprimée, par aucun profil, y compris l'administrateur.</w:t>
      </w:r>
    </w:p>
    <w:p>
      <w:pPr>
        <w:spacing w:after="120" w:line="280"/>
        <w:ind w:left="200"/>
      </w:pPr>
      <w:r>
        <w:rPr>
          <w:b/>
          <w:bCs/>
          <w:color w:val="1F3864"/>
          <w:sz w:val="21"/>
          <w:szCs w:val="21"/>
        </w:rPr>
        <w:t xml:space="preserve">RG-07 — </w:t>
      </w:r>
      <w:r>
        <w:rPr>
          <w:color w:val="222222"/>
          <w:sz w:val="21"/>
          <w:szCs w:val="21"/>
        </w:rPr>
        <w:t xml:space="preserve">Une demande validée peut être annulée par un profil RH ou DG, avec un motif obligatoire ; cette annulation ne supprime jamais la demande et conserve l'intégralité de son historique.</w:t>
      </w:r>
    </w:p>
    <w:p>
      <w:pPr>
        <w:spacing w:after="120" w:line="280"/>
        <w:ind w:left="200"/>
      </w:pPr>
      <w:r>
        <w:rPr>
          <w:b/>
          <w:bCs/>
          <w:color w:val="1F3864"/>
          <w:sz w:val="21"/>
          <w:szCs w:val="21"/>
        </w:rPr>
        <w:t xml:space="preserve">RG-08 — </w:t>
      </w:r>
      <w:r>
        <w:rPr>
          <w:color w:val="222222"/>
          <w:sz w:val="21"/>
          <w:szCs w:val="21"/>
        </w:rPr>
        <w:t xml:space="preserve">Avant validation, une demande peut être rejetée par le RH ou le DG, avec un motif obligatoire ; elle peut alors être corrigée par le demandeur puis resoumise.</w:t>
      </w:r>
    </w:p>
    <w:p>
      <w:pPr>
        <w:spacing w:after="120" w:line="280"/>
        <w:ind w:left="200"/>
      </w:pPr>
      <w:r>
        <w:rPr>
          <w:b/>
          <w:bCs/>
          <w:color w:val="1F3864"/>
          <w:sz w:val="21"/>
          <w:szCs w:val="21"/>
        </w:rPr>
        <w:t xml:space="preserve">RG-09 — </w:t>
      </w:r>
      <w:r>
        <w:rPr>
          <w:color w:val="222222"/>
          <w:sz w:val="21"/>
          <w:szCs w:val="21"/>
        </w:rPr>
        <w:t xml:space="preserve">Le total de chaque ligne d'article (quantité × prix unitaire) ainsi que le total général de la demande sont calculés automatiquement par le système.</w:t>
      </w:r>
    </w:p>
    <w:p>
      <w:pPr>
        <w:spacing w:after="120" w:line="280"/>
        <w:ind w:left="200"/>
      </w:pPr>
      <w:r>
        <w:rPr>
          <w:b/>
          <w:bCs/>
          <w:color w:val="1F3864"/>
          <w:sz w:val="21"/>
          <w:szCs w:val="21"/>
        </w:rPr>
        <w:t xml:space="preserve">RG-10 — </w:t>
      </w:r>
      <w:r>
        <w:rPr>
          <w:color w:val="222222"/>
          <w:sz w:val="21"/>
          <w:szCs w:val="21"/>
        </w:rPr>
        <w:t xml:space="preserve">Le suivi budgétaire (Budget / Réalisé / Disponible) de chaque poste est mis à jour automatiquement dès qu'une demande rattachée à ce poste est validée.</w:t>
      </w:r>
    </w:p>
    <w:p>
      <w:pPr>
        <w:spacing w:after="120" w:line="280"/>
        <w:ind w:left="200"/>
      </w:pPr>
      <w:r>
        <w:rPr>
          <w:b/>
          <w:bCs/>
          <w:color w:val="1F3864"/>
          <w:sz w:val="21"/>
          <w:szCs w:val="21"/>
        </w:rPr>
        <w:t xml:space="preserve">RG-11 — </w:t>
      </w:r>
      <w:r>
        <w:rPr>
          <w:color w:val="222222"/>
          <w:sz w:val="21"/>
          <w:szCs w:val="21"/>
        </w:rPr>
        <w:t xml:space="preserve">La comptabilité par catégorie et par période ne prend en compte, par défaut, que les demandes au statut « Validée » ; les demandes annulées sont exclues des totaux mais restent consultables séparément.</w:t>
      </w:r>
    </w:p>
    <w:p>
      <w:pPr>
        <w:spacing w:after="120" w:line="280"/>
        <w:ind w:left="200"/>
      </w:pPr>
      <w:r>
        <w:rPr>
          <w:b/>
          <w:bCs/>
          <w:color w:val="1F3864"/>
          <w:sz w:val="21"/>
          <w:szCs w:val="21"/>
        </w:rPr>
        <w:t xml:space="preserve">RG-12 — </w:t>
      </w:r>
      <w:r>
        <w:rPr>
          <w:color w:val="222222"/>
          <w:sz w:val="21"/>
          <w:szCs w:val="21"/>
        </w:rPr>
        <w:t xml:space="preserve">Toute action réalisée sur une demande (création, modification, validation, rejet, annulation) est consignée de façon inaltérable dans le journal d'audit, avec son auteur et son horodatage.</w:t>
      </w:r>
    </w:p>
    <w:p>
      <w:pPr>
        <w:pStyle w:val="Heading1"/>
        <w:pBdr>
          <w:bottom w:val="single" w:color="1F3864" w:sz="6" w:space="4"/>
        </w:pBdr>
        <w:spacing w:after="200" w:before="480"/>
      </w:pPr>
      <w:r>
        <w:rPr>
          <w:b/>
          <w:bCs/>
          <w:color w:val="1F3864"/>
          <w:sz w:val="30"/>
          <w:szCs w:val="30"/>
        </w:rPr>
        <w:t xml:space="preserve">6. Cycle de vie d'une demande (statuts)</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Statut</w:t>
            </w:r>
          </w:p>
        </w:tc>
        <w:tc>
          <w:tcPr>
            <w:tcW w:type="dxa" w:w="6426"/>
            <w:shd w:fill="1F3864" w:val="clear"/>
            <w:tcMar>
              <w:top w:type="dxa" w:w="80"/>
              <w:left w:type="dxa" w:w="100"/>
              <w:bottom w:type="dxa" w:w="80"/>
              <w:right w:type="dxa" w:w="100"/>
            </w:tcMar>
            <w:vAlign w:val="center"/>
          </w:tcPr>
          <w:p>
            <w:pPr>
              <w:jc w:val="left"/>
            </w:pPr>
            <w:r>
              <w:rPr>
                <w:b/>
                <w:bCs/>
                <w:color w:val="FFFFFF"/>
                <w:sz w:val="20"/>
                <w:szCs w:val="20"/>
              </w:rPr>
              <w:t xml:space="preserve">Déclencheur</w:t>
            </w:r>
          </w:p>
        </w:tc>
        <w:tc>
          <w:tcPr>
            <w:shd w:fill="1F3864" w:val="clear"/>
            <w:tcMar>
              <w:top w:type="dxa" w:w="80"/>
              <w:left w:type="dxa" w:w="100"/>
              <w:bottom w:type="dxa" w:w="80"/>
              <w:right w:type="dxa" w:w="100"/>
            </w:tcMar>
            <w:vAlign w:val="center"/>
          </w:tcPr>
          <w:p>
            <w:pPr>
              <w:jc w:val="left"/>
            </w:pPr>
            <w:r>
              <w:rPr>
                <w:b/>
                <w:bCs/>
                <w:color w:val="FFFFFF"/>
                <w:sz w:val="20"/>
                <w:szCs w:val="20"/>
              </w:rPr>
              <w:t xml:space="preserve">Actions possibles</w:t>
            </w:r>
          </w:p>
        </w:tc>
        <w:tc>
          <w:tcPr>
            <w:shd w:fill="1F3864" w:val="clear"/>
            <w:tcMar>
              <w:top w:type="dxa" w:w="80"/>
              <w:left w:type="dxa" w:w="100"/>
              <w:bottom w:type="dxa" w:w="80"/>
              <w:right w:type="dxa" w:w="100"/>
            </w:tcMar>
            <w:vAlign w:val="center"/>
          </w:tcPr>
          <w:p>
            <w:pPr>
              <w:jc w:val="left"/>
            </w:pPr>
            <w:r>
              <w:rPr>
                <w:b/>
                <w:bCs/>
                <w:color w:val="FFFFFF"/>
                <w:sz w:val="20"/>
                <w:szCs w:val="20"/>
              </w:rPr>
              <w:t xml:space="preserve">Qui peut agir</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Soumise</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Soumission du formulaire public</w:t>
            </w:r>
          </w:p>
        </w:tc>
        <w:tc>
          <w:tcPr>
            <w:tcMar>
              <w:top w:type="dxa" w:w="80"/>
              <w:left w:type="dxa" w:w="100"/>
              <w:bottom w:type="dxa" w:w="80"/>
              <w:right w:type="dxa" w:w="100"/>
            </w:tcMar>
            <w:vAlign w:val="center"/>
          </w:tcPr>
          <w:p>
            <w:pPr>
              <w:jc w:val="left"/>
            </w:pPr>
            <w:r>
              <w:rPr>
                <w:b w:val="false"/>
                <w:bCs w:val="false"/>
                <w:color w:val="222222"/>
                <w:sz w:val="20"/>
                <w:szCs w:val="20"/>
              </w:rPr>
              <w:t xml:space="preserve">Modifier, supprimer, valider, rejeter</w:t>
            </w:r>
          </w:p>
        </w:tc>
        <w:tc>
          <w:tcPr>
            <w:tcMar>
              <w:top w:type="dxa" w:w="80"/>
              <w:left w:type="dxa" w:w="100"/>
              <w:bottom w:type="dxa" w:w="80"/>
              <w:right w:type="dxa" w:w="100"/>
            </w:tcMar>
            <w:vAlign w:val="center"/>
          </w:tcPr>
          <w:p>
            <w:pPr>
              <w:jc w:val="left"/>
            </w:pPr>
            <w:r>
              <w:rPr>
                <w:b w:val="false"/>
                <w:bCs w:val="false"/>
                <w:color w:val="222222"/>
                <w:sz w:val="20"/>
                <w:szCs w:val="20"/>
              </w:rPr>
              <w:t xml:space="preserve">Demandeur (via son lien), RH, DG</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Rejetée</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Rejet par RH ou DG avant validation</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Corriger et resoumettre</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Demandeur</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Validée</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Validation par RH ou par DG</w:t>
            </w:r>
          </w:p>
        </w:tc>
        <w:tc>
          <w:tcPr>
            <w:tcMar>
              <w:top w:type="dxa" w:w="80"/>
              <w:left w:type="dxa" w:w="100"/>
              <w:bottom w:type="dxa" w:w="80"/>
              <w:right w:type="dxa" w:w="100"/>
            </w:tcMar>
            <w:vAlign w:val="center"/>
          </w:tcPr>
          <w:p>
            <w:pPr>
              <w:jc w:val="left"/>
            </w:pPr>
            <w:r>
              <w:rPr>
                <w:b w:val="false"/>
                <w:bCs w:val="false"/>
                <w:color w:val="222222"/>
                <w:sz w:val="20"/>
                <w:szCs w:val="20"/>
              </w:rPr>
              <w:t xml:space="preserve">Consulter, exporter, annuler</w:t>
            </w:r>
          </w:p>
        </w:tc>
        <w:tc>
          <w:tcPr>
            <w:tcMar>
              <w:top w:type="dxa" w:w="80"/>
              <w:left w:type="dxa" w:w="100"/>
              <w:bottom w:type="dxa" w:w="80"/>
              <w:right w:type="dxa" w:w="100"/>
            </w:tcMar>
            <w:vAlign w:val="center"/>
          </w:tcPr>
          <w:p>
            <w:pPr>
              <w:jc w:val="left"/>
            </w:pPr>
            <w:r>
              <w:rPr>
                <w:b w:val="false"/>
                <w:bCs w:val="false"/>
                <w:color w:val="222222"/>
                <w:sz w:val="20"/>
                <w:szCs w:val="20"/>
              </w:rPr>
              <w:t xml:space="preserve">RH, DG (annulation) — lecture pour tous les espaces privés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Annulée</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Annulation d'une demande validée</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Consulter en lecture seule</w:t>
            </w:r>
          </w:p>
        </w:tc>
        <w:tc>
          <w:tcPr>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Lecture pour tous les espaces privés</w:t>
            </w:r>
          </w:p>
        </w:tc>
      </w:tr>
    </w:tbl>
    <w:p>
      <w:pPr>
        <w:pStyle w:val="Heading1"/>
        <w:pBdr>
          <w:bottom w:val="single" w:color="1F3864" w:sz="6" w:space="4"/>
        </w:pBdr>
        <w:spacing w:after="200" w:before="480"/>
      </w:pPr>
      <w:r>
        <w:rPr>
          <w:b/>
          <w:bCs/>
          <w:color w:val="1F3864"/>
          <w:sz w:val="30"/>
          <w:szCs w:val="30"/>
        </w:rPr>
        <w:t xml:space="preserve">7. Spécifications de la fiche de demande d'achat</w:t>
      </w:r>
    </w:p>
    <w:p>
      <w:pPr>
        <w:spacing w:after="160" w:line="300"/>
        <w:jc w:val="both"/>
      </w:pPr>
      <w:r>
        <w:rPr>
          <w:color w:val="222222"/>
          <w:sz w:val="21"/>
          <w:szCs w:val="21"/>
        </w:rPr>
        <w:t xml:space="preserve">Cette section reprend fidèlement la structure de la fiche fournie par SIM ASSURANCES, en l'adaptant au fonctionnement numérique décrit ci-dessus.</w:t>
      </w:r>
    </w:p>
    <w:p>
      <w:pPr>
        <w:pStyle w:val="Heading2"/>
        <w:spacing w:after="140" w:before="320"/>
      </w:pPr>
      <w:r>
        <w:rPr>
          <w:b/>
          <w:bCs/>
          <w:color w:val="2E5090"/>
          <w:sz w:val="24"/>
          <w:szCs w:val="24"/>
        </w:rPr>
        <w:t xml:space="preserve">7.1 En-tête de la fiche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Champ</w:t>
            </w:r>
          </w:p>
        </w:tc>
        <w:tc>
          <w:tcPr>
            <w:tcW w:type="dxa" w:w="6426"/>
            <w:shd w:fill="1F3864" w:val="clear"/>
            <w:tcMar>
              <w:top w:type="dxa" w:w="80"/>
              <w:left w:type="dxa" w:w="100"/>
              <w:bottom w:type="dxa" w:w="80"/>
              <w:right w:type="dxa" w:w="100"/>
            </w:tcMar>
            <w:vAlign w:val="center"/>
          </w:tcPr>
          <w:p>
            <w:pPr>
              <w:jc w:val="left"/>
            </w:pPr>
            <w:r>
              <w:rPr>
                <w:b/>
                <w:bCs/>
                <w:color w:val="FFFFFF"/>
                <w:sz w:val="20"/>
                <w:szCs w:val="20"/>
              </w:rPr>
              <w:t xml:space="preserve">Origine / comportement</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Date d'établissement</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Renseignée automatiquement par le système à la soumission — non modifiable</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Entité bénéficiaire</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Saisie ou sélectionnée par le demandeur (liste paramétrable par l'administrateur)</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Motif de l'achat</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Saisie libre par le demandeur</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Date de livraison souhaitée</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Saisie par le demandeur (sélecteur de date)</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Nom et coordonnées du demandeur (ajout proposé)</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Saisie par le demandeur — nécessaire au suivi et aux notifications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Catégorie d'achat (ajout proposé)</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Sélection dans une liste paramétrable — nécessaire à la comptabilité par catégorie</w:t>
            </w:r>
          </w:p>
        </w:tc>
      </w:tr>
    </w:tbl>
    <w:p>
      <w:pPr>
        <w:pStyle w:val="Heading2"/>
        <w:spacing w:after="140" w:before="320"/>
      </w:pPr>
      <w:r>
        <w:rPr>
          <w:b/>
          <w:bCs/>
          <w:color w:val="2E5090"/>
          <w:sz w:val="24"/>
          <w:szCs w:val="24"/>
        </w:rPr>
        <w:t xml:space="preserve">7.2 Tableau des articles</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226"/>
        <w:gridCol w:w="2200"/>
        <w:gridCol w:w="2200"/>
        <w:gridCol w:w="2400"/>
      </w:tblGrid>
      <w:tr>
        <w:trPr>
          <w:tblHeader/>
        </w:trPr>
        <w:tc>
          <w:tcPr>
            <w:tcW w:type="dxa" w:w="2226"/>
            <w:shd w:fill="1F3864" w:val="clear"/>
            <w:tcMar>
              <w:top w:type="dxa" w:w="80"/>
              <w:left w:type="dxa" w:w="100"/>
              <w:bottom w:type="dxa" w:w="80"/>
              <w:right w:type="dxa" w:w="100"/>
            </w:tcMar>
            <w:vAlign w:val="center"/>
          </w:tcPr>
          <w:p>
            <w:pPr>
              <w:jc w:val="left"/>
            </w:pPr>
            <w:r>
              <w:rPr>
                <w:b/>
                <w:bCs/>
                <w:color w:val="FFFFFF"/>
                <w:sz w:val="20"/>
                <w:szCs w:val="20"/>
              </w:rPr>
              <w:t xml:space="preserve">Libellés</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Prix unitaire</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Total</w:t>
            </w:r>
          </w:p>
        </w:tc>
      </w:tr>
      <w:tr>
        <w:tc>
          <w:tcPr>
            <w:tcW w:type="dxa" w:w="2226"/>
            <w:tcMar>
              <w:top w:type="dxa" w:w="80"/>
              <w:left w:type="dxa" w:w="100"/>
              <w:bottom w:type="dxa" w:w="80"/>
              <w:right w:type="dxa" w:w="100"/>
            </w:tcMar>
            <w:vAlign w:val="center"/>
          </w:tcPr>
          <w:p>
            <w:pPr>
              <w:jc w:val="left"/>
            </w:pPr>
            <w:r>
              <w:rPr>
                <w:b w:val="false"/>
                <w:bCs w:val="false"/>
                <w:color w:val="222222"/>
                <w:sz w:val="20"/>
                <w:szCs w:val="20"/>
              </w:rPr>
              <w:t xml:space="preserve">(saisie libre)</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(saisie libre)</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(saisie libre)</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calculé automatiquement</w:t>
            </w:r>
          </w:p>
        </w:tc>
      </w:tr>
    </w:tbl>
    <w:p>
      <w:pPr>
        <w:pStyle w:val="Heading2"/>
        <w:spacing w:after="140" w:before="320"/>
      </w:pPr>
      <w:r>
        <w:rPr>
          <w:b/>
          <w:bCs/>
          <w:color w:val="2E5090"/>
          <w:sz w:val="24"/>
          <w:szCs w:val="24"/>
        </w:rPr>
        <w:t xml:space="preserve">7.3 Tableau budgétaire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800"/>
        <w:gridCol w:w="1806"/>
        <w:gridCol w:w="1806"/>
        <w:gridCol w:w="1806"/>
        <w:gridCol w:w="1808"/>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Poste</w:t>
            </w:r>
          </w:p>
        </w:tc>
        <w:tc>
          <w:tcPr>
            <w:tcW w:type="dxa" w:w="1806"/>
            <w:shd w:fill="1F3864" w:val="clear"/>
            <w:tcMar>
              <w:top w:type="dxa" w:w="80"/>
              <w:left w:type="dxa" w:w="100"/>
              <w:bottom w:type="dxa" w:w="80"/>
              <w:right w:type="dxa" w:w="100"/>
            </w:tcMar>
            <w:vAlign w:val="center"/>
          </w:tcPr>
          <w:p>
            <w:pPr>
              <w:jc w:val="left"/>
            </w:pPr>
            <w:r>
              <w:rPr>
                <w:b/>
                <w:bCs/>
                <w:color w:val="FFFFFF"/>
                <w:sz w:val="20"/>
                <w:szCs w:val="20"/>
              </w:rPr>
              <w:t xml:space="preserve">Budget</w:t>
            </w:r>
          </w:p>
        </w:tc>
        <w:tc>
          <w:tcPr>
            <w:tcW w:type="dxa" w:w="1806"/>
            <w:shd w:fill="1F3864" w:val="clear"/>
            <w:tcMar>
              <w:top w:type="dxa" w:w="80"/>
              <w:left w:type="dxa" w:w="100"/>
              <w:bottom w:type="dxa" w:w="80"/>
              <w:right w:type="dxa" w:w="100"/>
            </w:tcMar>
            <w:vAlign w:val="center"/>
          </w:tcPr>
          <w:p>
            <w:pPr>
              <w:jc w:val="left"/>
            </w:pPr>
            <w:r>
              <w:rPr>
                <w:b/>
                <w:bCs/>
                <w:color w:val="FFFFFF"/>
                <w:sz w:val="20"/>
                <w:szCs w:val="20"/>
              </w:rPr>
              <w:t xml:space="preserve">Réalisé</w:t>
            </w:r>
          </w:p>
        </w:tc>
        <w:tc>
          <w:tcPr>
            <w:tcW w:type="dxa" w:w="1806"/>
            <w:shd w:fill="1F3864" w:val="clear"/>
            <w:tcMar>
              <w:top w:type="dxa" w:w="80"/>
              <w:left w:type="dxa" w:w="100"/>
              <w:bottom w:type="dxa" w:w="80"/>
              <w:right w:type="dxa" w:w="100"/>
            </w:tcMar>
            <w:vAlign w:val="center"/>
          </w:tcPr>
          <w:p>
            <w:pPr>
              <w:jc w:val="left"/>
            </w:pPr>
            <w:r>
              <w:rPr>
                <w:b/>
                <w:bCs/>
                <w:color w:val="FFFFFF"/>
                <w:sz w:val="20"/>
                <w:szCs w:val="20"/>
              </w:rPr>
              <w:t xml:space="preserve">Disponible</w:t>
            </w:r>
          </w:p>
        </w:tc>
        <w:tc>
          <w:tcPr>
            <w:tcW w:type="dxa" w:w="1808"/>
            <w:shd w:fill="1F3864" w:val="clear"/>
            <w:tcMar>
              <w:top w:type="dxa" w:w="80"/>
              <w:left w:type="dxa" w:w="100"/>
              <w:bottom w:type="dxa" w:w="80"/>
              <w:right w:type="dxa" w:w="100"/>
            </w:tcMar>
            <w:vAlign w:val="center"/>
          </w:tcPr>
          <w:p>
            <w:pPr>
              <w:jc w:val="left"/>
            </w:pPr>
            <w:r>
              <w:rPr>
                <w:b/>
                <w:bCs/>
                <w:color w:val="FFFFFF"/>
                <w:sz w:val="20"/>
                <w:szCs w:val="20"/>
              </w:rPr>
              <w:t xml:space="preserve">Observations</w:t>
            </w:r>
          </w:p>
        </w:tc>
      </w:tr>
      <w:tr>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(lié au poste budgétaire choisi)</w:t>
            </w:r>
          </w:p>
        </w:tc>
        <w:tc>
          <w:tcPr>
            <w:tcW w:type="dxa" w:w="1806"/>
            <w:tcMar>
              <w:top w:type="dxa" w:w="80"/>
              <w:left w:type="dxa" w:w="100"/>
              <w:bottom w:type="dxa" w:w="80"/>
              <w:right w:type="dxa" w:w="100"/>
            </w:tcMar>
            <w:vAlign w:val="center"/>
          </w:tcPr>
          <w:p>
            <w:pPr>
              <w:jc w:val="left"/>
            </w:pPr>
            <w:r>
              <w:rPr>
                <w:b w:val="false"/>
                <w:bCs w:val="false"/>
                <w:color w:val="222222"/>
                <w:sz w:val="20"/>
                <w:szCs w:val="20"/>
              </w:rPr>
              <w:t xml:space="preserve">paramétré par l'administrateur</w:t>
            </w:r>
          </w:p>
        </w:tc>
        <w:tc>
          <w:tcPr>
            <w:tcW w:type="dxa" w:w="1806"/>
            <w:tcMar>
              <w:top w:type="dxa" w:w="80"/>
              <w:left w:type="dxa" w:w="100"/>
              <w:bottom w:type="dxa" w:w="80"/>
              <w:right w:type="dxa" w:w="100"/>
            </w:tcMar>
            <w:vAlign w:val="center"/>
          </w:tcPr>
          <w:p>
            <w:pPr>
              <w:jc w:val="left"/>
            </w:pPr>
            <w:r>
              <w:rPr>
                <w:b w:val="false"/>
                <w:bCs w:val="false"/>
                <w:color w:val="222222"/>
                <w:sz w:val="20"/>
                <w:szCs w:val="20"/>
              </w:rPr>
              <w:t xml:space="preserve">cumul automatique des demandes validées</w:t>
            </w:r>
          </w:p>
        </w:tc>
        <w:tc>
          <w:tcPr>
            <w:tcW w:type="dxa" w:w="1806"/>
            <w:tcMar>
              <w:top w:type="dxa" w:w="80"/>
              <w:left w:type="dxa" w:w="100"/>
              <w:bottom w:type="dxa" w:w="80"/>
              <w:right w:type="dxa" w:w="100"/>
            </w:tcMar>
            <w:vAlign w:val="center"/>
          </w:tcPr>
          <w:p>
            <w:pPr>
              <w:jc w:val="left"/>
            </w:pPr>
            <w:r>
              <w:rPr>
                <w:b w:val="false"/>
                <w:bCs w:val="false"/>
                <w:color w:val="222222"/>
                <w:sz w:val="20"/>
                <w:szCs w:val="20"/>
              </w:rPr>
              <w:t xml:space="preserve">calculé (Budget − Réalisé)</w:t>
            </w:r>
          </w:p>
        </w:tc>
        <w:tc>
          <w:tcPr>
            <w:tcW w:type="dxa" w:w="1808"/>
            <w:tcMar>
              <w:top w:type="dxa" w:w="80"/>
              <w:left w:type="dxa" w:w="100"/>
              <w:bottom w:type="dxa" w:w="80"/>
              <w:right w:type="dxa" w:w="100"/>
            </w:tcMar>
            <w:vAlign w:val="center"/>
          </w:tcPr>
          <w:p>
            <w:pPr>
              <w:jc w:val="left"/>
            </w:pPr>
            <w:r>
              <w:rPr>
                <w:b w:val="false"/>
                <w:bCs w:val="false"/>
                <w:color w:val="222222"/>
                <w:sz w:val="20"/>
                <w:szCs w:val="20"/>
              </w:rPr>
              <w:t xml:space="preserve">libre</w:t>
            </w:r>
          </w:p>
        </w:tc>
      </w:tr>
    </w:tbl>
    <w:p>
      <w:pPr>
        <w:pStyle w:val="Heading2"/>
        <w:spacing w:after="140" w:before="320"/>
      </w:pPr>
      <w:r>
        <w:rPr>
          <w:b/>
          <w:bCs/>
          <w:color w:val="2E5090"/>
          <w:sz w:val="24"/>
          <w:szCs w:val="24"/>
        </w:rPr>
        <w:t xml:space="preserve">7.4 Cases de signature (bas de fiche)</w:t>
      </w:r>
    </w:p>
    <w:p>
      <w:pPr>
        <w:spacing w:after="160" w:line="300"/>
        <w:jc w:val="both"/>
      </w:pPr>
      <w:r>
        <w:rPr>
          <w:color w:val="222222"/>
          <w:sz w:val="21"/>
          <w:szCs w:val="21"/>
        </w:rPr>
        <w:t xml:space="preserve">La fiche originale comporte quatre cases de signature en pied de page : « Date et visa du Demandeur », « Date et visa du Directeur Commercial », « Date et visa du Responsable Comptable Financier RH » et « Date et visa du Directeur Général ». Dans la version numérique :</w:t>
      </w:r>
    </w:p>
    <w:p>
      <w:pPr>
        <w:pStyle w:val="ListParagraph"/>
        <w:numPr>
          <w:ilvl w:val="0"/>
          <w:numId w:val="2"/>
        </w:numPr>
        <w:spacing w:after="90" w:line="280"/>
      </w:pPr>
      <w:r>
        <w:rPr>
          <w:color w:val="222222"/>
          <w:sz w:val="21"/>
          <w:szCs w:val="21"/>
        </w:rPr>
        <w:t xml:space="preserve">La case « Demandeur » est renseignée automatiquement à la soumission (date et heure de création de la demande).</w:t>
      </w:r>
    </w:p>
    <w:p>
      <w:pPr>
        <w:pStyle w:val="ListParagraph"/>
        <w:numPr>
          <w:ilvl w:val="0"/>
          <w:numId w:val="2"/>
        </w:numPr>
        <w:spacing w:after="90" w:line="280"/>
      </w:pPr>
      <w:r>
        <w:rPr>
          <w:color w:val="222222"/>
          <w:sz w:val="21"/>
          <w:szCs w:val="21"/>
        </w:rPr>
        <w:t xml:space="preserve">La case « Responsable Comptable Financier RH » est renseignée automatiquement dès la validation par l'Espace RH.</w:t>
      </w:r>
    </w:p>
    <w:p>
      <w:pPr>
        <w:pStyle w:val="ListParagraph"/>
        <w:numPr>
          <w:ilvl w:val="0"/>
          <w:numId w:val="2"/>
        </w:numPr>
        <w:spacing w:after="90" w:line="280"/>
      </w:pPr>
      <w:r>
        <w:rPr>
          <w:color w:val="222222"/>
          <w:sz w:val="21"/>
          <w:szCs w:val="21"/>
        </w:rPr>
        <w:t xml:space="preserve">La case « Directeur Général » est renseignée automatiquement dès la validation par l'Espace DG.</w:t>
      </w:r>
    </w:p>
    <w:p>
      <w:pPr>
        <w:pStyle w:val="ListParagraph"/>
        <w:numPr>
          <w:ilvl w:val="0"/>
          <w:numId w:val="2"/>
        </w:numPr>
        <w:spacing w:after="90" w:line="280"/>
      </w:pPr>
      <w:r>
        <w:rPr>
          <w:color w:val="222222"/>
          <w:sz w:val="21"/>
          <w:szCs w:val="21"/>
        </w:rPr>
        <w:t xml:space="preserve">La case « Directeur Commercial », sans équivalent parmi les comptes valideurs décrits, est proposée soit en suppression, soit en case informative laissée vide — voir le point d'attention de la section 2 et la section 12.</w:t>
      </w:r>
    </w:p>
    <w:p>
      <w:pPr>
        <w:pStyle w:val="Heading1"/>
        <w:pBdr>
          <w:bottom w:val="single" w:color="1F3864" w:sz="6" w:space="4"/>
        </w:pBdr>
        <w:spacing w:after="200" w:before="480"/>
      </w:pPr>
      <w:r>
        <w:rPr>
          <w:b/>
          <w:bCs/>
          <w:color w:val="1F3864"/>
          <w:sz w:val="30"/>
          <w:szCs w:val="30"/>
        </w:rPr>
        <w:t xml:space="preserve">8. Modèle de données (entités principales)</w:t>
      </w:r>
    </w:p>
    <w:p>
      <w:pPr>
        <w:pStyle w:val="Heading3"/>
        <w:spacing w:after="100" w:before="220"/>
      </w:pPr>
      <w:r>
        <w:rPr>
          <w:b/>
          <w:bCs/>
          <w:color w:val="1F3864"/>
          <w:sz w:val="22"/>
          <w:szCs w:val="22"/>
        </w:rPr>
        <w:t xml:space="preserve">DemandeAchat</w:t>
      </w:r>
    </w:p>
    <w:p>
      <w:pPr>
        <w:spacing w:after="160" w:line="300"/>
        <w:jc w:val="both"/>
      </w:pPr>
      <w:r>
        <w:rPr>
          <w:color w:val="222222"/>
          <w:sz w:val="21"/>
          <w:szCs w:val="21"/>
        </w:rPr>
        <w:t xml:space="preserve">Numéro unique, date de création, demandeur (nom, email, téléphone), entité bénéficiaire, motif, date de livraison souhaitée, catégorie, poste budgétaire, devise, montant total, statut, date de validation, valideur, date d'annulation, auteur de l'annulation, motif d'annulation.</w:t>
      </w:r>
    </w:p>
    <w:p>
      <w:pPr>
        <w:pStyle w:val="Heading3"/>
        <w:spacing w:after="100" w:before="220"/>
      </w:pPr>
      <w:r>
        <w:rPr>
          <w:b/>
          <w:bCs/>
          <w:color w:val="1F3864"/>
          <w:sz w:val="22"/>
          <w:szCs w:val="22"/>
        </w:rPr>
        <w:t xml:space="preserve">LigneArticle</w:t>
      </w:r>
    </w:p>
    <w:p>
      <w:pPr>
        <w:spacing w:after="160" w:line="300"/>
        <w:jc w:val="both"/>
      </w:pPr>
      <w:r>
        <w:rPr>
          <w:color w:val="222222"/>
          <w:sz w:val="21"/>
          <w:szCs w:val="21"/>
        </w:rPr>
        <w:t xml:space="preserve">Demande associée, libellé, quantité, prix unitaire, total de la ligne.</w:t>
      </w:r>
    </w:p>
    <w:p>
      <w:pPr>
        <w:pStyle w:val="Heading3"/>
        <w:spacing w:after="100" w:before="220"/>
      </w:pPr>
      <w:r>
        <w:rPr>
          <w:b/>
          <w:bCs/>
          <w:color w:val="1F3864"/>
          <w:sz w:val="22"/>
          <w:szCs w:val="22"/>
        </w:rPr>
        <w:t xml:space="preserve">Signature</w:t>
      </w:r>
    </w:p>
    <w:p>
      <w:pPr>
        <w:spacing w:after="160" w:line="300"/>
        <w:jc w:val="both"/>
      </w:pPr>
      <w:r>
        <w:rPr>
          <w:color w:val="222222"/>
          <w:sz w:val="21"/>
          <w:szCs w:val="21"/>
        </w:rPr>
        <w:t xml:space="preserve">Demande associée, rôle du signataire (Demandeur, RH, DG), nom du signataire, date et heure, empreinte technique (adresse IP / session, non affichée).</w:t>
      </w:r>
    </w:p>
    <w:p>
      <w:pPr>
        <w:pStyle w:val="Heading3"/>
        <w:spacing w:after="100" w:before="220"/>
      </w:pPr>
      <w:r>
        <w:rPr>
          <w:b/>
          <w:bCs/>
          <w:color w:val="1F3864"/>
          <w:sz w:val="22"/>
          <w:szCs w:val="22"/>
        </w:rPr>
        <w:t xml:space="preserve">Budget</w:t>
      </w:r>
    </w:p>
    <w:p>
      <w:pPr>
        <w:spacing w:after="160" w:line="300"/>
        <w:jc w:val="both"/>
      </w:pPr>
      <w:r>
        <w:rPr>
          <w:color w:val="222222"/>
          <w:sz w:val="21"/>
          <w:szCs w:val="21"/>
        </w:rPr>
        <w:t xml:space="preserve">Poste budgétaire, entité, période, montant alloué, montant réalisé, montant disponible (calculé).</w:t>
      </w:r>
    </w:p>
    <w:p>
      <w:pPr>
        <w:pStyle w:val="Heading3"/>
        <w:spacing w:after="100" w:before="220"/>
      </w:pPr>
      <w:r>
        <w:rPr>
          <w:b/>
          <w:bCs/>
          <w:color w:val="1F3864"/>
          <w:sz w:val="22"/>
          <w:szCs w:val="22"/>
        </w:rPr>
        <w:t xml:space="preserve">Categorie / Entite / Utilisateur</w:t>
      </w:r>
    </w:p>
    <w:p>
      <w:pPr>
        <w:spacing w:after="160" w:line="300"/>
        <w:jc w:val="both"/>
      </w:pPr>
      <w:r>
        <w:rPr>
          <w:color w:val="222222"/>
          <w:sz w:val="21"/>
          <w:szCs w:val="21"/>
        </w:rPr>
        <w:t xml:space="preserve">Tables de référence paramétrables par l'administrateur : catégories d'achat, entités bénéficiaires, comptes utilisateurs (nom, identifiant, mot de passe, rôle RH/DG/Admin, statut actif).</w:t>
      </w:r>
    </w:p>
    <w:p>
      <w:pPr>
        <w:pStyle w:val="Heading3"/>
        <w:spacing w:after="100" w:before="220"/>
      </w:pPr>
      <w:r>
        <w:rPr>
          <w:b/>
          <w:bCs/>
          <w:color w:val="1F3864"/>
          <w:sz w:val="22"/>
          <w:szCs w:val="22"/>
        </w:rPr>
        <w:t xml:space="preserve">PieceJointe</w:t>
      </w:r>
    </w:p>
    <w:p>
      <w:pPr>
        <w:spacing w:after="160" w:line="300"/>
        <w:jc w:val="both"/>
      </w:pPr>
      <w:r>
        <w:rPr>
          <w:color w:val="222222"/>
          <w:sz w:val="21"/>
          <w:szCs w:val="21"/>
        </w:rPr>
        <w:t xml:space="preserve">Demande associée, fichier, type de document, date de dépôt.</w:t>
      </w:r>
    </w:p>
    <w:p>
      <w:pPr>
        <w:pStyle w:val="Heading3"/>
        <w:spacing w:after="100" w:before="220"/>
      </w:pPr>
      <w:r>
        <w:rPr>
          <w:b/>
          <w:bCs/>
          <w:color w:val="1F3864"/>
          <w:sz w:val="22"/>
          <w:szCs w:val="22"/>
        </w:rPr>
        <w:t xml:space="preserve">JournalAudit</w:t>
      </w:r>
    </w:p>
    <w:p>
      <w:pPr>
        <w:spacing w:after="160" w:line="300"/>
        <w:jc w:val="both"/>
      </w:pPr>
      <w:r>
        <w:rPr>
          <w:color w:val="222222"/>
          <w:sz w:val="21"/>
          <w:szCs w:val="21"/>
        </w:rPr>
        <w:t xml:space="preserve">Demande associée, action réalisée, auteur, date et heure, détail de l'action — table en écriture seule (append-only), jamais modifiée ni purgée.</w:t>
      </w:r>
    </w:p>
    <w:p>
      <w:pPr>
        <w:pStyle w:val="Heading1"/>
        <w:pBdr>
          <w:bottom w:val="single" w:color="1F3864" w:sz="6" w:space="4"/>
        </w:pBdr>
        <w:spacing w:after="200" w:before="480"/>
      </w:pPr>
      <w:r>
        <w:rPr>
          <w:b/>
          <w:bCs/>
          <w:color w:val="1F3864"/>
          <w:sz w:val="30"/>
          <w:szCs w:val="30"/>
        </w:rPr>
        <w:t xml:space="preserve">9. Exigences non fonctionnelles</w:t>
      </w:r>
    </w:p>
    <w:p>
      <w:pPr>
        <w:pStyle w:val="ListParagraph"/>
        <w:numPr>
          <w:ilvl w:val="0"/>
          <w:numId w:val="2"/>
        </w:numPr>
        <w:spacing w:after="90" w:line="280"/>
      </w:pPr>
      <w:r>
        <w:rPr>
          <w:color w:val="222222"/>
          <w:sz w:val="21"/>
          <w:szCs w:val="21"/>
        </w:rPr>
        <w:t xml:space="preserve">Performance : temps de chargement des pages inférieur à 2 secondes dans des conditions normales d'utilisation.</w:t>
      </w:r>
    </w:p>
    <w:p>
      <w:pPr>
        <w:pStyle w:val="ListParagraph"/>
        <w:numPr>
          <w:ilvl w:val="0"/>
          <w:numId w:val="2"/>
        </w:numPr>
        <w:spacing w:after="90" w:line="280"/>
      </w:pPr>
      <w:r>
        <w:rPr>
          <w:color w:val="222222"/>
          <w:sz w:val="21"/>
          <w:szCs w:val="21"/>
        </w:rPr>
        <w:t xml:space="preserve">Disponibilité : taux de disponibilité cible de 99,5 % (hors maintenance planifiée).</w:t>
      </w:r>
    </w:p>
    <w:p>
      <w:pPr>
        <w:pStyle w:val="ListParagraph"/>
        <w:numPr>
          <w:ilvl w:val="0"/>
          <w:numId w:val="2"/>
        </w:numPr>
        <w:spacing w:after="90" w:line="280"/>
      </w:pPr>
      <w:r>
        <w:rPr>
          <w:color w:val="222222"/>
          <w:sz w:val="21"/>
          <w:szCs w:val="21"/>
        </w:rPr>
        <w:t xml:space="preserve">Compatibilité : navigateurs récents (Chrome, Edge, Firefox, Safari) et affichage adapté aux mobiles et tablettes.</w:t>
      </w:r>
    </w:p>
    <w:p>
      <w:pPr>
        <w:pStyle w:val="ListParagraph"/>
        <w:numPr>
          <w:ilvl w:val="0"/>
          <w:numId w:val="2"/>
        </w:numPr>
        <w:spacing w:after="90" w:line="280"/>
      </w:pPr>
      <w:r>
        <w:rPr>
          <w:color w:val="222222"/>
          <w:sz w:val="21"/>
          <w:szCs w:val="21"/>
        </w:rPr>
        <w:t xml:space="preserve">Ergonomie : formulaire guidé, messages d'erreur explicites, parcours de validation simple pour les espaces RH et DG.</w:t>
      </w:r>
    </w:p>
    <w:p>
      <w:pPr>
        <w:pStyle w:val="ListParagraph"/>
        <w:numPr>
          <w:ilvl w:val="0"/>
          <w:numId w:val="2"/>
        </w:numPr>
        <w:spacing w:after="90" w:line="280"/>
      </w:pPr>
      <w:r>
        <w:rPr>
          <w:color w:val="222222"/>
          <w:sz w:val="21"/>
          <w:szCs w:val="21"/>
        </w:rPr>
        <w:t xml:space="preserve">Langue : interface en français, avec possibilité d'extension à d'autres langues.</w:t>
      </w:r>
    </w:p>
    <w:p>
      <w:pPr>
        <w:pStyle w:val="ListParagraph"/>
        <w:numPr>
          <w:ilvl w:val="0"/>
          <w:numId w:val="2"/>
        </w:numPr>
        <w:spacing w:after="90" w:line="280"/>
      </w:pPr>
      <w:r>
        <w:rPr>
          <w:color w:val="222222"/>
          <w:sz w:val="21"/>
          <w:szCs w:val="21"/>
        </w:rPr>
        <w:t xml:space="preserve">Sauvegarde : sauvegarde automatique quotidienne de la base de données, avec conservation sur plusieurs générations.</w:t>
      </w:r>
    </w:p>
    <w:p>
      <w:pPr>
        <w:pStyle w:val="ListParagraph"/>
        <w:numPr>
          <w:ilvl w:val="0"/>
          <w:numId w:val="2"/>
        </w:numPr>
        <w:spacing w:after="90" w:line="280"/>
      </w:pPr>
      <w:r>
        <w:rPr>
          <w:color w:val="222222"/>
          <w:sz w:val="21"/>
          <w:szCs w:val="21"/>
        </w:rPr>
        <w:t xml:space="preserve">Conservation des données : durée de conservation du journal d'audit et des demandes à définir avec le service comptable/juridique de SIM ASSURANCES (voir section 12).</w:t>
      </w:r>
    </w:p>
    <w:p>
      <w:pPr>
        <w:pStyle w:val="Heading1"/>
        <w:pBdr>
          <w:bottom w:val="single" w:color="1F3864" w:sz="6" w:space="4"/>
        </w:pBdr>
        <w:spacing w:after="200" w:before="480"/>
      </w:pPr>
      <w:r>
        <w:rPr>
          <w:b/>
          <w:bCs/>
          <w:color w:val="1F3864"/>
          <w:sz w:val="30"/>
          <w:szCs w:val="30"/>
        </w:rPr>
        <w:t xml:space="preserve">10. Sécurité et confidentialité</w:t>
      </w:r>
    </w:p>
    <w:p>
      <w:pPr>
        <w:pStyle w:val="ListParagraph"/>
        <w:numPr>
          <w:ilvl w:val="0"/>
          <w:numId w:val="2"/>
        </w:numPr>
        <w:spacing w:after="90" w:line="280"/>
      </w:pPr>
      <w:r>
        <w:rPr>
          <w:color w:val="222222"/>
          <w:sz w:val="21"/>
          <w:szCs w:val="21"/>
        </w:rPr>
        <w:t xml:space="preserve">Chiffrement des échanges (HTTPS) sur l'ensemble de l'application, y compris la page publique.</w:t>
      </w:r>
    </w:p>
    <w:p>
      <w:pPr>
        <w:pStyle w:val="ListParagraph"/>
        <w:numPr>
          <w:ilvl w:val="0"/>
          <w:numId w:val="2"/>
        </w:numPr>
        <w:spacing w:after="90" w:line="280"/>
      </w:pPr>
      <w:r>
        <w:rPr>
          <w:color w:val="222222"/>
          <w:sz w:val="21"/>
          <w:szCs w:val="21"/>
        </w:rPr>
        <w:t xml:space="preserve">Authentification forte pour les espaces RH, DG et Administrateur ; authentification à deux facteurs recommandée, en particulier pour le compte DG.</w:t>
      </w:r>
    </w:p>
    <w:p>
      <w:pPr>
        <w:pStyle w:val="ListParagraph"/>
        <w:numPr>
          <w:ilvl w:val="0"/>
          <w:numId w:val="2"/>
        </w:numPr>
        <w:spacing w:after="90" w:line="280"/>
      </w:pPr>
      <w:r>
        <w:rPr>
          <w:color w:val="222222"/>
          <w:sz w:val="21"/>
          <w:szCs w:val="21"/>
        </w:rPr>
        <w:t xml:space="preserve">Protection contre les vulnérabilités courantes (injection SQL, XSS, CSRF) et limitation du taux de soumission du formulaire public pour prévenir les abus.</w:t>
      </w:r>
    </w:p>
    <w:p>
      <w:pPr>
        <w:pStyle w:val="ListParagraph"/>
        <w:numPr>
          <w:ilvl w:val="0"/>
          <w:numId w:val="2"/>
        </w:numPr>
        <w:spacing w:after="90" w:line="280"/>
      </w:pPr>
      <w:r>
        <w:rPr>
          <w:color w:val="222222"/>
          <w:sz w:val="21"/>
          <w:szCs w:val="21"/>
        </w:rPr>
        <w:t xml:space="preserve">Contrôle d'accès strict par rôle (RBAC) : un demandeur ne peut jamais accéder aux données d'une autre demande que la sienne ; seuls RH, DG et Administrateur accèdent à l'ensemble des demandes.</w:t>
      </w:r>
    </w:p>
    <w:p>
      <w:pPr>
        <w:pStyle w:val="ListParagraph"/>
        <w:numPr>
          <w:ilvl w:val="0"/>
          <w:numId w:val="2"/>
        </w:numPr>
        <w:spacing w:after="90" w:line="280"/>
      </w:pPr>
      <w:r>
        <w:rPr>
          <w:color w:val="222222"/>
          <w:sz w:val="21"/>
          <w:szCs w:val="21"/>
        </w:rPr>
        <w:t xml:space="preserve">Journalisation des connexions et des actions sensibles (validation, rejet, annulation, modification de paramètres).</w:t>
      </w:r>
    </w:p>
    <w:p>
      <w:pPr>
        <w:pStyle w:val="ListParagraph"/>
        <w:numPr>
          <w:ilvl w:val="0"/>
          <w:numId w:val="2"/>
        </w:numPr>
        <w:spacing w:after="90" w:line="280"/>
      </w:pPr>
      <w:r>
        <w:rPr>
          <w:color w:val="222222"/>
          <w:sz w:val="21"/>
          <w:szCs w:val="21"/>
        </w:rPr>
        <w:t xml:space="preserve">Conformité à la réglementation applicable en matière de protection des données personnelles pour les coordonnées des demandeurs.</w:t>
      </w:r>
    </w:p>
    <w:p>
      <w:pPr>
        <w:pStyle w:val="Heading1"/>
        <w:pBdr>
          <w:bottom w:val="single" w:color="1F3864" w:sz="6" w:space="4"/>
        </w:pBdr>
        <w:spacing w:after="200" w:before="480"/>
      </w:pPr>
      <w:r>
        <w:rPr>
          <w:b/>
          <w:bCs/>
          <w:color w:val="1F3864"/>
          <w:sz w:val="30"/>
          <w:szCs w:val="30"/>
        </w:rPr>
        <w:t xml:space="preserve">11. Architecture technique proposée (indicative)</w:t>
      </w:r>
    </w:p>
    <w:p>
      <w:pPr>
        <w:spacing w:after="160" w:line="300"/>
        <w:jc w:val="both"/>
      </w:pPr>
      <w:r>
        <w:rPr>
          <w:color w:val="222222"/>
          <w:sz w:val="21"/>
          <w:szCs w:val="21"/>
        </w:rPr>
        <w:t xml:space="preserve">Cette architecture est donnée à titre indicatif et n'est pas contractuelle ; elle sera arrêtée avec l'équipe ou le prestataire retenu pour le développement.</w:t>
      </w:r>
    </w:p>
    <w:p>
      <w:pPr>
        <w:pStyle w:val="ListParagraph"/>
        <w:numPr>
          <w:ilvl w:val="0"/>
          <w:numId w:val="2"/>
        </w:numPr>
        <w:spacing w:after="90" w:line="280"/>
      </w:pPr>
      <w:r>
        <w:rPr>
          <w:color w:val="222222"/>
          <w:sz w:val="21"/>
          <w:szCs w:val="21"/>
        </w:rPr>
        <w:t xml:space="preserve">Frontend : application web responsive (par exemple React ou Vue.js).</w:t>
      </w:r>
    </w:p>
    <w:p>
      <w:pPr>
        <w:pStyle w:val="ListParagraph"/>
        <w:numPr>
          <w:ilvl w:val="0"/>
          <w:numId w:val="2"/>
        </w:numPr>
        <w:spacing w:after="90" w:line="280"/>
      </w:pPr>
      <w:r>
        <w:rPr>
          <w:color w:val="222222"/>
          <w:sz w:val="21"/>
          <w:szCs w:val="21"/>
        </w:rPr>
        <w:t xml:space="preserve">Backend : API sécurisée (par exemple Node.js/Express, PHP/Laravel ou Python/Django).</w:t>
      </w:r>
    </w:p>
    <w:p>
      <w:pPr>
        <w:pStyle w:val="ListParagraph"/>
        <w:numPr>
          <w:ilvl w:val="0"/>
          <w:numId w:val="2"/>
        </w:numPr>
        <w:spacing w:after="90" w:line="280"/>
      </w:pPr>
      <w:r>
        <w:rPr>
          <w:color w:val="222222"/>
          <w:sz w:val="21"/>
          <w:szCs w:val="21"/>
        </w:rPr>
        <w:t xml:space="preserve">Base de données : base relationnelle (PostgreSQL ou MySQL) afin de garantir l'intégrité des données financières et l'auditabilité.</w:t>
      </w:r>
    </w:p>
    <w:p>
      <w:pPr>
        <w:pStyle w:val="ListParagraph"/>
        <w:numPr>
          <w:ilvl w:val="0"/>
          <w:numId w:val="2"/>
        </w:numPr>
        <w:spacing w:after="90" w:line="280"/>
      </w:pPr>
      <w:r>
        <w:rPr>
          <w:color w:val="222222"/>
          <w:sz w:val="21"/>
          <w:szCs w:val="21"/>
        </w:rPr>
        <w:t xml:space="preserve">Génération de documents : bibliothèque de génération PDF côté serveur pour reproduire la fiche officielle et les rapports.</w:t>
      </w:r>
    </w:p>
    <w:p>
      <w:pPr>
        <w:pStyle w:val="ListParagraph"/>
        <w:numPr>
          <w:ilvl w:val="0"/>
          <w:numId w:val="2"/>
        </w:numPr>
        <w:spacing w:after="90" w:line="280"/>
      </w:pPr>
      <w:r>
        <w:rPr>
          <w:color w:val="222222"/>
          <w:sz w:val="21"/>
          <w:szCs w:val="21"/>
        </w:rPr>
        <w:t xml:space="preserve">Notifications : service d'envoi d'emails transactionnels pour les accusés de réception et les alertes.</w:t>
      </w:r>
    </w:p>
    <w:p>
      <w:pPr>
        <w:pStyle w:val="ListParagraph"/>
        <w:numPr>
          <w:ilvl w:val="0"/>
          <w:numId w:val="2"/>
        </w:numPr>
        <w:spacing w:after="90" w:line="280"/>
      </w:pPr>
      <w:r>
        <w:rPr>
          <w:color w:val="222222"/>
          <w:sz w:val="21"/>
          <w:szCs w:val="21"/>
        </w:rPr>
        <w:t xml:space="preserve">Hébergement : environnement cloud sécurisé avec sauvegardes automatiques, ou infrastructure interne selon la politique informatique de SIM ASSURANCES.</w:t>
      </w:r>
    </w:p>
    <w:p>
      <w:pPr>
        <w:pStyle w:val="Heading1"/>
        <w:pBdr>
          <w:bottom w:val="single" w:color="1F3864" w:sz="6" w:space="4"/>
        </w:pBdr>
        <w:spacing w:after="200" w:before="480"/>
      </w:pPr>
      <w:r>
        <w:rPr>
          <w:b/>
          <w:bCs/>
          <w:color w:val="1F3864"/>
          <w:sz w:val="30"/>
          <w:szCs w:val="30"/>
        </w:rPr>
        <w:t xml:space="preserve">12. Hypothèses et points à confirmer avec SIM ASSURANCES</w:t>
      </w:r>
    </w:p>
    <w:p>
      <w:pPr>
        <w:pStyle w:val="ListParagraph"/>
        <w:numPr>
          <w:ilvl w:val="0"/>
          <w:numId w:val="2"/>
        </w:numPr>
        <w:spacing w:after="90" w:line="280"/>
      </w:pPr>
      <w:r>
        <w:rPr>
          <w:color w:val="222222"/>
          <w:sz w:val="21"/>
          <w:szCs w:val="21"/>
        </w:rPr>
        <w:t xml:space="preserve">Le traitement de la case « Directeur Commercial » présente sur la fiche papier mais sans compte valideur correspondant dans le périmètre décrit (suppression, ou conservation en case informative sans pouvoir de validation).</w:t>
      </w:r>
    </w:p>
    <w:p>
      <w:pPr>
        <w:pStyle w:val="ListParagraph"/>
        <w:numPr>
          <w:ilvl w:val="0"/>
          <w:numId w:val="2"/>
        </w:numPr>
        <w:spacing w:after="90" w:line="280"/>
      </w:pPr>
      <w:r>
        <w:rPr>
          <w:color w:val="222222"/>
          <w:sz w:val="21"/>
          <w:szCs w:val="21"/>
        </w:rPr>
        <w:t xml:space="preserve">La confirmation des champs ajoutés par ce cahier des charges — coordonnées du demandeur et catégorie d'achat — qui ne figurent pas dans la fiche originale mais sont nécessaires respectivement au suivi/notification et à la comptabilité par catégorie.</w:t>
      </w:r>
    </w:p>
    <w:p>
      <w:pPr>
        <w:pStyle w:val="ListParagraph"/>
        <w:numPr>
          <w:ilvl w:val="0"/>
          <w:numId w:val="2"/>
        </w:numPr>
        <w:spacing w:after="90" w:line="280"/>
      </w:pPr>
      <w:r>
        <w:rPr>
          <w:color w:val="222222"/>
          <w:sz w:val="21"/>
          <w:szCs w:val="21"/>
        </w:rPr>
        <w:t xml:space="preserve">La ou les devises de référence à gérer (franc CFA, dollar américain, ou les deux, comme suggéré par l'exemple figurant sur la fiche fournie).</w:t>
      </w:r>
    </w:p>
    <w:p>
      <w:pPr>
        <w:pStyle w:val="ListParagraph"/>
        <w:numPr>
          <w:ilvl w:val="0"/>
          <w:numId w:val="2"/>
        </w:numPr>
        <w:spacing w:after="90" w:line="280"/>
      </w:pPr>
      <w:r>
        <w:rPr>
          <w:color w:val="222222"/>
          <w:sz w:val="21"/>
          <w:szCs w:val="21"/>
        </w:rPr>
        <w:t xml:space="preserve">L'existence éventuelle d'un seuil de montant nécessitant une double validation (RH ET DG) plutôt qu'une validation par l'un ou l'autre ; par défaut, ce cahier des charges retient qu'une seule validation suffit, quel que soit le montant (RG-04).</w:t>
      </w:r>
    </w:p>
    <w:p>
      <w:pPr>
        <w:pStyle w:val="ListParagraph"/>
        <w:numPr>
          <w:ilvl w:val="0"/>
          <w:numId w:val="2"/>
        </w:numPr>
        <w:spacing w:after="90" w:line="280"/>
      </w:pPr>
      <w:r>
        <w:rPr>
          <w:color w:val="222222"/>
          <w:sz w:val="21"/>
          <w:szCs w:val="21"/>
        </w:rPr>
        <w:t xml:space="preserve">La durée légale de conservation des demandes et du journal d'audit, à confirmer avec le service comptable ou juridique.</w:t>
      </w:r>
    </w:p>
    <w:p>
      <w:pPr>
        <w:pStyle w:val="ListParagraph"/>
        <w:numPr>
          <w:ilvl w:val="0"/>
          <w:numId w:val="2"/>
        </w:numPr>
        <w:spacing w:after="90" w:line="280"/>
      </w:pPr>
      <w:r>
        <w:rPr>
          <w:color w:val="222222"/>
          <w:sz w:val="21"/>
          <w:szCs w:val="21"/>
        </w:rPr>
        <w:t xml:space="preserve">La possibilité, ou non, d'accorder à l'administrateur un droit d'annulation, en plus des profils RH et DG.</w:t>
      </w:r>
    </w:p>
    <w:p>
      <w:pPr>
        <w:pStyle w:val="Heading1"/>
        <w:pBdr>
          <w:bottom w:val="single" w:color="1F3864" w:sz="6" w:space="4"/>
        </w:pBdr>
        <w:spacing w:after="200" w:before="480"/>
      </w:pPr>
      <w:r>
        <w:rPr>
          <w:b/>
          <w:bCs/>
          <w:color w:val="1F3864"/>
          <w:sz w:val="30"/>
          <w:szCs w:val="30"/>
        </w:rPr>
        <w:t xml:space="preserve">13. Livrables attendus</w:t>
      </w:r>
    </w:p>
    <w:p>
      <w:pPr>
        <w:pStyle w:val="ListParagraph"/>
        <w:numPr>
          <w:ilvl w:val="0"/>
          <w:numId w:val="2"/>
        </w:numPr>
        <w:spacing w:after="90" w:line="280"/>
      </w:pPr>
      <w:r>
        <w:rPr>
          <w:color w:val="222222"/>
          <w:sz w:val="21"/>
          <w:szCs w:val="21"/>
        </w:rPr>
        <w:t xml:space="preserve">Maquettes et spécifications détaillées validées par SIM ASSURANCES.</w:t>
      </w:r>
    </w:p>
    <w:p>
      <w:pPr>
        <w:pStyle w:val="ListParagraph"/>
        <w:numPr>
          <w:ilvl w:val="0"/>
          <w:numId w:val="2"/>
        </w:numPr>
        <w:spacing w:after="90" w:line="280"/>
      </w:pPr>
      <w:r>
        <w:rPr>
          <w:color w:val="222222"/>
          <w:sz w:val="21"/>
          <w:szCs w:val="21"/>
        </w:rPr>
        <w:t xml:space="preserve">Application déployée, d'abord en environnement de test puis en production.</w:t>
      </w:r>
    </w:p>
    <w:p>
      <w:pPr>
        <w:pStyle w:val="ListParagraph"/>
        <w:numPr>
          <w:ilvl w:val="0"/>
          <w:numId w:val="2"/>
        </w:numPr>
        <w:spacing w:after="90" w:line="280"/>
      </w:pPr>
      <w:r>
        <w:rPr>
          <w:color w:val="222222"/>
          <w:sz w:val="21"/>
          <w:szCs w:val="21"/>
        </w:rPr>
        <w:t xml:space="preserve">Documentation utilisateur pour chaque profil (demandeur, RH, DG, administrateur).</w:t>
      </w:r>
    </w:p>
    <w:p>
      <w:pPr>
        <w:pStyle w:val="ListParagraph"/>
        <w:numPr>
          <w:ilvl w:val="0"/>
          <w:numId w:val="2"/>
        </w:numPr>
        <w:spacing w:after="90" w:line="280"/>
      </w:pPr>
      <w:r>
        <w:rPr>
          <w:color w:val="222222"/>
          <w:sz w:val="21"/>
          <w:szCs w:val="21"/>
        </w:rPr>
        <w:t xml:space="preserve">Formation des utilisateurs clés (RH, DG, administrateur).</w:t>
      </w:r>
    </w:p>
    <w:p>
      <w:pPr>
        <w:pStyle w:val="ListParagraph"/>
        <w:numPr>
          <w:ilvl w:val="0"/>
          <w:numId w:val="2"/>
        </w:numPr>
        <w:spacing w:after="90" w:line="280"/>
      </w:pPr>
      <w:r>
        <w:rPr>
          <w:color w:val="222222"/>
          <w:sz w:val="21"/>
          <w:szCs w:val="21"/>
        </w:rPr>
        <w:t xml:space="preserve">Support et garantie post-déploiement, sur une durée à définir.</w:t>
      </w:r>
    </w:p>
    <w:p>
      <w:pPr>
        <w:pStyle w:val="Heading1"/>
        <w:pBdr>
          <w:bottom w:val="single" w:color="1F3864" w:sz="6" w:space="4"/>
        </w:pBdr>
        <w:spacing w:after="200" w:before="480"/>
      </w:pPr>
      <w:r>
        <w:rPr>
          <w:b/>
          <w:bCs/>
          <w:color w:val="1F3864"/>
          <w:sz w:val="30"/>
          <w:szCs w:val="30"/>
        </w:rPr>
        <w:t xml:space="preserve">14. Plan de réalisation indicatif</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6426"/>
            <w:shd w:fill="1F3864" w:val="clear"/>
            <w:tcMar>
              <w:top w:type="dxa" w:w="80"/>
              <w:left w:type="dxa" w:w="100"/>
              <w:bottom w:type="dxa" w:w="80"/>
              <w:right w:type="dxa" w:w="100"/>
            </w:tcMar>
            <w:vAlign w:val="center"/>
          </w:tcPr>
          <w:p>
            <w:pPr>
              <w:jc w:val="left"/>
            </w:pPr>
            <w:r>
              <w:rPr>
                <w:b/>
                <w:bCs/>
                <w:color w:val="FFFFFF"/>
                <w:sz w:val="20"/>
                <w:szCs w:val="20"/>
              </w:rPr>
              <w:t xml:space="preserve">Contenu</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1. Cadrage</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Validation définitive du présent cahier des charges et des maquettes avec la Direction Générale et le service RH</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2. Développement — cœur applicatif</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Formulaire public, espaces RH/DG, workflow de validation, signature électronique, verrouillage et annulation</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3. Développement — comptabilité</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Module de reporting par catégorie et par période, suivi budgétaire, exports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4. Tests</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Tests fonctionnels, tests de sécurité, tests de charge</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5. Recette</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Validation par des utilisateurs pilotes (demandeurs, RH, DG)</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6. Déploiement</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Mise en production, formation des utilisateurs</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7. Support</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Assistance post-déploiement et évolutions</w:t>
            </w:r>
          </w:p>
        </w:tc>
      </w:tr>
    </w:tbl>
    <w:p>
      <w:pPr>
        <w:pStyle w:val="Heading1"/>
        <w:pBdr>
          <w:bottom w:val="single" w:color="1F3864" w:sz="6" w:space="4"/>
        </w:pBdr>
        <w:spacing w:after="200" w:before="480"/>
      </w:pPr>
      <w:r>
        <w:rPr>
          <w:b/>
          <w:bCs/>
          <w:color w:val="1F3864"/>
          <w:sz w:val="30"/>
          <w:szCs w:val="30"/>
        </w:rPr>
        <w:t xml:space="preserve">15. Glossaire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Terme</w:t>
            </w:r>
          </w:p>
        </w:tc>
        <w:tc>
          <w:tcPr>
            <w:tcW w:type="dxa" w:w="6426"/>
            <w:shd w:fill="1F3864" w:val="clear"/>
            <w:tcMar>
              <w:top w:type="dxa" w:w="80"/>
              <w:left w:type="dxa" w:w="100"/>
              <w:bottom w:type="dxa" w:w="80"/>
              <w:right w:type="dxa" w:w="100"/>
            </w:tcMar>
            <w:vAlign w:val="center"/>
          </w:tcPr>
          <w:p>
            <w:pPr>
              <w:jc w:val="left"/>
            </w:pPr>
            <w:r>
              <w:rPr>
                <w:b/>
                <w:bCs/>
                <w:color w:val="FFFFFF"/>
                <w:sz w:val="20"/>
                <w:szCs w:val="20"/>
              </w:rPr>
              <w:t xml:space="preserve">Définition</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DA</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Demande d'Achat</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RH</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Espace de validation « Responsable Comptable Financier RH »</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DG</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Espace de validation « Directeur Général »</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RG</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Règle de Gestion</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CDC</w:t>
            </w:r>
          </w:p>
        </w:tc>
        <w:tc>
          <w:tcPr>
            <w:tcW w:type="dxa" w:w="6426"/>
            <w:tcMar>
              <w:top w:type="dxa" w:w="80"/>
              <w:left w:type="dxa" w:w="100"/>
              <w:bottom w:type="dxa" w:w="80"/>
              <w:right w:type="dxa" w:w="100"/>
            </w:tcMar>
            <w:vAlign w:val="center"/>
          </w:tcPr>
          <w:p>
            <w:pPr>
              <w:jc w:val="left"/>
            </w:pPr>
            <w:r>
              <w:rPr>
                <w:b w:val="false"/>
                <w:bCs w:val="false"/>
                <w:color w:val="222222"/>
                <w:sz w:val="20"/>
                <w:szCs w:val="20"/>
              </w:rPr>
              <w:t xml:space="preserve">Cahier des Charges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RBAC</w:t>
            </w:r>
          </w:p>
        </w:tc>
        <w:tc>
          <w:tcPr>
            <w:tcW w:type="dxa" w:w="6426"/>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Contrôle d'accès basé sur les rôles (Role-Based Access Control)</w:t>
            </w:r>
          </w:p>
        </w:tc>
      </w:tr>
    </w:tbl>
    <w:p>
      <w:r>
        <w:br w:type="page"/>
      </w:r>
    </w:p>
    <w:p>
      <w:pPr>
        <w:pStyle w:val="Heading1"/>
        <w:pBdr>
          <w:bottom w:val="single" w:color="1F3864" w:sz="6" w:space="4"/>
        </w:pBdr>
        <w:spacing w:after="200" w:before="480"/>
      </w:pPr>
      <w:r>
        <w:rPr>
          <w:b/>
          <w:bCs/>
          <w:color w:val="1F3864"/>
          <w:sz w:val="30"/>
          <w:szCs w:val="30"/>
        </w:rPr>
        <w:t xml:space="preserve">Annexe — Fiche de demande d'achat originale (reprise du document fourni)</w:t>
      </w:r>
    </w:p>
    <w:p>
      <w:pPr>
        <w:pStyle w:val="Heading2"/>
        <w:spacing w:after="140" w:before="320"/>
      </w:pPr>
      <w:r>
        <w:rPr>
          <w:b/>
          <w:bCs/>
          <w:color w:val="2E5090"/>
          <w:sz w:val="24"/>
          <w:szCs w:val="24"/>
        </w:rPr>
        <w:t xml:space="preserve">En-tête</w:t>
      </w:r>
    </w:p>
    <w:p>
      <w:pPr>
        <w:pStyle w:val="ListParagraph"/>
        <w:numPr>
          <w:ilvl w:val="0"/>
          <w:numId w:val="2"/>
        </w:numPr>
        <w:spacing w:after="90" w:line="280"/>
      </w:pPr>
      <w:r>
        <w:rPr>
          <w:color w:val="222222"/>
          <w:sz w:val="21"/>
          <w:szCs w:val="21"/>
        </w:rPr>
        <w:t xml:space="preserve">Date d'établissement :</w:t>
      </w:r>
    </w:p>
    <w:p>
      <w:pPr>
        <w:pStyle w:val="ListParagraph"/>
        <w:numPr>
          <w:ilvl w:val="0"/>
          <w:numId w:val="2"/>
        </w:numPr>
        <w:spacing w:after="90" w:line="280"/>
      </w:pPr>
      <w:r>
        <w:rPr>
          <w:color w:val="222222"/>
          <w:sz w:val="21"/>
          <w:szCs w:val="21"/>
        </w:rPr>
        <w:t xml:space="preserve">Entité bénéficiaire :</w:t>
      </w:r>
    </w:p>
    <w:p>
      <w:pPr>
        <w:pStyle w:val="ListParagraph"/>
        <w:numPr>
          <w:ilvl w:val="0"/>
          <w:numId w:val="2"/>
        </w:numPr>
        <w:spacing w:after="90" w:line="280"/>
      </w:pPr>
      <w:r>
        <w:rPr>
          <w:color w:val="222222"/>
          <w:sz w:val="21"/>
          <w:szCs w:val="21"/>
        </w:rPr>
        <w:t xml:space="preserve">Motif de l'achat :</w:t>
      </w:r>
    </w:p>
    <w:p>
      <w:pPr>
        <w:pStyle w:val="ListParagraph"/>
        <w:numPr>
          <w:ilvl w:val="0"/>
          <w:numId w:val="2"/>
        </w:numPr>
        <w:spacing w:after="90" w:line="280"/>
      </w:pPr>
      <w:r>
        <w:rPr>
          <w:color w:val="222222"/>
          <w:sz w:val="21"/>
          <w:szCs w:val="21"/>
        </w:rPr>
        <w:t xml:space="preserve">Date de livraison souhaitée :</w:t>
      </w:r>
    </w:p>
    <w:p>
      <w:pPr>
        <w:pStyle w:val="Heading2"/>
        <w:spacing w:after="140" w:before="320"/>
      </w:pPr>
      <w:r>
        <w:rPr>
          <w:b/>
          <w:bCs/>
          <w:color w:val="2E5090"/>
          <w:sz w:val="24"/>
          <w:szCs w:val="24"/>
        </w:rPr>
        <w:t xml:space="preserve">Tableau des articles</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226"/>
        <w:gridCol w:w="2200"/>
        <w:gridCol w:w="2200"/>
        <w:gridCol w:w="2400"/>
      </w:tblGrid>
      <w:tr>
        <w:trPr>
          <w:tblHeader/>
        </w:trPr>
        <w:tc>
          <w:tcPr>
            <w:tcW w:type="dxa" w:w="2226"/>
            <w:shd w:fill="1F3864" w:val="clear"/>
            <w:tcMar>
              <w:top w:type="dxa" w:w="80"/>
              <w:left w:type="dxa" w:w="100"/>
              <w:bottom w:type="dxa" w:w="80"/>
              <w:right w:type="dxa" w:w="100"/>
            </w:tcMar>
            <w:vAlign w:val="center"/>
          </w:tcPr>
          <w:p>
            <w:pPr>
              <w:jc w:val="left"/>
            </w:pPr>
            <w:r>
              <w:rPr>
                <w:b/>
                <w:bCs/>
                <w:color w:val="FFFFFF"/>
                <w:sz w:val="20"/>
                <w:szCs w:val="20"/>
              </w:rPr>
              <w:t xml:space="preserve">Libellés</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Prix Unitaire</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Total</w:t>
            </w:r>
          </w:p>
        </w:tc>
      </w:tr>
      <w:tr>
        <w:tc>
          <w:tcPr>
            <w:tcW w:type="dxa" w:w="222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
            </w:r>
          </w:p>
        </w:tc>
      </w:tr>
    </w:tbl>
    <w:p>
      <w:pPr>
        <w:pStyle w:val="Heading2"/>
        <w:spacing w:after="140" w:before="320"/>
      </w:pPr>
      <w:r>
        <w:rPr>
          <w:b/>
          <w:bCs/>
          <w:color w:val="2E5090"/>
          <w:sz w:val="24"/>
          <w:szCs w:val="24"/>
        </w:rPr>
        <w:t xml:space="preserve">Tableau budgétaire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800"/>
        <w:gridCol w:w="1806"/>
        <w:gridCol w:w="1806"/>
        <w:gridCol w:w="1806"/>
        <w:gridCol w:w="1808"/>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Poste</w:t>
            </w:r>
          </w:p>
        </w:tc>
        <w:tc>
          <w:tcPr>
            <w:tcW w:type="dxa" w:w="1806"/>
            <w:shd w:fill="1F3864" w:val="clear"/>
            <w:tcMar>
              <w:top w:type="dxa" w:w="80"/>
              <w:left w:type="dxa" w:w="100"/>
              <w:bottom w:type="dxa" w:w="80"/>
              <w:right w:type="dxa" w:w="100"/>
            </w:tcMar>
            <w:vAlign w:val="center"/>
          </w:tcPr>
          <w:p>
            <w:pPr>
              <w:jc w:val="left"/>
            </w:pPr>
            <w:r>
              <w:rPr>
                <w:b/>
                <w:bCs/>
                <w:color w:val="FFFFFF"/>
                <w:sz w:val="20"/>
                <w:szCs w:val="20"/>
              </w:rPr>
              <w:t xml:space="preserve">Budget</w:t>
            </w:r>
          </w:p>
        </w:tc>
        <w:tc>
          <w:tcPr>
            <w:tcW w:type="dxa" w:w="1806"/>
            <w:shd w:fill="1F3864" w:val="clear"/>
            <w:tcMar>
              <w:top w:type="dxa" w:w="80"/>
              <w:left w:type="dxa" w:w="100"/>
              <w:bottom w:type="dxa" w:w="80"/>
              <w:right w:type="dxa" w:w="100"/>
            </w:tcMar>
            <w:vAlign w:val="center"/>
          </w:tcPr>
          <w:p>
            <w:pPr>
              <w:jc w:val="left"/>
            </w:pPr>
            <w:r>
              <w:rPr>
                <w:b/>
                <w:bCs/>
                <w:color w:val="FFFFFF"/>
                <w:sz w:val="20"/>
                <w:szCs w:val="20"/>
              </w:rPr>
              <w:t xml:space="preserve">Réalisé</w:t>
            </w:r>
          </w:p>
        </w:tc>
        <w:tc>
          <w:tcPr>
            <w:tcW w:type="dxa" w:w="1806"/>
            <w:shd w:fill="1F3864" w:val="clear"/>
            <w:tcMar>
              <w:top w:type="dxa" w:w="80"/>
              <w:left w:type="dxa" w:w="100"/>
              <w:bottom w:type="dxa" w:w="80"/>
              <w:right w:type="dxa" w:w="100"/>
            </w:tcMar>
            <w:vAlign w:val="center"/>
          </w:tcPr>
          <w:p>
            <w:pPr>
              <w:jc w:val="left"/>
            </w:pPr>
            <w:r>
              <w:rPr>
                <w:b/>
                <w:bCs/>
                <w:color w:val="FFFFFF"/>
                <w:sz w:val="20"/>
                <w:szCs w:val="20"/>
              </w:rPr>
              <w:t xml:space="preserve">Disponible</w:t>
            </w:r>
          </w:p>
        </w:tc>
        <w:tc>
          <w:tcPr>
            <w:tcW w:type="dxa" w:w="1808"/>
            <w:shd w:fill="1F3864" w:val="clear"/>
            <w:tcMar>
              <w:top w:type="dxa" w:w="80"/>
              <w:left w:type="dxa" w:w="100"/>
              <w:bottom w:type="dxa" w:w="80"/>
              <w:right w:type="dxa" w:w="100"/>
            </w:tcMar>
            <w:vAlign w:val="center"/>
          </w:tcPr>
          <w:p>
            <w:pPr>
              <w:jc w:val="left"/>
            </w:pPr>
            <w:r>
              <w:rPr>
                <w:b/>
                <w:bCs/>
                <w:color w:val="FFFFFF"/>
                <w:sz w:val="20"/>
                <w:szCs w:val="20"/>
              </w:rPr>
              <w:t xml:space="preserve">Observations</w:t>
            </w:r>
          </w:p>
        </w:tc>
      </w:tr>
      <w:tr>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180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180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180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1808"/>
            <w:tcMar>
              <w:top w:type="dxa" w:w="80"/>
              <w:left w:type="dxa" w:w="100"/>
              <w:bottom w:type="dxa" w:w="80"/>
              <w:right w:type="dxa" w:w="100"/>
            </w:tcMar>
            <w:vAlign w:val="center"/>
          </w:tcPr>
          <w:p>
            <w:pPr>
              <w:jc w:val="left"/>
            </w:pPr>
            <w:r>
              <w:rPr>
                <w:b w:val="false"/>
                <w:bCs w:val="false"/>
                <w:color w:val="222222"/>
                <w:sz w:val="20"/>
                <w:szCs w:val="20"/>
              </w:rPr>
              <w:t xml:space="preserve"/>
            </w:r>
          </w:p>
        </w:tc>
      </w:tr>
    </w:tbl>
    <w:p>
      <w:pPr>
        <w:pStyle w:val="Heading2"/>
        <w:spacing w:after="140" w:before="320"/>
      </w:pPr>
      <w:r>
        <w:rPr>
          <w:b/>
          <w:bCs/>
          <w:color w:val="2E5090"/>
          <w:sz w:val="24"/>
          <w:szCs w:val="24"/>
        </w:rPr>
        <w:t xml:space="preserve">Pied de fiche — cases de signature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256"/>
        <w:gridCol w:w="2256"/>
        <w:gridCol w:w="2256"/>
        <w:gridCol w:w="2258"/>
      </w:tblGrid>
      <w:tr>
        <w:trPr>
          <w:tblHeader/>
        </w:trPr>
        <w:tc>
          <w:tcPr>
            <w:tcW w:type="dxa" w:w="2256"/>
            <w:shd w:fill="1F3864" w:val="clear"/>
            <w:tcMar>
              <w:top w:type="dxa" w:w="80"/>
              <w:left w:type="dxa" w:w="100"/>
              <w:bottom w:type="dxa" w:w="80"/>
              <w:right w:type="dxa" w:w="100"/>
            </w:tcMar>
            <w:vAlign w:val="center"/>
          </w:tcPr>
          <w:p>
            <w:pPr>
              <w:jc w:val="left"/>
            </w:pPr>
            <w:r>
              <w:rPr>
                <w:b/>
                <w:bCs/>
                <w:color w:val="FFFFFF"/>
                <w:sz w:val="20"/>
                <w:szCs w:val="20"/>
              </w:rPr>
              <w:t xml:space="preserve">Date et visa
du Demandeur</w:t>
            </w:r>
          </w:p>
        </w:tc>
        <w:tc>
          <w:tcPr>
            <w:tcW w:type="dxa" w:w="2256"/>
            <w:shd w:fill="1F3864" w:val="clear"/>
            <w:tcMar>
              <w:top w:type="dxa" w:w="80"/>
              <w:left w:type="dxa" w:w="100"/>
              <w:bottom w:type="dxa" w:w="80"/>
              <w:right w:type="dxa" w:w="100"/>
            </w:tcMar>
            <w:vAlign w:val="center"/>
          </w:tcPr>
          <w:p>
            <w:pPr>
              <w:jc w:val="left"/>
            </w:pPr>
            <w:r>
              <w:rPr>
                <w:b/>
                <w:bCs/>
                <w:color w:val="FFFFFF"/>
                <w:sz w:val="20"/>
                <w:szCs w:val="20"/>
              </w:rPr>
              <w:t xml:space="preserve">Date et visa du
Directeur Commercial</w:t>
            </w:r>
          </w:p>
        </w:tc>
        <w:tc>
          <w:tcPr>
            <w:tcW w:type="dxa" w:w="2256"/>
            <w:shd w:fill="1F3864" w:val="clear"/>
            <w:tcMar>
              <w:top w:type="dxa" w:w="80"/>
              <w:left w:type="dxa" w:w="100"/>
              <w:bottom w:type="dxa" w:w="80"/>
              <w:right w:type="dxa" w:w="100"/>
            </w:tcMar>
            <w:vAlign w:val="center"/>
          </w:tcPr>
          <w:p>
            <w:pPr>
              <w:jc w:val="left"/>
            </w:pPr>
            <w:r>
              <w:rPr>
                <w:b/>
                <w:bCs/>
                <w:color w:val="FFFFFF"/>
                <w:sz w:val="20"/>
                <w:szCs w:val="20"/>
              </w:rPr>
              <w:t xml:space="preserve">Date et visa du Responsable
Comptable Financier RH</w:t>
            </w:r>
          </w:p>
        </w:tc>
        <w:tc>
          <w:tcPr>
            <w:tcW w:type="dxa" w:w="2258"/>
            <w:shd w:fill="1F3864" w:val="clear"/>
            <w:tcMar>
              <w:top w:type="dxa" w:w="80"/>
              <w:left w:type="dxa" w:w="100"/>
              <w:bottom w:type="dxa" w:w="80"/>
              <w:right w:type="dxa" w:w="100"/>
            </w:tcMar>
            <w:vAlign w:val="center"/>
          </w:tcPr>
          <w:p>
            <w:pPr>
              <w:jc w:val="left"/>
            </w:pPr>
            <w:r>
              <w:rPr>
                <w:b/>
                <w:bCs/>
                <w:color w:val="FFFFFF"/>
                <w:sz w:val="20"/>
                <w:szCs w:val="20"/>
              </w:rPr>
              <w:t xml:space="preserve">Date et visa
du Directeur Général</w:t>
            </w:r>
          </w:p>
        </w:tc>
      </w:tr>
      <w:tr>
        <w:tc>
          <w:tcPr>
            <w:tcW w:type="dxa" w:w="225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25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256"/>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258"/>
            <w:tcMar>
              <w:top w:type="dxa" w:w="80"/>
              <w:left w:type="dxa" w:w="100"/>
              <w:bottom w:type="dxa" w:w="80"/>
              <w:right w:type="dxa" w:w="100"/>
            </w:tcMar>
            <w:vAlign w:val="center"/>
          </w:tcPr>
          <w:p>
            <w:pPr>
              <w:jc w:val="left"/>
            </w:pPr>
            <w:r>
              <w:rPr>
                <w:b w:val="false"/>
                <w:bCs w:val="false"/>
                <w:color w:val="222222"/>
                <w:sz w:val="20"/>
                <w:szCs w:val="20"/>
              </w:rPr>
              <w:t xml:space="preserve"/>
            </w:r>
          </w:p>
        </w:tc>
      </w:tr>
    </w:tbl>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2026-08-21T09:23:38.039Z</dcterms:created>
  <dcterms:modified xsi:type="dcterms:W3CDTF">2026-08-21T09:23:38.039Z</dcterms:modified>
</cp:coreProperties>
</file>

<file path=docProps/custom.xml><?xml version="1.0" encoding="utf-8"?>
<Properties xmlns="http://schemas.openxmlformats.org/officeDocument/2006/custom-properties" xmlns:vt="http://schemas.openxmlformats.org/officeDocument/2006/docPropsVTypes"/>
</file>