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5C4B8A"/>
          <w:sz w:val="56"/>
          <w:szCs w:val="56"/>
        </w:rPr>
        <w:t xml:space="preserve">Lector</w:t>
      </w:r>
    </w:p>
    <w:p>
      <w:pPr>
        <w:spacing w:before="0" w:after="80"/>
      </w:pPr>
      <w:r>
        <w:rPr>
          <w:rFonts w:ascii="Arial" w:cs="Arial" w:eastAsia="Arial" w:hAnsi="Arial"/>
          <w:color w:val="1E2A35"/>
          <w:sz w:val="28"/>
          <w:szCs w:val="28"/>
        </w:rPr>
        <w:t xml:space="preserve">Decision Record &amp; Supporting Evidence</w:t>
      </w:r>
    </w:p>
    <w:p>
      <w:pPr>
        <w:spacing w:before="0" w:after="240"/>
      </w:pPr>
      <w:r>
        <w:rPr>
          <w:rFonts w:ascii="Arial" w:cs="Arial" w:eastAsia="Arial" w:hAnsi="Arial"/>
          <w:color w:val="6B6B66"/>
          <w:sz w:val="18"/>
          <w:szCs w:val="18"/>
        </w:rPr>
        <w:t xml:space="preserve">SIM DAD LLC   |   March 2026   |   Internal Reference Document</w:t>
      </w:r>
    </w:p>
    <w:p>
      <w:pPr>
        <w:pBdr>
          <w:bottom w:val="single" w:color="5C4B8A" w:sz="6" w:space="1"/>
        </w:pBdr>
        <w:spacing w:before="0" w:after="200"/>
      </w:pPr>
      <w:r>
        <w:t xml:space="preserve"/>
      </w:r>
    </w:p>
    <w:p>
      <w:pPr>
        <w:spacing w:before="0" w:after="80"/>
      </w:pPr>
      <w:r>
        <w:t xml:space="preserve"/>
      </w:r>
    </w:p>
    <w:p>
      <w:pPr>
        <w:pBdr>
          <w:bottom w:val="single" w:color="5C4B8A" w:sz="3" w:space="1"/>
        </w:pBdr>
        <w:spacing w:before="480" w:after="100"/>
      </w:pPr>
      <w:r>
        <w:rPr>
          <w:rFonts w:ascii="Arial" w:cs="Arial" w:eastAsia="Arial" w:hAnsi="Arial"/>
          <w:b/>
          <w:bCs/>
          <w:color w:val="5C4B8A"/>
          <w:sz w:val="20"/>
          <w:szCs w:val="20"/>
        </w:rPr>
        <w:t xml:space="preserve">PURPOSE</w:t>
      </w:r>
    </w:p>
    <w:p>
      <w:pPr>
        <w:spacing w:before="0" w:after="40"/>
      </w:pPr>
      <w:r>
        <w:t xml:space="preserve"/>
      </w:r>
    </w:p>
    <w:p>
      <w:pPr>
        <w:spacing w:before="40" w:after="80"/>
      </w:pPr>
      <w:r>
        <w:rPr>
          <w:rFonts w:ascii="Arial" w:cs="Arial" w:eastAsia="Arial" w:hAnsi="Arial"/>
          <w:color w:val="3D3D3A"/>
          <w:sz w:val="20"/>
          <w:szCs w:val="20"/>
        </w:rPr>
        <w:t xml:space="preserve">This document records every material decision made during Lector's product planning process, the full set of options considered for each, the reasoning applied, and any supporting market research or competitive evidence. It is intended as a reference for the broader team and as a durable record of why the product is built the way it is.</w:t>
      </w:r>
    </w:p>
    <w:p>
      <w:pPr>
        <w:spacing w:before="40" w:after="80"/>
      </w:pPr>
      <w:r>
        <w:rPr>
          <w:rFonts w:ascii="Arial" w:cs="Arial" w:eastAsia="Arial" w:hAnsi="Arial"/>
          <w:color w:val="3D3D3A"/>
          <w:sz w:val="20"/>
          <w:szCs w:val="20"/>
        </w:rPr>
        <w:t xml:space="preserve">Where live web research was conducted during the planning conversation, findings are cited directly. Where decisions were made on first principles or client judgment, that is noted explicitly.</w:t>
      </w:r>
    </w:p>
    <w:p>
      <w:pPr>
        <w:spacing w:before="0" w:after="120"/>
      </w:pPr>
      <w:r>
        <w:t xml:space="preserve"/>
      </w:r>
    </w:p>
    <w:p>
      <w:pPr>
        <w:pBdr>
          <w:bottom w:val="single" w:color="5C4B8A" w:sz="3" w:space="1"/>
        </w:pBdr>
        <w:spacing w:before="480" w:after="100"/>
      </w:pPr>
      <w:r>
        <w:rPr>
          <w:rFonts w:ascii="Arial" w:cs="Arial" w:eastAsia="Arial" w:hAnsi="Arial"/>
          <w:b/>
          <w:bCs/>
          <w:color w:val="5C4B8A"/>
          <w:sz w:val="20"/>
          <w:szCs w:val="20"/>
        </w:rPr>
        <w:t xml:space="preserve">DECISION SUMMARY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5C4B8A" w:val="clear"/>
            <w:tcMar>
              <w:top w:type="dxa" w:w="80"/>
              <w:left w:type="dxa" w:w="140"/>
              <w:bottom w:type="dxa" w:w="80"/>
              <w:right w:type="dxa" w:w="140"/>
            </w:tcMar>
          </w:tcPr>
          <w:p>
            <w:r>
              <w:rPr>
                <w:rFonts w:ascii="Arial" w:cs="Arial" w:eastAsia="Arial" w:hAnsi="Arial"/>
                <w:b/>
                <w:bCs/>
                <w:color w:val="FFFFFF"/>
                <w:sz w:val="19"/>
                <w:szCs w:val="19"/>
              </w:rPr>
              <w:t xml:space="preserve">Decision</w:t>
            </w:r>
          </w:p>
        </w:tc>
        <w:tc>
          <w:tcPr>
            <w:tcW w:type="dxa" w:w="3400"/>
            <w:tcBorders>
              <w:top w:val="single" w:color="CCCCCC" w:sz="1"/>
              <w:left w:val="single" w:color="CCCCCC" w:sz="1"/>
              <w:bottom w:val="single" w:color="CCCCCC" w:sz="1"/>
              <w:right w:val="single" w:color="CCCCCC" w:sz="1"/>
            </w:tcBorders>
            <w:shd w:fill="5C4B8A" w:val="clear"/>
            <w:tcMar>
              <w:top w:type="dxa" w:w="80"/>
              <w:left w:type="dxa" w:w="140"/>
              <w:bottom w:type="dxa" w:w="80"/>
              <w:right w:type="dxa" w:w="140"/>
            </w:tcMar>
          </w:tcPr>
          <w:p>
            <w:r>
              <w:rPr>
                <w:rFonts w:ascii="Arial" w:cs="Arial" w:eastAsia="Arial" w:hAnsi="Arial"/>
                <w:b/>
                <w:bCs/>
                <w:color w:val="FFFFFF"/>
                <w:sz w:val="19"/>
                <w:szCs w:val="19"/>
              </w:rPr>
              <w:t xml:space="preserve">Options considered</w:t>
            </w:r>
          </w:p>
        </w:tc>
        <w:tc>
          <w:tcPr>
            <w:tcW w:type="dxa" w:w="3360"/>
            <w:tcBorders>
              <w:top w:val="single" w:color="CCCCCC" w:sz="1"/>
              <w:left w:val="single" w:color="CCCCCC" w:sz="1"/>
              <w:bottom w:val="single" w:color="CCCCCC" w:sz="1"/>
              <w:right w:val="single" w:color="CCCCCC" w:sz="1"/>
            </w:tcBorders>
            <w:shd w:fill="5C4B8A" w:val="clear"/>
            <w:tcMar>
              <w:top w:type="dxa" w:w="80"/>
              <w:left w:type="dxa" w:w="140"/>
              <w:bottom w:type="dxa" w:w="80"/>
              <w:right w:type="dxa" w:w="140"/>
            </w:tcMar>
          </w:tcPr>
          <w:p>
            <w:r>
              <w:rPr>
                <w:rFonts w:ascii="Arial" w:cs="Arial" w:eastAsia="Arial" w:hAnsi="Arial"/>
                <w:b/>
                <w:bCs/>
                <w:color w:val="FFFFFF"/>
                <w:sz w:val="19"/>
                <w:szCs w:val="19"/>
              </w:rPr>
              <w:t xml:space="preserve">Final decision</w:t>
            </w:r>
          </w:p>
        </w:tc>
      </w:tr>
      <w:tr>
        <w:tc>
          <w:tcPr>
            <w:tcW w:type="dxa" w:w="26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b/>
                <w:bCs/>
                <w:color w:val="1E2A35"/>
                <w:sz w:val="18"/>
                <w:szCs w:val="18"/>
              </w:rPr>
              <w:t xml:space="preserve">Product name</w:t>
            </w:r>
          </w:p>
        </w:tc>
        <w:tc>
          <w:tcPr>
            <w:tcW w:type="dxa" w:w="34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color w:val="6B6B66"/>
                <w:sz w:val="18"/>
                <w:szCs w:val="18"/>
              </w:rPr>
              <w:t xml:space="preserve">ScriVocalis / Lector / Aloud / Heard / Vocalis / others</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r>
              <w:rPr>
                <w:rFonts w:ascii="Arial" w:cs="Arial" w:eastAsia="Arial" w:hAnsi="Arial"/>
                <w:b/>
                <w:bCs/>
                <w:color w:val="1E5C30"/>
                <w:sz w:val="18"/>
                <w:szCs w:val="18"/>
              </w:rPr>
              <w:t xml:space="preserve">Lector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2A35"/>
                <w:sz w:val="18"/>
                <w:szCs w:val="18"/>
              </w:rPr>
              <w:t xml:space="preserve">Core use case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6"/>
                <w:sz w:val="18"/>
                <w:szCs w:val="18"/>
              </w:rPr>
              <w:t xml:space="preserve">Primary editor / paste-and-listen / both</w:t>
            </w:r>
          </w:p>
        </w:tc>
        <w:tc>
          <w:tcPr>
            <w:tcW w:type="dxa" w:w="3360"/>
            <w:tcBorders>
              <w:top w:val="single" w:color="CCCCCC" w:sz="1"/>
              <w:left w:val="single" w:color="CCCCCC" w:sz="1"/>
              <w:bottom w:val="single" w:color="CCCCCC" w:sz="1"/>
              <w:right w:val="single" w:color="CCCCCC" w:sz="1"/>
            </w:tcBorders>
            <w:shd w:fill="EEF9EE" w:val="clear"/>
            <w:tcMar>
              <w:top w:type="dxa" w:w="80"/>
              <w:left w:type="dxa" w:w="140"/>
              <w:bottom w:type="dxa" w:w="80"/>
              <w:right w:type="dxa" w:w="140"/>
            </w:tcMar>
          </w:tcPr>
          <w:p>
            <w:r>
              <w:rPr>
                <w:rFonts w:ascii="Arial" w:cs="Arial" w:eastAsia="Arial" w:hAnsi="Arial"/>
                <w:b/>
                <w:bCs/>
                <w:color w:val="1E5C30"/>
                <w:sz w:val="18"/>
                <w:szCs w:val="18"/>
              </w:rPr>
              <w:t xml:space="preserve">Both — drafting and macro-editing import</w:t>
            </w:r>
          </w:p>
        </w:tc>
      </w:tr>
      <w:tr>
        <w:tc>
          <w:tcPr>
            <w:tcW w:type="dxa" w:w="26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b/>
                <w:bCs/>
                <w:color w:val="1E2A35"/>
                <w:sz w:val="18"/>
                <w:szCs w:val="18"/>
              </w:rPr>
              <w:t xml:space="preserve">Editor mode</w:t>
            </w:r>
          </w:p>
        </w:tc>
        <w:tc>
          <w:tcPr>
            <w:tcW w:type="dxa" w:w="34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color w:val="6B6B66"/>
                <w:sz w:val="18"/>
                <w:szCs w:val="18"/>
              </w:rPr>
              <w:t xml:space="preserve">WYSIWYG only / raw Markdown only / both with toggle</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r>
              <w:rPr>
                <w:rFonts w:ascii="Arial" w:cs="Arial" w:eastAsia="Arial" w:hAnsi="Arial"/>
                <w:b/>
                <w:bCs/>
                <w:color w:val="1E5C30"/>
                <w:sz w:val="18"/>
                <w:szCs w:val="18"/>
              </w:rPr>
              <w:t xml:space="preserve">Both, toggle always visible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2A35"/>
                <w:sz w:val="18"/>
                <w:szCs w:val="18"/>
              </w:rPr>
              <w:t xml:space="preserve">Input formats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6"/>
                <w:sz w:val="18"/>
                <w:szCs w:val="18"/>
              </w:rPr>
              <w:t xml:space="preserve">.md / .docx / .txt / .pdf</w:t>
            </w:r>
          </w:p>
        </w:tc>
        <w:tc>
          <w:tcPr>
            <w:tcW w:type="dxa" w:w="3360"/>
            <w:tcBorders>
              <w:top w:val="single" w:color="CCCCCC" w:sz="1"/>
              <w:left w:val="single" w:color="CCCCCC" w:sz="1"/>
              <w:bottom w:val="single" w:color="CCCCCC" w:sz="1"/>
              <w:right w:val="single" w:color="CCCCCC" w:sz="1"/>
            </w:tcBorders>
            <w:shd w:fill="EEF9EE" w:val="clear"/>
            <w:tcMar>
              <w:top w:type="dxa" w:w="80"/>
              <w:left w:type="dxa" w:w="140"/>
              <w:bottom w:type="dxa" w:w="80"/>
              <w:right w:type="dxa" w:w="140"/>
            </w:tcMar>
          </w:tcPr>
          <w:p>
            <w:r>
              <w:rPr>
                <w:rFonts w:ascii="Arial" w:cs="Arial" w:eastAsia="Arial" w:hAnsi="Arial"/>
                <w:b/>
                <w:bCs/>
                <w:color w:val="1E5C30"/>
                <w:sz w:val="18"/>
                <w:szCs w:val="18"/>
              </w:rPr>
              <w:t xml:space="preserve">.md, .docx, .txt (PDF deferred)</w:t>
            </w:r>
          </w:p>
        </w:tc>
      </w:tr>
      <w:tr>
        <w:tc>
          <w:tcPr>
            <w:tcW w:type="dxa" w:w="26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b/>
                <w:bCs/>
                <w:color w:val="1E2A35"/>
                <w:sz w:val="18"/>
                <w:szCs w:val="18"/>
              </w:rPr>
              <w:t xml:space="preserve">Voice model</w:t>
            </w:r>
          </w:p>
        </w:tc>
        <w:tc>
          <w:tcPr>
            <w:tcW w:type="dxa" w:w="34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color w:val="6B6B66"/>
                <w:sz w:val="18"/>
                <w:szCs w:val="18"/>
              </w:rPr>
              <w:t xml:space="preserve">Kokoro-82M / XTTS-v2 / hybrid</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r>
              <w:rPr>
                <w:rFonts w:ascii="Arial" w:cs="Arial" w:eastAsia="Arial" w:hAnsi="Arial"/>
                <w:b/>
                <w:bCs/>
                <w:color w:val="1E5C30"/>
                <w:sz w:val="18"/>
                <w:szCs w:val="18"/>
              </w:rPr>
              <w:t xml:space="preserve">XTTS-v2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2A35"/>
                <w:sz w:val="18"/>
                <w:szCs w:val="18"/>
              </w:rPr>
              <w:t xml:space="preserve">Voice cloning framing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6"/>
                <w:sz w:val="18"/>
                <w:szCs w:val="18"/>
              </w:rPr>
              <w:t xml:space="preserve">Background process / one-time setup / power feature</w:t>
            </w:r>
          </w:p>
        </w:tc>
        <w:tc>
          <w:tcPr>
            <w:tcW w:type="dxa" w:w="3360"/>
            <w:tcBorders>
              <w:top w:val="single" w:color="CCCCCC" w:sz="1"/>
              <w:left w:val="single" w:color="CCCCCC" w:sz="1"/>
              <w:bottom w:val="single" w:color="CCCCCC" w:sz="1"/>
              <w:right w:val="single" w:color="CCCCCC" w:sz="1"/>
            </w:tcBorders>
            <w:shd w:fill="EEF9EE" w:val="clear"/>
            <w:tcMar>
              <w:top w:type="dxa" w:w="80"/>
              <w:left w:type="dxa" w:w="140"/>
              <w:bottom w:type="dxa" w:w="80"/>
              <w:right w:type="dxa" w:w="140"/>
            </w:tcMar>
          </w:tcPr>
          <w:p>
            <w:r>
              <w:rPr>
                <w:rFonts w:ascii="Arial" w:cs="Arial" w:eastAsia="Arial" w:hAnsi="Arial"/>
                <w:b/>
                <w:bCs/>
                <w:color w:val="1E5C30"/>
                <w:sz w:val="18"/>
                <w:szCs w:val="18"/>
              </w:rPr>
              <w:t xml:space="preserve">One-time setup — a few minutes now, yours forever</w:t>
            </w:r>
          </w:p>
        </w:tc>
      </w:tr>
      <w:tr>
        <w:tc>
          <w:tcPr>
            <w:tcW w:type="dxa" w:w="26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b/>
                <w:bCs/>
                <w:color w:val="1E2A35"/>
                <w:sz w:val="18"/>
                <w:szCs w:val="18"/>
              </w:rPr>
              <w:t xml:space="preserve">Platform</w:t>
            </w:r>
          </w:p>
        </w:tc>
        <w:tc>
          <w:tcPr>
            <w:tcW w:type="dxa" w:w="34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color w:val="6B6B66"/>
                <w:sz w:val="18"/>
                <w:szCs w:val="18"/>
              </w:rPr>
              <w:t xml:space="preserve">Windows only / Mac only / dual / Windows-first</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r>
              <w:rPr>
                <w:rFonts w:ascii="Arial" w:cs="Arial" w:eastAsia="Arial" w:hAnsi="Arial"/>
                <w:b/>
                <w:bCs/>
                <w:color w:val="1E5C30"/>
                <w:sz w:val="18"/>
                <w:szCs w:val="18"/>
              </w:rPr>
              <w:t xml:space="preserve">Dual if feasible; Windows-first if not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2A35"/>
                <w:sz w:val="18"/>
                <w:szCs w:val="18"/>
              </w:rPr>
              <w:t xml:space="preserve">Form factor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6"/>
                <w:sz w:val="18"/>
                <w:szCs w:val="18"/>
              </w:rPr>
              <w:t xml:space="preserve">Local web app / Electron / Tauri / native PySide6</w:t>
            </w:r>
          </w:p>
        </w:tc>
        <w:tc>
          <w:tcPr>
            <w:tcW w:type="dxa" w:w="3360"/>
            <w:tcBorders>
              <w:top w:val="single" w:color="CCCCCC" w:sz="1"/>
              <w:left w:val="single" w:color="CCCCCC" w:sz="1"/>
              <w:bottom w:val="single" w:color="CCCCCC" w:sz="1"/>
              <w:right w:val="single" w:color="CCCCCC" w:sz="1"/>
            </w:tcBorders>
            <w:shd w:fill="EEF9EE" w:val="clear"/>
            <w:tcMar>
              <w:top w:type="dxa" w:w="80"/>
              <w:left w:type="dxa" w:w="140"/>
              <w:bottom w:type="dxa" w:w="80"/>
              <w:right w:type="dxa" w:w="140"/>
            </w:tcMar>
          </w:tcPr>
          <w:p>
            <w:r>
              <w:rPr>
                <w:rFonts w:ascii="Arial" w:cs="Arial" w:eastAsia="Arial" w:hAnsi="Arial"/>
                <w:b/>
                <w:bCs/>
                <w:color w:val="1E5C30"/>
                <w:sz w:val="18"/>
                <w:szCs w:val="18"/>
              </w:rPr>
              <w:t xml:space="preserve">Tauri (FastAPI sidecar + webview)</w:t>
            </w:r>
          </w:p>
        </w:tc>
      </w:tr>
      <w:tr>
        <w:tc>
          <w:tcPr>
            <w:tcW w:type="dxa" w:w="26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b/>
                <w:bCs/>
                <w:color w:val="1E2A35"/>
                <w:sz w:val="18"/>
                <w:szCs w:val="18"/>
              </w:rPr>
              <w:t xml:space="preserve">Pricing model</w:t>
            </w:r>
          </w:p>
        </w:tc>
        <w:tc>
          <w:tcPr>
            <w:tcW w:type="dxa" w:w="34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color w:val="6B6B66"/>
                <w:sz w:val="18"/>
                <w:szCs w:val="18"/>
              </w:rPr>
              <w:t xml:space="preserve">One-time / subscription / freemium</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r>
              <w:rPr>
                <w:rFonts w:ascii="Arial" w:cs="Arial" w:eastAsia="Arial" w:hAnsi="Arial"/>
                <w:b/>
                <w:bCs/>
                <w:color w:val="1E5C30"/>
                <w:sz w:val="18"/>
                <w:szCs w:val="18"/>
              </w:rPr>
              <w:t xml:space="preserve">One-time purchase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2A35"/>
                <w:sz w:val="18"/>
                <w:szCs w:val="18"/>
              </w:rPr>
              <w:t xml:space="preserve">Price point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6"/>
                <w:sz w:val="18"/>
                <w:szCs w:val="18"/>
              </w:rPr>
              <w:t xml:space="preserve">$24 / $29 / $32 / $34 / $49</w:t>
            </w:r>
          </w:p>
        </w:tc>
        <w:tc>
          <w:tcPr>
            <w:tcW w:type="dxa" w:w="3360"/>
            <w:tcBorders>
              <w:top w:val="single" w:color="CCCCCC" w:sz="1"/>
              <w:left w:val="single" w:color="CCCCCC" w:sz="1"/>
              <w:bottom w:val="single" w:color="CCCCCC" w:sz="1"/>
              <w:right w:val="single" w:color="CCCCCC" w:sz="1"/>
            </w:tcBorders>
            <w:shd w:fill="EEF9EE" w:val="clear"/>
            <w:tcMar>
              <w:top w:type="dxa" w:w="80"/>
              <w:left w:type="dxa" w:w="140"/>
              <w:bottom w:type="dxa" w:w="80"/>
              <w:right w:type="dxa" w:w="140"/>
            </w:tcMar>
          </w:tcPr>
          <w:p>
            <w:r>
              <w:rPr>
                <w:rFonts w:ascii="Arial" w:cs="Arial" w:eastAsia="Arial" w:hAnsi="Arial"/>
                <w:b/>
                <w:bCs/>
                <w:color w:val="1E5C30"/>
                <w:sz w:val="18"/>
                <w:szCs w:val="18"/>
              </w:rPr>
              <w:t xml:space="preserve">$29</w:t>
            </w:r>
          </w:p>
        </w:tc>
      </w:tr>
      <w:tr>
        <w:tc>
          <w:tcPr>
            <w:tcW w:type="dxa" w:w="26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b/>
                <w:bCs/>
                <w:color w:val="1E2A35"/>
                <w:sz w:val="18"/>
                <w:szCs w:val="18"/>
              </w:rPr>
              <w:t xml:space="preserve">Obsidian integration</w:t>
            </w:r>
          </w:p>
        </w:tc>
        <w:tc>
          <w:tcPr>
            <w:tcW w:type="dxa" w:w="34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color w:val="6B6B66"/>
                <w:sz w:val="18"/>
                <w:szCs w:val="18"/>
              </w:rPr>
              <w:t xml:space="preserve">Vault navigation / .md import only / broader audience</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r>
              <w:rPr>
                <w:rFonts w:ascii="Arial" w:cs="Arial" w:eastAsia="Arial" w:hAnsi="Arial"/>
                <w:b/>
                <w:bCs/>
                <w:color w:val="1E5C30"/>
                <w:sz w:val="18"/>
                <w:szCs w:val="18"/>
              </w:rPr>
              <w:t xml:space="preserve">Broader audience — no Obsidian-specific features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2A35"/>
                <w:sz w:val="18"/>
                <w:szCs w:val="18"/>
              </w:rPr>
              <w:t xml:space="preserve">Year-one goal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6"/>
                <w:sz w:val="18"/>
                <w:szCs w:val="18"/>
              </w:rPr>
              <w:t xml:space="preserve">Revenue / audience / reputation / all three</w:t>
            </w:r>
          </w:p>
        </w:tc>
        <w:tc>
          <w:tcPr>
            <w:tcW w:type="dxa" w:w="3360"/>
            <w:tcBorders>
              <w:top w:val="single" w:color="CCCCCC" w:sz="1"/>
              <w:left w:val="single" w:color="CCCCCC" w:sz="1"/>
              <w:bottom w:val="single" w:color="CCCCCC" w:sz="1"/>
              <w:right w:val="single" w:color="CCCCCC" w:sz="1"/>
            </w:tcBorders>
            <w:shd w:fill="EEF9EE" w:val="clear"/>
            <w:tcMar>
              <w:top w:type="dxa" w:w="80"/>
              <w:left w:type="dxa" w:w="140"/>
              <w:bottom w:type="dxa" w:w="80"/>
              <w:right w:type="dxa" w:w="140"/>
            </w:tcMar>
          </w:tcPr>
          <w:p>
            <w:r>
              <w:rPr>
                <w:rFonts w:ascii="Arial" w:cs="Arial" w:eastAsia="Arial" w:hAnsi="Arial"/>
                <w:b/>
                <w:bCs/>
                <w:color w:val="1E5C30"/>
                <w:sz w:val="18"/>
                <w:szCs w:val="18"/>
              </w:rPr>
              <w:t xml:space="preserve">Revenue → audience → reputation, in order</w:t>
            </w:r>
          </w:p>
        </w:tc>
      </w:tr>
      <w:tr>
        <w:tc>
          <w:tcPr>
            <w:tcW w:type="dxa" w:w="26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b/>
                <w:bCs/>
                <w:color w:val="1E2A35"/>
                <w:sz w:val="18"/>
                <w:szCs w:val="18"/>
              </w:rPr>
              <w:t xml:space="preserve">Website CTA</w:t>
            </w:r>
          </w:p>
        </w:tc>
        <w:tc>
          <w:tcPr>
            <w:tcW w:type="dxa" w:w="34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color w:val="6B6B66"/>
                <w:sz w:val="18"/>
                <w:szCs w:val="18"/>
              </w:rPr>
              <w:t xml:space="preserve">Buy now / waitlist / free trial / narrative scroll</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r>
              <w:rPr>
                <w:rFonts w:ascii="Arial" w:cs="Arial" w:eastAsia="Arial" w:hAnsi="Arial"/>
                <w:b/>
                <w:bCs/>
                <w:color w:val="1E5C30"/>
                <w:sz w:val="18"/>
                <w:szCs w:val="18"/>
              </w:rPr>
              <w:t xml:space="preserve">Waitlist — email capture before launch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2A35"/>
                <w:sz w:val="18"/>
                <w:szCs w:val="18"/>
              </w:rPr>
              <w:t xml:space="preserve">Website tone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6"/>
                <w:sz w:val="18"/>
                <w:szCs w:val="18"/>
              </w:rPr>
              <w:t xml:space="preserve">Minimal / warm-writerly / professional / direct</w:t>
            </w:r>
          </w:p>
        </w:tc>
        <w:tc>
          <w:tcPr>
            <w:tcW w:type="dxa" w:w="3360"/>
            <w:tcBorders>
              <w:top w:val="single" w:color="CCCCCC" w:sz="1"/>
              <w:left w:val="single" w:color="CCCCCC" w:sz="1"/>
              <w:bottom w:val="single" w:color="CCCCCC" w:sz="1"/>
              <w:right w:val="single" w:color="CCCCCC" w:sz="1"/>
            </w:tcBorders>
            <w:shd w:fill="EEF9EE" w:val="clear"/>
            <w:tcMar>
              <w:top w:type="dxa" w:w="80"/>
              <w:left w:type="dxa" w:w="140"/>
              <w:bottom w:type="dxa" w:w="80"/>
              <w:right w:type="dxa" w:w="140"/>
            </w:tcMar>
          </w:tcPr>
          <w:p>
            <w:r>
              <w:rPr>
                <w:rFonts w:ascii="Arial" w:cs="Arial" w:eastAsia="Arial" w:hAnsi="Arial"/>
                <w:b/>
                <w:bCs/>
                <w:color w:val="1E5C30"/>
                <w:sz w:val="18"/>
                <w:szCs w:val="18"/>
              </w:rPr>
              <w:t xml:space="preserve">Warm and writerly</w:t>
            </w:r>
          </w:p>
        </w:tc>
      </w:tr>
      <w:tr>
        <w:tc>
          <w:tcPr>
            <w:tcW w:type="dxa" w:w="26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b/>
                <w:bCs/>
                <w:color w:val="1E2A35"/>
                <w:sz w:val="18"/>
                <w:szCs w:val="18"/>
              </w:rPr>
              <w:t xml:space="preserve">Demo asset</w:t>
            </w:r>
          </w:p>
        </w:tc>
        <w:tc>
          <w:tcPr>
            <w:tcW w:type="dxa" w:w="34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color w:val="6B6B66"/>
                <w:sz w:val="18"/>
                <w:szCs w:val="18"/>
              </w:rPr>
              <w:t xml:space="preserve">Video / interactive preview / screenshots only</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r>
              <w:rPr>
                <w:rFonts w:ascii="Arial" w:cs="Arial" w:eastAsia="Arial" w:hAnsi="Arial"/>
                <w:b/>
                <w:bCs/>
                <w:color w:val="1E5C30"/>
                <w:sz w:val="18"/>
                <w:szCs w:val="18"/>
              </w:rPr>
              <w:t xml:space="preserve">Short demo video — to be supplied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2A35"/>
                <w:sz w:val="18"/>
                <w:szCs w:val="18"/>
              </w:rPr>
              <w:t xml:space="preserve">Suite cross-promo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6"/>
                <w:sz w:val="18"/>
                <w:szCs w:val="18"/>
              </w:rPr>
              <w:t xml:space="preserve">Dedicated section / footer only / none</w:t>
            </w:r>
          </w:p>
        </w:tc>
        <w:tc>
          <w:tcPr>
            <w:tcW w:type="dxa" w:w="3360"/>
            <w:tcBorders>
              <w:top w:val="single" w:color="CCCCCC" w:sz="1"/>
              <w:left w:val="single" w:color="CCCCCC" w:sz="1"/>
              <w:bottom w:val="single" w:color="CCCCCC" w:sz="1"/>
              <w:right w:val="single" w:color="CCCCCC" w:sz="1"/>
            </w:tcBorders>
            <w:shd w:fill="EEF9EE" w:val="clear"/>
            <w:tcMar>
              <w:top w:type="dxa" w:w="80"/>
              <w:left w:type="dxa" w:w="140"/>
              <w:bottom w:type="dxa" w:w="80"/>
              <w:right w:type="dxa" w:w="140"/>
            </w:tcMar>
          </w:tcPr>
          <w:p>
            <w:r>
              <w:rPr>
                <w:rFonts w:ascii="Arial" w:cs="Arial" w:eastAsia="Arial" w:hAnsi="Arial"/>
                <w:b/>
                <w:bCs/>
                <w:color w:val="1E5C30"/>
                <w:sz w:val="18"/>
                <w:szCs w:val="18"/>
              </w:rPr>
              <w:t xml:space="preserve">Footer attribution only</w:t>
            </w:r>
          </w:p>
        </w:tc>
      </w:tr>
      <w:tr>
        <w:tc>
          <w:tcPr>
            <w:tcW w:type="dxa" w:w="26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b/>
                <w:bCs/>
                <w:color w:val="1E2A35"/>
                <w:sz w:val="18"/>
                <w:szCs w:val="18"/>
              </w:rPr>
              <w:t xml:space="preserve">Brand color</w:t>
            </w:r>
          </w:p>
        </w:tc>
        <w:tc>
          <w:tcPr>
            <w:tcW w:type="dxa" w:w="3400"/>
            <w:tcBorders>
              <w:top w:val="single" w:color="CCCCCC" w:sz="1"/>
              <w:left w:val="single" w:color="CCCCCC" w:sz="1"/>
              <w:bottom w:val="single" w:color="CCCCCC" w:sz="1"/>
              <w:right w:val="single" w:color="CCCCCC" w:sz="1"/>
            </w:tcBorders>
            <w:shd w:fill="F7F5FD" w:val="clear"/>
            <w:tcMar>
              <w:top w:type="dxa" w:w="80"/>
              <w:left w:type="dxa" w:w="140"/>
              <w:bottom w:type="dxa" w:w="80"/>
              <w:right w:type="dxa" w:w="140"/>
            </w:tcMar>
          </w:tcPr>
          <w:p>
            <w:r>
              <w:rPr>
                <w:rFonts w:ascii="Arial" w:cs="Arial" w:eastAsia="Arial" w:hAnsi="Arial"/>
                <w:color w:val="6B6B66"/>
                <w:sz w:val="18"/>
                <w:szCs w:val="18"/>
              </w:rPr>
              <w:t xml:space="preserve">Various proposals</w:t>
            </w:r>
          </w:p>
        </w:tc>
        <w:tc>
          <w:tcPr>
            <w:tcW w:type="dxa" w:w="33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40"/>
            </w:tcMar>
          </w:tcPr>
          <w:p>
            <w:r>
              <w:rPr>
                <w:rFonts w:ascii="Arial" w:cs="Arial" w:eastAsia="Arial" w:hAnsi="Arial"/>
                <w:b/>
                <w:bCs/>
                <w:color w:val="1E5C30"/>
                <w:sz w:val="18"/>
                <w:szCs w:val="18"/>
              </w:rPr>
              <w:t xml:space="preserve">Warm violet #5C4B8A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2A35"/>
                <w:sz w:val="18"/>
                <w:szCs w:val="18"/>
              </w:rPr>
              <w:t xml:space="preserve">Domain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6"/>
                <w:sz w:val="18"/>
                <w:szCs w:val="18"/>
              </w:rPr>
              <w:t xml:space="preserve">getlector / lector.app / thisislector / uselector</w:t>
            </w:r>
          </w:p>
        </w:tc>
        <w:tc>
          <w:tcPr>
            <w:tcW w:type="dxa" w:w="3360"/>
            <w:tcBorders>
              <w:top w:val="single" w:color="CCCCCC" w:sz="1"/>
              <w:left w:val="single" w:color="CCCCCC" w:sz="1"/>
              <w:bottom w:val="single" w:color="CCCCCC" w:sz="1"/>
              <w:right w:val="single" w:color="CCCCCC" w:sz="1"/>
            </w:tcBorders>
            <w:shd w:fill="EEF9EE" w:val="clear"/>
            <w:tcMar>
              <w:top w:type="dxa" w:w="80"/>
              <w:left w:type="dxa" w:w="140"/>
              <w:bottom w:type="dxa" w:w="80"/>
              <w:right w:type="dxa" w:w="140"/>
            </w:tcMar>
          </w:tcPr>
          <w:p>
            <w:r>
              <w:rPr>
                <w:rFonts w:ascii="Arial" w:cs="Arial" w:eastAsia="Arial" w:hAnsi="Arial"/>
                <w:b/>
                <w:bCs/>
                <w:color w:val="1E5C30"/>
                <w:sz w:val="18"/>
                <w:szCs w:val="18"/>
              </w:rPr>
              <w:t xml:space="preserve">uselector.app (primary)</w:t>
            </w:r>
          </w:p>
        </w:tc>
      </w:tr>
    </w:tbl>
    <w:p>
      <w:pPr>
        <w:spacing w:before="0" w:after="120"/>
      </w:pPr>
      <w:r>
        <w:t xml:space="preserve"/>
      </w:r>
    </w:p>
    <w:p>
      <w:pPr>
        <w:spacing w:before="360" w:after="80"/>
      </w:pPr>
      <w:r>
        <w:rPr>
          <w:rFonts w:ascii="Arial" w:cs="Arial" w:eastAsia="Arial" w:hAnsi="Arial"/>
          <w:b/>
          <w:bCs/>
          <w:color w:val="5C4B8A"/>
          <w:sz w:val="26"/>
          <w:szCs w:val="26"/>
        </w:rPr>
        <w:t xml:space="preserve">Decision 1  </w:t>
      </w:r>
      <w:r>
        <w:rPr>
          <w:rFonts w:ascii="Arial" w:cs="Arial" w:eastAsia="Arial" w:hAnsi="Arial"/>
          <w:b/>
          <w:bCs/>
          <w:color w:val="1E2A35"/>
          <w:sz w:val="26"/>
          <w:szCs w:val="26"/>
        </w:rPr>
        <w:t xml:space="preserve">Product Name</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ScriVocalis — original working name, compound of Latin roots for writing and voice</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Vocalis — shorter, retains Latin voice reference</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Aloud — direct, English, communicates the act</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Heard — evocative, past tense of the core action</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Lector — Latin for 'one who reads aloud'; academic and ecclesiastical tradition</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ScriVocalis was the name in active use during personal development. When the product moved toward commercial planning, the name was reconsidered on the grounds that it does not communicate anything to a first-time viewer. A shopper who sees 'ScriVocalis' on a Product Hunt listing or a subreddit post gains no information about what the product does.</w:t>
      </w:r>
    </w:p>
    <w:p>
      <w:pPr>
        <w:spacing w:before="40" w:after="80"/>
      </w:pPr>
      <w:r>
        <w:rPr>
          <w:rFonts w:ascii="Arial" w:cs="Arial" w:eastAsia="Arial" w:hAnsi="Arial"/>
          <w:color w:val="3D3D3A"/>
          <w:sz w:val="20"/>
          <w:szCs w:val="20"/>
        </w:rPr>
        <w:t xml:space="preserve">The name Lector was proposed on the basis of three criteria: precision, register, and distinctiveness. In the academic and ecclesiastical tradition, a lector is specifically a person who reads aloud to an audience — not a writer, not a teacher, but a reader. That is precisely the role the software plays. The user writes; Lector reads it back. The name describes the relationship between user and tool with unusual accuracy.</w:t>
      </w:r>
    </w:p>
    <w:p>
      <w:pPr>
        <w:spacing w:before="40" w:after="80"/>
      </w:pPr>
      <w:r>
        <w:rPr>
          <w:rFonts w:ascii="Arial" w:cs="Arial" w:eastAsia="Arial" w:hAnsi="Arial"/>
          <w:color w:val="3D3D3A"/>
          <w:sz w:val="20"/>
          <w:szCs w:val="20"/>
        </w:rPr>
        <w:t xml:space="preserve">The register of the word — Latin-derived, familiar in academic contexts — also matches the primary audience: researchers, graduate students, essayists, and serious writers who will recognize the reference immediately. It signals that the product understands who they are without spelling it out.</w:t>
      </w:r>
    </w:p>
    <w:p>
      <w:pPr>
        <w:spacing w:before="40" w:after="80"/>
      </w:pPr>
      <w:r>
        <w:rPr>
          <w:rFonts w:ascii="Arial" w:cs="Arial" w:eastAsia="Arial" w:hAnsi="Arial"/>
          <w:color w:val="3D3D3A"/>
          <w:sz w:val="20"/>
          <w:szCs w:val="20"/>
        </w:rPr>
        <w:t xml:space="preserve">Among all options considered, Lector was the only name that communicated the product's function, matched the audience's register, and felt like a proper product name rather than a descriptor.</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Lector</w:t>
      </w:r>
    </w:p>
    <w:p>
      <w:pPr>
        <w:spacing w:before="0" w:after="120"/>
      </w:pPr>
      <w:r>
        <w:t xml:space="preserve"/>
      </w:r>
    </w:p>
    <w:p>
      <w:pPr>
        <w:spacing w:before="360" w:after="80"/>
      </w:pPr>
      <w:r>
        <w:rPr>
          <w:rFonts w:ascii="Arial" w:cs="Arial" w:eastAsia="Arial" w:hAnsi="Arial"/>
          <w:b/>
          <w:bCs/>
          <w:color w:val="5C4B8A"/>
          <w:sz w:val="26"/>
          <w:szCs w:val="26"/>
        </w:rPr>
        <w:t xml:space="preserve">Decision 2  </w:t>
      </w:r>
      <w:r>
        <w:rPr>
          <w:rFonts w:ascii="Arial" w:cs="Arial" w:eastAsia="Arial" w:hAnsi="Arial"/>
          <w:b/>
          <w:bCs/>
          <w:color w:val="1E2A35"/>
          <w:sz w:val="26"/>
          <w:szCs w:val="26"/>
        </w:rPr>
        <w:t xml:space="preserve">Core Use Case and Editor Role</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Primary writing environment — people should live in it, full session editor</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Paste-and-listen utility — editor is secondary, most users import text</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Both — support drafting and editing in-app, and importing for listen-only passes</w:t>
      </w:r>
    </w:p>
    <w:p>
      <w:pPr>
        <w:spacing w:before="0" w:after="40"/>
      </w:pPr>
      <w:r>
        <w:t xml:space="preserve"/>
      </w:r>
    </w:p>
    <w:p>
      <w:pPr>
        <w:spacing w:before="200" w:after="60"/>
      </w:pPr>
      <w:r>
        <w:rPr>
          <w:rFonts w:ascii="Arial" w:cs="Arial" w:eastAsia="Arial" w:hAnsi="Arial"/>
          <w:b/>
          <w:bCs/>
          <w:color w:val="1E2A35"/>
          <w:sz w:val="21"/>
          <w:szCs w:val="21"/>
        </w:rPr>
        <w:t xml:space="preserve">Client clarification</w:t>
      </w:r>
    </w:p>
    <w:p>
      <w:pPr>
        <w:spacing w:before="40" w:after="80"/>
      </w:pPr>
      <w:r>
        <w:rPr>
          <w:rFonts w:ascii="Arial" w:cs="Arial" w:eastAsia="Arial" w:hAnsi="Arial"/>
          <w:color w:val="3D3D3A"/>
          <w:sz w:val="20"/>
          <w:szCs w:val="20"/>
        </w:rPr>
        <w:t xml:space="preserve">The client clarified that Lector is not intended to format documents for publication or provide spelling and grammar checking. However, it should support open drafting and macro-editing within the program. Users should also be able to import documents for editing passes. Both workflows should be possible.</w:t>
      </w:r>
    </w:p>
    <w:p>
      <w:pPr>
        <w:spacing w:before="40" w:after="80"/>
      </w:pPr>
      <w:r>
        <w:rPr>
          <w:rFonts w:ascii="Arial" w:cs="Arial" w:eastAsia="Arial" w:hAnsi="Arial"/>
          <w:color w:val="3D3D3A"/>
          <w:sz w:val="20"/>
          <w:szCs w:val="20"/>
        </w:rPr>
        <w:t xml:space="preserve">The key term established in this discussion was macro-editing: working on structure, rhythm, argument, and flow — the level at which read-aloud is the primary instrument. This is distinct from line editing or copy editing.</w:t>
      </w:r>
    </w:p>
    <w:p>
      <w:pPr>
        <w:spacing w:before="0" w:after="40"/>
      </w:pPr>
      <w:r>
        <w:t xml:space="preserve"/>
      </w:r>
    </w:p>
    <w:p>
      <w:pPr>
        <w:spacing w:before="200" w:after="60"/>
      </w:pPr>
      <w:r>
        <w:rPr>
          <w:rFonts w:ascii="Arial" w:cs="Arial" w:eastAsia="Arial" w:hAnsi="Arial"/>
          <w:b/>
          <w:bCs/>
          <w:color w:val="1E2A35"/>
          <w:sz w:val="21"/>
          <w:szCs w:val="21"/>
        </w:rPr>
        <w:t xml:space="preserve">Evidence — why read-aloud matters for this use case</w:t>
      </w:r>
    </w:p>
    <w:p>
      <w:pPr>
        <w:spacing w:before="40" w:after="80"/>
      </w:pPr>
      <w:r>
        <w:rPr>
          <w:rFonts w:ascii="Arial" w:cs="Arial" w:eastAsia="Arial" w:hAnsi="Arial"/>
          <w:color w:val="3D3D3A"/>
          <w:sz w:val="20"/>
          <w:szCs w:val="20"/>
        </w:rPr>
        <w:t xml:space="preserve">The client articulated the underlying mechanism directly: when writers read their own work visually, the brain autocorrects. It sees what was intended rather than what is written, and skips over prose problems that are audible but not visible. Hearing text read by a neutral voice stops that autocorrection. This is not a niche academic technique — it is the standard editing practice of anyone who writes seriously for publication.</w:t>
      </w:r>
    </w:p>
    <w:p>
      <w:pPr>
        <w:spacing w:before="40" w:after="80"/>
      </w:pPr>
      <w:r>
        <w:rPr>
          <w:rFonts w:ascii="Arial" w:cs="Arial" w:eastAsia="Arial" w:hAnsi="Arial"/>
          <w:color w:val="3D3D3A"/>
          <w:sz w:val="20"/>
          <w:szCs w:val="20"/>
        </w:rPr>
        <w:t xml:space="preserve">This understanding shaped the entire product: the read-aloud feature is the editing instrument, and the writing environment is the context that makes it frictionless. The editor needs to be good enough to write in for extended sessions, but does not need to compete with Scrivener or Word on organizational depth.</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Both — drafting and macro-editing in-app, plus import for listen-only passes</w:t>
      </w:r>
    </w:p>
    <w:p>
      <w:pPr>
        <w:spacing w:before="0" w:after="120"/>
      </w:pPr>
      <w:r>
        <w:t xml:space="preserve"/>
      </w:r>
    </w:p>
    <w:p>
      <w:pPr>
        <w:spacing w:before="360" w:after="80"/>
      </w:pPr>
      <w:r>
        <w:rPr>
          <w:rFonts w:ascii="Arial" w:cs="Arial" w:eastAsia="Arial" w:hAnsi="Arial"/>
          <w:b/>
          <w:bCs/>
          <w:color w:val="5C4B8A"/>
          <w:sz w:val="26"/>
          <w:szCs w:val="26"/>
        </w:rPr>
        <w:t xml:space="preserve">Decision 3  </w:t>
      </w:r>
      <w:r>
        <w:rPr>
          <w:rFonts w:ascii="Arial" w:cs="Arial" w:eastAsia="Arial" w:hAnsi="Arial"/>
          <w:b/>
          <w:bCs/>
          <w:color w:val="1E2A35"/>
          <w:sz w:val="26"/>
          <w:szCs w:val="26"/>
        </w:rPr>
        <w:t xml:space="preserve">Editor Display Mode</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WYSIWYG only — Markdown rendered live, syntax hidden (Typora model)</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Raw Markdown only — syntax always visible, target user knows what # means</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Both modes with a toggle — user can switch between rendered and raw</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WYSIWYG-only was the initially recommended direction on the grounds that most writers — including academics and essayists — do not want to see Markdown syntax. The Typora model of rendering formatting live while keeping the file on disk as plain text was identified as the strongest model for this audience. The client agreed but wanted raw mode available for users who prefer it.</w:t>
      </w:r>
    </w:p>
    <w:p>
      <w:pPr>
        <w:spacing w:before="40" w:after="80"/>
      </w:pPr>
      <w:r>
        <w:rPr>
          <w:rFonts w:ascii="Arial" w:cs="Arial" w:eastAsia="Arial" w:hAnsi="Arial"/>
          <w:color w:val="3D3D3A"/>
          <w:sz w:val="20"/>
          <w:szCs w:val="20"/>
        </w:rPr>
        <w:t xml:space="preserve">The dual-mode decision was accepted with one explicit condition: implementation quality is everything. A mode switch done poorly reads as indecision. Done well, it reads as genuine respect for different working styles. The requirements established were: the toggle must be a single always-visible button or keyboard shortcut; the transition must be instant with no reflow or cursor jump; and raw mode must be typographically intentional, not a fallback.</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Both modes with an always-visible toolbar toggle. Keyboard shortcut added if it requires minimal work.</w:t>
      </w:r>
    </w:p>
    <w:p>
      <w:pPr>
        <w:spacing w:before="0" w:after="120"/>
      </w:pPr>
      <w:r>
        <w:t xml:space="preserve"/>
      </w:r>
    </w:p>
    <w:p>
      <w:pPr>
        <w:spacing w:before="360" w:after="80"/>
      </w:pPr>
      <w:r>
        <w:rPr>
          <w:rFonts w:ascii="Arial" w:cs="Arial" w:eastAsia="Arial" w:hAnsi="Arial"/>
          <w:b/>
          <w:bCs/>
          <w:color w:val="5C4B8A"/>
          <w:sz w:val="26"/>
          <w:szCs w:val="26"/>
        </w:rPr>
        <w:t xml:space="preserve">Decision 4  </w:t>
      </w:r>
      <w:r>
        <w:rPr>
          <w:rFonts w:ascii="Arial" w:cs="Arial" w:eastAsia="Arial" w:hAnsi="Arial"/>
          <w:b/>
          <w:bCs/>
          <w:color w:val="1E2A35"/>
          <w:sz w:val="26"/>
          <w:szCs w:val="26"/>
        </w:rPr>
        <w:t xml:space="preserve">Supported Input Formats at Launch</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.md — native Markdown</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.docx — Microsoft Word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.txt — plain text</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.pdf — PDF documents</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.md is native to the product architecture and requires no parsing. .docx support already exists in the current ScriVocalis codebase via text_parser.py, making it low-cost to include. .txt requires no parsing and serves the plain-text workflow. PDF was excluded at launch because it represents a meaningful amount of additional engineering work — text extraction from PDFs is nontrivial — for returns that are uncertain until user demand is confirmed. PDF is explicitly flagged as a v2 candidate pending demand signals.</w:t>
      </w:r>
    </w:p>
    <w:p>
      <w:pPr>
        <w:spacing w:before="40" w:after="80"/>
      </w:pPr>
      <w:r>
        <w:rPr>
          <w:rFonts w:ascii="Arial" w:cs="Arial" w:eastAsia="Arial" w:hAnsi="Arial"/>
          <w:color w:val="3D3D3A"/>
          <w:sz w:val="20"/>
          <w:szCs w:val="20"/>
        </w:rPr>
        <w:t xml:space="preserve">The import experience requirement: a user should be able to open a .docx or .md file and start listening within thirty seconds, without reformatting anything. That is the quality bar for the import pipeline.</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.md, .docx, and .txt at launch. PDF deferred to v2.</w:t>
      </w:r>
    </w:p>
    <w:p>
      <w:pPr>
        <w:spacing w:before="0" w:after="120"/>
      </w:pPr>
      <w:r>
        <w:t xml:space="preserve"/>
      </w:r>
    </w:p>
    <w:p>
      <w:pPr>
        <w:spacing w:before="360" w:after="80"/>
      </w:pPr>
      <w:r>
        <w:rPr>
          <w:rFonts w:ascii="Arial" w:cs="Arial" w:eastAsia="Arial" w:hAnsi="Arial"/>
          <w:b/>
          <w:bCs/>
          <w:color w:val="5C4B8A"/>
          <w:sz w:val="26"/>
          <w:szCs w:val="26"/>
        </w:rPr>
        <w:t xml:space="preserve">Decision 5  </w:t>
      </w:r>
      <w:r>
        <w:rPr>
          <w:rFonts w:ascii="Arial" w:cs="Arial" w:eastAsia="Arial" w:hAnsi="Arial"/>
          <w:b/>
          <w:bCs/>
          <w:color w:val="1E2A35"/>
          <w:sz w:val="26"/>
          <w:szCs w:val="26"/>
        </w:rPr>
        <w:t xml:space="preserve">Voice Cloning Model</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Kokoro-82M — small, CPU-viable, fast inference, thinner ecosystem</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XTTS-v2 — higher quality clones, larger community, better cross-platform documentation, more production use</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Hybrid — Kokoro for built-in voices, XTTS-v2 for cloning</w:t>
      </w:r>
    </w:p>
    <w:p>
      <w:pPr>
        <w:spacing w:before="0" w:after="40"/>
      </w:pPr>
      <w:r>
        <w:t xml:space="preserve"/>
      </w:r>
    </w:p>
    <w:p>
      <w:pPr>
        <w:spacing w:before="200" w:after="60"/>
      </w:pPr>
      <w:r>
        <w:rPr>
          <w:rFonts w:ascii="Arial" w:cs="Arial" w:eastAsia="Arial" w:hAnsi="Arial"/>
          <w:b/>
          <w:bCs/>
          <w:color w:val="1E2A35"/>
          <w:sz w:val="21"/>
          <w:szCs w:val="21"/>
        </w:rPr>
        <w:t xml:space="preserve">Decision criteria established by client</w:t>
      </w:r>
    </w:p>
    <w:p>
      <w:pPr>
        <w:spacing w:before="40" w:after="80"/>
      </w:pPr>
      <w:r>
        <w:rPr>
          <w:rFonts w:ascii="Arial" w:cs="Arial" w:eastAsia="Arial" w:hAnsi="Arial"/>
          <w:color w:val="3D3D3A"/>
          <w:sz w:val="20"/>
          <w:szCs w:val="20"/>
        </w:rPr>
        <w:t xml:space="preserve">The client explicitly de-prioritized time-to-clone as a selection criterion, on the basis that voice profile creation is a one-time event per user. A user who waits three to five minutes once to build their voice profile — and then has it permanently — is not meaningfully disadvantaged compared to a user whose profile builds in ninety seconds. Given that framing, the decision criteria were: reliability, cross-platform consistency, community support, and production track record.</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XTTS-v2 has a substantially larger active community, better cross-platform documentation, more consistent output quality across accents and voice types, and is the model with the most real-world production use behind it. Kokoro-82M is newer and faster but its ecosystem is thinner. For a commercial product where reliability on hardware the developer does not control is essential, and where bugs must be fixable through community resources, XTTS-v2 is the more defensible choice.</w:t>
      </w:r>
    </w:p>
    <w:p>
      <w:pPr>
        <w:spacing w:before="40" w:after="80"/>
      </w:pPr>
      <w:r>
        <w:rPr>
          <w:rFonts w:ascii="Arial" w:cs="Arial" w:eastAsia="Arial" w:hAnsi="Arial"/>
          <w:color w:val="3D3D3A"/>
          <w:sz w:val="20"/>
          <w:szCs w:val="20"/>
        </w:rPr>
        <w:t xml:space="preserve">On Apple Silicon, XTTS-v2 runs via the MPS backend and produces voice profiles significantly faster than on comparable Intel hardware — potentially under one minute on M-series chips versus three to five minutes on a mid-range Windows laptop. This is an additional advantage for the dual-platform release.</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XTTS-v2 as the voice cloning model.</w:t>
      </w:r>
    </w:p>
    <w:p>
      <w:pPr>
        <w:spacing w:before="0" w:after="120"/>
      </w:pPr>
      <w:r>
        <w:t xml:space="preserve"/>
      </w:r>
    </w:p>
    <w:p>
      <w:pPr>
        <w:spacing w:before="360" w:after="80"/>
      </w:pPr>
      <w:r>
        <w:rPr>
          <w:rFonts w:ascii="Arial" w:cs="Arial" w:eastAsia="Arial" w:hAnsi="Arial"/>
          <w:b/>
          <w:bCs/>
          <w:color w:val="5C4B8A"/>
          <w:sz w:val="26"/>
          <w:szCs w:val="26"/>
        </w:rPr>
        <w:t xml:space="preserve">Decision 6  </w:t>
      </w:r>
      <w:r>
        <w:rPr>
          <w:rFonts w:ascii="Arial" w:cs="Arial" w:eastAsia="Arial" w:hAnsi="Arial"/>
          <w:b/>
          <w:bCs/>
          <w:color w:val="1E2A35"/>
          <w:sz w:val="26"/>
          <w:szCs w:val="26"/>
        </w:rPr>
        <w:t xml:space="preserve">Launch Platform</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Windows only — consistent with TASS, lower QA burden, existing pipeline</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Mac only — writing-tool audience skews Mac, Apple Silicon advantage for voice inference</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Windows and Mac simultaneously — broader reach, more complex launch</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Windows first, Mac within six months — sequential risk reduction</w:t>
      </w:r>
    </w:p>
    <w:p>
      <w:pPr>
        <w:spacing w:before="0" w:after="40"/>
      </w:pPr>
      <w:r>
        <w:t xml:space="preserve"/>
      </w:r>
    </w:p>
    <w:p>
      <w:pPr>
        <w:spacing w:before="200" w:after="60"/>
      </w:pPr>
      <w:r>
        <w:rPr>
          <w:rFonts w:ascii="Arial" w:cs="Arial" w:eastAsia="Arial" w:hAnsi="Arial"/>
          <w:b/>
          <w:bCs/>
          <w:color w:val="1E2A35"/>
          <w:sz w:val="21"/>
          <w:szCs w:val="21"/>
        </w:rPr>
        <w:t xml:space="preserve">Evidence — Mac market justification</w:t>
      </w:r>
    </w:p>
    <w:p>
      <w:pPr>
        <w:spacing w:before="40" w:after="80"/>
      </w:pPr>
      <w:r>
        <w:rPr>
          <w:rFonts w:ascii="Arial" w:cs="Arial" w:eastAsia="Arial" w:hAnsi="Arial"/>
          <w:color w:val="3D3D3A"/>
          <w:sz w:val="20"/>
          <w:szCs w:val="20"/>
        </w:rPr>
        <w:t xml:space="preserve">The competitive landscape search confirmed that the overlap between 'people who write long-form prose or research manuscripts' and 'people who own MacBooks' is very large. The primary Lector audience — academic researchers, essayists, journalists — skews heavily toward Mac. This is distinct from TASS's audience, which skews Windows.</w:t>
      </w:r>
    </w:p>
    <w:p>
      <w:pPr>
        <w:spacing w:before="40" w:after="80"/>
      </w:pPr>
      <w:r>
        <w:rPr>
          <w:rFonts w:ascii="Arial" w:cs="Arial" w:eastAsia="Arial" w:hAnsi="Arial"/>
          <w:color w:val="3D3D3A"/>
          <w:sz w:val="20"/>
          <w:szCs w:val="20"/>
        </w:rPr>
        <w:t xml:space="preserve">Lector's architecture (FastAPI backend plus browser frontend, to be wrapped in Tauri) is substantially more portable than TASS's native Qt application. The dual-platform engineering burden for Lector is meaningfully lower than it would be for TASS, making simultaneous launch more realistic.</w:t>
      </w:r>
    </w:p>
    <w:p>
      <w:pPr>
        <w:spacing w:before="40" w:after="80"/>
      </w:pPr>
      <w:r>
        <w:rPr>
          <w:rFonts w:ascii="Arial" w:cs="Arial" w:eastAsia="Arial" w:hAnsi="Arial"/>
          <w:color w:val="3D3D3A"/>
          <w:sz w:val="20"/>
          <w:szCs w:val="20"/>
        </w:rPr>
        <w:t xml:space="preserve">Apple Silicon runs XTTS-v2 faster than comparable Intel hardware via the MPS backend. The product experience for voice cloning is measurably better on Mac without additional engineering effort.</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The client expressed openness to either decision but preferred simultaneous if technically feasible. The Tauri packaging approach — selected in Decision 8 — makes simultaneous release achievable because the underlying web frontend is platform-agnostic. The remaining platform-specific work is the voice model pipeline validation on each platform, which needs to happen regardless.</w:t>
      </w:r>
    </w:p>
    <w:p>
      <w:pPr>
        <w:spacing w:before="40" w:after="80"/>
      </w:pPr>
      <w:r>
        <w:rPr>
          <w:rFonts w:ascii="Arial" w:cs="Arial" w:eastAsia="Arial" w:hAnsi="Arial"/>
          <w:color w:val="3D3D3A"/>
          <w:sz w:val="20"/>
          <w:szCs w:val="20"/>
        </w:rPr>
        <w:t xml:space="preserve">The dual-launch decision is contingent on technical validation of the XTTS-v2 pipeline on both a mid-range Windows laptop and an M-series Mac. If that validation reveals platform-specific issues that cannot be resolved before launch, Windows ships first.</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Windows and Mac simultaneously if technically validated. Windows-first if validation reveals blocking issues.</w:t>
      </w:r>
    </w:p>
    <w:p>
      <w:pPr>
        <w:spacing w:before="0" w:after="120"/>
      </w:pPr>
      <w:r>
        <w:t xml:space="preserve"/>
      </w:r>
    </w:p>
    <w:p>
      <w:pPr>
        <w:spacing w:before="360" w:after="80"/>
      </w:pPr>
      <w:r>
        <w:rPr>
          <w:rFonts w:ascii="Arial" w:cs="Arial" w:eastAsia="Arial" w:hAnsi="Arial"/>
          <w:b/>
          <w:bCs/>
          <w:color w:val="5C4B8A"/>
          <w:sz w:val="26"/>
          <w:szCs w:val="26"/>
        </w:rPr>
        <w:t xml:space="preserve">Decision 7  </w:t>
      </w:r>
      <w:r>
        <w:rPr>
          <w:rFonts w:ascii="Arial" w:cs="Arial" w:eastAsia="Arial" w:hAnsi="Arial"/>
          <w:b/>
          <w:bCs/>
          <w:color w:val="1E2A35"/>
          <w:sz w:val="26"/>
          <w:szCs w:val="26"/>
        </w:rPr>
        <w:t xml:space="preserve">Markdown and File Format Scope</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Markdown-first product — target Obsidian users specifically, vault navigation, wikilinks</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Markdown as import/export format — solid .md support but no Obsidian-specific features</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Broader audience — Markdown under the hood, WYSIWYG surface, no Obsidian targeting</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The product originated from the client's personal Obsidian-based workflow, which is why Markdown was prominent in early descriptions. In commercial planning, the question was whether to target Obsidian users specifically or use Markdown as a format while aiming at a broader writing audience.</w:t>
      </w:r>
    </w:p>
    <w:p>
      <w:pPr>
        <w:spacing w:before="40" w:after="80"/>
      </w:pPr>
      <w:r>
        <w:rPr>
          <w:rFonts w:ascii="Arial" w:cs="Arial" w:eastAsia="Arial" w:hAnsi="Arial"/>
          <w:color w:val="3D3D3A"/>
          <w:sz w:val="20"/>
          <w:szCs w:val="20"/>
        </w:rPr>
        <w:t xml:space="preserve">The client confirmed that Lector should aim broader. Markdown as the underlying file format is worth keeping for portability and plain-text permanence. But Markdown as the visible interface requirement — raw syntax on screen — limits the audience to users who are already Markdown-native. A WYSIWYG rendering layer (the decision in Decision 3) preserves the format benefits while removing the syntax barrier for writers who do not use Obsidian.</w:t>
      </w:r>
    </w:p>
    <w:p>
      <w:pPr>
        <w:spacing w:before="40" w:after="80"/>
      </w:pPr>
      <w:r>
        <w:rPr>
          <w:rFonts w:ascii="Arial" w:cs="Arial" w:eastAsia="Arial" w:hAnsi="Arial"/>
          <w:color w:val="3D3D3A"/>
          <w:sz w:val="20"/>
          <w:szCs w:val="20"/>
        </w:rPr>
        <w:t xml:space="preserve">Obsidian vault folder navigation was identified as a v2 candidate: a left-panel file browser that can open a folder and navigate files within it. This serves Obsidian users specifically without requiring Obsidian-specific features like wikilinks or backlinks. It was excluded from v1.0 scope to keep the launch focused.</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Markdown as the underlying format. WYSIWYG surface for general writers. No Obsidian-specific features at launch. Vault folder navigation flagged as v2 candidate.</w:t>
      </w:r>
    </w:p>
    <w:p>
      <w:pPr>
        <w:spacing w:before="0" w:after="120"/>
      </w:pPr>
      <w:r>
        <w:t xml:space="preserve"/>
      </w:r>
    </w:p>
    <w:p>
      <w:pPr>
        <w:spacing w:before="360" w:after="80"/>
      </w:pPr>
      <w:r>
        <w:rPr>
          <w:rFonts w:ascii="Arial" w:cs="Arial" w:eastAsia="Arial" w:hAnsi="Arial"/>
          <w:b/>
          <w:bCs/>
          <w:color w:val="5C4B8A"/>
          <w:sz w:val="26"/>
          <w:szCs w:val="26"/>
        </w:rPr>
        <w:t xml:space="preserve">Decision 8  </w:t>
      </w:r>
      <w:r>
        <w:rPr>
          <w:rFonts w:ascii="Arial" w:cs="Arial" w:eastAsia="Arial" w:hAnsi="Arial"/>
          <w:b/>
          <w:bCs/>
          <w:color w:val="1E2A35"/>
          <w:sz w:val="26"/>
          <w:szCs w:val="26"/>
        </w:rPr>
        <w:t xml:space="preserve">Application Form Factor</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Keep as local web app — launch from tray icon, browser tab experience (Ibis model)</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Electron — wraps existing frontend, bundles Chromium, large installer (~150-300 MB)</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Tauri — wraps existing frontend, uses OS webview, small installer (~15-50 MB)</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Native PySide6/Qt — rebuild GUI from scratch as a native desktop app (TASS model)</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The local web app model was considered but rejected for a writing tool competing at $29 against iA Writer ($29.99) and Typora ($14.99). A browser tab experience does not feel like software at that price point, and the perception gap matters when the product must justify itself next to established, polished desktop applications.</w:t>
      </w:r>
    </w:p>
    <w:p>
      <w:pPr>
        <w:spacing w:before="40" w:after="80"/>
      </w:pPr>
      <w:r>
        <w:rPr>
          <w:rFonts w:ascii="Arial" w:cs="Arial" w:eastAsia="Arial" w:hAnsi="Arial"/>
          <w:color w:val="3D3D3A"/>
          <w:sz w:val="20"/>
          <w:szCs w:val="20"/>
        </w:rPr>
        <w:t xml:space="preserve">Electron was rejected primarily on installer size grounds. A 150-300 MB download for a writing tool is a meaningful barrier for a first-time buyer who is not yet committed to the purchase. Smaller is better at the discovery stage.</w:t>
      </w:r>
    </w:p>
    <w:p>
      <w:pPr>
        <w:spacing w:before="40" w:after="80"/>
      </w:pPr>
      <w:r>
        <w:rPr>
          <w:rFonts w:ascii="Arial" w:cs="Arial" w:eastAsia="Arial" w:hAnsi="Arial"/>
          <w:color w:val="3D3D3A"/>
          <w:sz w:val="20"/>
          <w:szCs w:val="20"/>
        </w:rPr>
        <w:t xml:space="preserve">PySide6/Qt was rejected because it would require rebuilding the existing frontend from scratch. The existing FastAPI plus browser architecture is substantial work that should be preserved, not discarded.</w:t>
      </w:r>
    </w:p>
    <w:p>
      <w:pPr>
        <w:spacing w:before="40" w:after="80"/>
      </w:pPr>
      <w:r>
        <w:rPr>
          <w:rFonts w:ascii="Arial" w:cs="Arial" w:eastAsia="Arial" w:hAnsi="Arial"/>
          <w:color w:val="3D3D3A"/>
          <w:sz w:val="20"/>
          <w:szCs w:val="20"/>
        </w:rPr>
        <w:t xml:space="preserve">Tauri preserves the existing architecture with minimal changes: FastAPI runs as a managed sidecar process, and Tauri's webview renders the existing frontend. The application window presents as a native desktop app — title bar, native file dialogs, system menus, keyboard shortcuts — without the Chromium bundle. Installer target is under 60 MB. The user never sees a browser chrome.</w:t>
      </w:r>
    </w:p>
    <w:p>
      <w:pPr>
        <w:spacing w:before="40" w:after="80"/>
      </w:pPr>
      <w:r>
        <w:rPr>
          <w:rFonts w:ascii="Arial" w:cs="Arial" w:eastAsia="Arial" w:hAnsi="Arial"/>
          <w:color w:val="3D3D3A"/>
          <w:sz w:val="20"/>
          <w:szCs w:val="20"/>
        </w:rPr>
        <w:t xml:space="preserve">The client requirement was explicit: the product should not feel like a random tab in a browser. Tauri satisfies this requirement while minimizing engineering rework.</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Tauri desktop application with FastAPI sidecar. Existing frontend preserved. Installer target under 60 MB.</w:t>
      </w:r>
    </w:p>
    <w:p>
      <w:pPr>
        <w:spacing w:before="0" w:after="120"/>
      </w:pPr>
      <w:r>
        <w:t xml:space="preserve"/>
      </w:r>
    </w:p>
    <w:p>
      <w:pPr>
        <w:spacing w:before="360" w:after="80"/>
      </w:pPr>
      <w:r>
        <w:rPr>
          <w:rFonts w:ascii="Arial" w:cs="Arial" w:eastAsia="Arial" w:hAnsi="Arial"/>
          <w:b/>
          <w:bCs/>
          <w:color w:val="5C4B8A"/>
          <w:sz w:val="26"/>
          <w:szCs w:val="26"/>
        </w:rPr>
        <w:t xml:space="preserve">Decision 9  </w:t>
      </w:r>
      <w:r>
        <w:rPr>
          <w:rFonts w:ascii="Arial" w:cs="Arial" w:eastAsia="Arial" w:hAnsi="Arial"/>
          <w:b/>
          <w:bCs/>
          <w:color w:val="1E2A35"/>
          <w:sz w:val="26"/>
          <w:szCs w:val="26"/>
        </w:rPr>
        <w:t xml:space="preserve">Pricing Model</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One-time purchase — consistent with Ibis ($24) and TASS ($49/year)</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Subscription — ongoing voice model improvements could justify recurring revenue</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Freemium — built-in voices free, cloned voices paid</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One-time pricing is a deliberate SIM DAD LLC brand position. All three products in the suite use it. The target audience — writers, researchers, academics — has a demonstrated preference for permanent software ownership over subscriptions. The competitive advantage of stating '$29, once, yours' next to Speechify's subscription pricing is meaningful and should not be diluted.</w:t>
      </w:r>
    </w:p>
    <w:p>
      <w:pPr>
        <w:spacing w:before="40" w:after="80"/>
      </w:pPr>
      <w:r>
        <w:rPr>
          <w:rFonts w:ascii="Arial" w:cs="Arial" w:eastAsia="Arial" w:hAnsi="Arial"/>
          <w:color w:val="3D3D3A"/>
          <w:sz w:val="20"/>
          <w:szCs w:val="20"/>
        </w:rPr>
        <w:t xml:space="preserve">Freemium was rejected specifically because the client expressed concern that voice cloning is a novelty feature for a fraction of users. The majority of Lector users will use the built-in voices and never clone their own. Gating the built-in experience behind a freemium model would punish the majority user for a feature most of them do not need.</w:t>
      </w:r>
    </w:p>
    <w:p>
      <w:pPr>
        <w:spacing w:before="40" w:after="80"/>
      </w:pPr>
      <w:r>
        <w:rPr>
          <w:rFonts w:ascii="Arial" w:cs="Arial" w:eastAsia="Arial" w:hAnsi="Arial"/>
          <w:color w:val="3D3D3A"/>
          <w:sz w:val="20"/>
          <w:szCs w:val="20"/>
        </w:rPr>
        <w:t xml:space="preserve">Subscription was rejected on the same grounds as for the other SIM DAD products: the audience is skeptical of recurring costs for local software, and the SIM DAD brand is built on permanence.</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One-time purchase.</w:t>
      </w:r>
    </w:p>
    <w:p>
      <w:pPr>
        <w:spacing w:before="0" w:after="120"/>
      </w:pPr>
      <w:r>
        <w:t xml:space="preserve"/>
      </w:r>
    </w:p>
    <w:p>
      <w:pPr>
        <w:spacing w:before="360" w:after="80"/>
      </w:pPr>
      <w:r>
        <w:rPr>
          <w:rFonts w:ascii="Arial" w:cs="Arial" w:eastAsia="Arial" w:hAnsi="Arial"/>
          <w:b/>
          <w:bCs/>
          <w:color w:val="5C4B8A"/>
          <w:sz w:val="26"/>
          <w:szCs w:val="26"/>
        </w:rPr>
        <w:t xml:space="preserve">Decision 10  </w:t>
      </w:r>
      <w:r>
        <w:rPr>
          <w:rFonts w:ascii="Arial" w:cs="Arial" w:eastAsia="Arial" w:hAnsi="Arial"/>
          <w:b/>
          <w:bCs/>
          <w:color w:val="1E2A35"/>
          <w:sz w:val="26"/>
          <w:szCs w:val="26"/>
        </w:rPr>
        <w:t xml:space="preserve">Price Point</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$24 — matches Ibis, lowest entry point</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$29 — matches iA Writer Windows price</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$32 — slight premium over iA Writer</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$34 — stronger premium signal</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$49 — matches TASS annual, rejected as too high for a tool serving part of the writing process</w:t>
      </w:r>
    </w:p>
    <w:p>
      <w:pPr>
        <w:spacing w:before="0" w:after="40"/>
      </w:pPr>
      <w:r>
        <w:t xml:space="preserve"/>
      </w:r>
    </w:p>
    <w:p>
      <w:pPr>
        <w:spacing w:before="200" w:after="60"/>
      </w:pPr>
      <w:r>
        <w:rPr>
          <w:rFonts w:ascii="Arial" w:cs="Arial" w:eastAsia="Arial" w:hAnsi="Arial"/>
          <w:b/>
          <w:bCs/>
          <w:color w:val="1E2A35"/>
          <w:sz w:val="21"/>
          <w:szCs w:val="21"/>
        </w:rPr>
        <w:t xml:space="preserve">Market research conducted</w:t>
      </w:r>
    </w:p>
    <w:p>
      <w:pPr>
        <w:shd w:fill="F0EEF9" w:val="clear"/>
        <w:spacing w:before="80" w:after="80"/>
        <w:ind w:left="240" w:right="240"/>
      </w:pPr>
      <w:r>
        <w:rPr>
          <w:rFonts w:ascii="Arial" w:cs="Arial" w:eastAsia="Arial" w:hAnsi="Arial"/>
          <w:i/>
          <w:iCs/>
          <w:color w:val="5C4B8A"/>
          <w:sz w:val="19"/>
          <w:szCs w:val="19"/>
        </w:rPr>
        <w:t xml:space="preserve">iA Writer (Windows): $29.99 one-time purchase — source: usevoicy.com/blog/best-writing-apps-for-windows, confirmed February 2026</w:t>
      </w:r>
    </w:p>
    <w:p>
      <w:pPr>
        <w:shd w:fill="F0EEF9" w:val="clear"/>
        <w:spacing w:before="80" w:after="80"/>
        <w:ind w:left="240" w:right="240"/>
      </w:pPr>
      <w:r>
        <w:rPr>
          <w:rFonts w:ascii="Arial" w:cs="Arial" w:eastAsia="Arial" w:hAnsi="Arial"/>
          <w:i/>
          <w:iCs/>
          <w:color w:val="5C4B8A"/>
          <w:sz w:val="19"/>
          <w:szCs w:val="19"/>
        </w:rPr>
        <w:t xml:space="preserve">Typora: $14.99 one-time purchase, valid for up to 3 devices — same source, confirmed February 2026</w:t>
      </w:r>
    </w:p>
    <w:p>
      <w:pPr>
        <w:shd w:fill="F0EEF9" w:val="clear"/>
        <w:spacing w:before="80" w:after="80"/>
        <w:ind w:left="240" w:right="240"/>
      </w:pPr>
      <w:r>
        <w:rPr>
          <w:rFonts w:ascii="Arial" w:cs="Arial" w:eastAsia="Arial" w:hAnsi="Arial"/>
          <w:i/>
          <w:iCs/>
          <w:color w:val="5C4B8A"/>
          <w:sz w:val="19"/>
          <w:szCs w:val="19"/>
        </w:rPr>
        <w:t xml:space="preserve">Neither iA Writer nor Typora includes read-aloud. No competitor in the writing-environment category has a native read-aloud feature.</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The two closest structural competitors as writing environments are Typora ($14.99) and iA Writer ($29.99). Lector does what both do — distraction-free writing, Markdown support, focus mode — and adds the read-aloud feature that neither offers. That gap justifies a price at or above iA Writer.</w:t>
      </w:r>
    </w:p>
    <w:p>
      <w:pPr>
        <w:spacing w:before="40" w:after="80"/>
      </w:pPr>
      <w:r>
        <w:rPr>
          <w:rFonts w:ascii="Arial" w:cs="Arial" w:eastAsia="Arial" w:hAnsi="Arial"/>
          <w:color w:val="3D3D3A"/>
          <w:sz w:val="20"/>
          <w:szCs w:val="20"/>
        </w:rPr>
        <w:t xml:space="preserve">$29 was selected because it sits directly alongside iA Writer, meaning a comparison shopper sees equivalent price but materially more capability. The client expressed concern that $49 was too high for a tool that serves part of the writing process rather than the whole of it. $29 avoids that objection while still justifying the product's value relative to Typora.</w:t>
      </w:r>
    </w:p>
    <w:p>
      <w:pPr>
        <w:spacing w:before="40" w:after="80"/>
      </w:pPr>
      <w:r>
        <w:rPr>
          <w:rFonts w:ascii="Arial" w:cs="Arial" w:eastAsia="Arial" w:hAnsi="Arial"/>
          <w:color w:val="3D3D3A"/>
          <w:sz w:val="20"/>
          <w:szCs w:val="20"/>
        </w:rPr>
        <w:t xml:space="preserve">The client confirmed that professional polish is a prerequisite for this price point — the Tauri form factor decision (Decision 8) is directly linked to this pricing decision.</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$29 one-time purchase.</w:t>
      </w:r>
    </w:p>
    <w:p>
      <w:pPr>
        <w:spacing w:before="0" w:after="120"/>
      </w:pPr>
      <w:r>
        <w:t xml:space="preserve"/>
      </w:r>
    </w:p>
    <w:p>
      <w:pPr>
        <w:spacing w:before="360" w:after="80"/>
      </w:pPr>
      <w:r>
        <w:rPr>
          <w:rFonts w:ascii="Arial" w:cs="Arial" w:eastAsia="Arial" w:hAnsi="Arial"/>
          <w:b/>
          <w:bCs/>
          <w:color w:val="5C4B8A"/>
          <w:sz w:val="26"/>
          <w:szCs w:val="26"/>
        </w:rPr>
        <w:t xml:space="preserve">Decision 11  </w:t>
      </w:r>
      <w:r>
        <w:rPr>
          <w:rFonts w:ascii="Arial" w:cs="Arial" w:eastAsia="Arial" w:hAnsi="Arial"/>
          <w:b/>
          <w:bCs/>
          <w:color w:val="1E2A35"/>
          <w:sz w:val="26"/>
          <w:szCs w:val="26"/>
        </w:rPr>
        <w:t xml:space="preserve">Domain Name</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lector.app — clean, brand-first, availability unknown</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getlector.com / getlector.app — common software convention</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thisislector.com — confident but long, brand name appears seventh character in</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get-lector.app (dashed) — available, but dashes are invisible in spoken communication</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uselector.app — available, no dashes, reads as a single word with dual meaning</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The 'get' prefix convention was assessed and rejected for TASS on brand-safety grounds (gettass). For Lector, 'getlector' is clean but 'uselector' emerged as the stronger option.</w:t>
      </w:r>
    </w:p>
    <w:p>
      <w:pPr>
        <w:spacing w:before="40" w:after="80"/>
      </w:pPr>
      <w:r>
        <w:rPr>
          <w:rFonts w:ascii="Arial" w:cs="Arial" w:eastAsia="Arial" w:hAnsi="Arial"/>
          <w:color w:val="3D3D3A"/>
          <w:sz w:val="20"/>
          <w:szCs w:val="20"/>
        </w:rPr>
        <w:t xml:space="preserve">'uselector.app' functions as 'use + lector' (the primary reading) and simultaneously as 'u-selector' — a subtle reference to selecting text, which is directly relevant to the product's function. The dual reading is an accidental advantage. The .app extension is appropriate for a desktop application product. The domain was confirmed available.</w:t>
      </w:r>
    </w:p>
    <w:p>
      <w:pPr>
        <w:spacing w:before="40" w:after="80"/>
      </w:pPr>
      <w:r>
        <w:rPr>
          <w:rFonts w:ascii="Arial" w:cs="Arial" w:eastAsia="Arial" w:hAnsi="Arial"/>
          <w:color w:val="3D3D3A"/>
          <w:sz w:val="20"/>
          <w:szCs w:val="20"/>
        </w:rPr>
        <w:t xml:space="preserve">Dashed domains (get-lector.app) were assessed and rejected as primary domains on three grounds: dashes are invisible in spoken communication, they carry a perception of informality or low production value, and they are easily forgotten when typing. The dashed variants are recommended for purchase as defensive redirects pointing to the primary domain.</w:t>
      </w:r>
    </w:p>
    <w:p>
      <w:pPr>
        <w:spacing w:before="40" w:after="80"/>
      </w:pPr>
      <w:r>
        <w:rPr>
          <w:rFonts w:ascii="Arial" w:cs="Arial" w:eastAsia="Arial" w:hAnsi="Arial"/>
          <w:color w:val="3D3D3A"/>
          <w:sz w:val="20"/>
          <w:szCs w:val="20"/>
        </w:rPr>
        <w:t xml:space="preserve">'thisislector.com' was assessed and rejected as a primary: it is fifteen characters before the extension, front-loads a word carrying no information, and the brand name does not appear until the seventh character.</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uselector.app as primary domain. Defensive registrations recommended for lector.app and get-lector.app as redirects.</w:t>
      </w:r>
    </w:p>
    <w:p>
      <w:pPr>
        <w:spacing w:before="0" w:after="120"/>
      </w:pPr>
      <w:r>
        <w:t xml:space="preserve"/>
      </w:r>
    </w:p>
    <w:p>
      <w:pPr>
        <w:spacing w:before="360" w:after="80"/>
      </w:pPr>
      <w:r>
        <w:rPr>
          <w:rFonts w:ascii="Arial" w:cs="Arial" w:eastAsia="Arial" w:hAnsi="Arial"/>
          <w:b/>
          <w:bCs/>
          <w:color w:val="5C4B8A"/>
          <w:sz w:val="26"/>
          <w:szCs w:val="26"/>
        </w:rPr>
        <w:t xml:space="preserve">Decision 12  </w:t>
      </w:r>
      <w:r>
        <w:rPr>
          <w:rFonts w:ascii="Arial" w:cs="Arial" w:eastAsia="Arial" w:hAnsi="Arial"/>
          <w:b/>
          <w:bCs/>
          <w:color w:val="1E2A35"/>
          <w:sz w:val="26"/>
          <w:szCs w:val="26"/>
        </w:rPr>
        <w:t xml:space="preserve">Brand Color</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pacing w:before="40" w:after="80"/>
      </w:pPr>
      <w:r>
        <w:rPr>
          <w:rFonts w:ascii="Arial" w:cs="Arial" w:eastAsia="Arial" w:hAnsi="Arial"/>
          <w:color w:val="3D3D3A"/>
          <w:sz w:val="20"/>
          <w:szCs w:val="20"/>
        </w:rPr>
        <w:t xml:space="preserve">Color was assigned by function and product identity rather than by arbitrary preference. The full SIM DAD suite palette was established simultaneously to ensure coherence.</w:t>
      </w:r>
    </w:p>
    <w:p>
      <w:pPr>
        <w:spacing w:before="0" w:after="40"/>
      </w:pPr>
      <w:r>
        <w:t xml:space="preserve"/>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Ibis — deep teal-blue (#2D6A8F): audio processing, privacy, quiet background operation</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Lector — warm violet (#5C4B8A): intersection of visual and expressive, literary register</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TASS — research green (#2E7D5E): analytical, precise, data-oriented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SIM DAD LLC parent — deep blue-grey (#1E2A35): authoritative neutral, parent of all three product colors</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Violet sits between blue and red on the spectrum — an appropriate color for a product that bridges written text (visual, cognitive) and spoken voice (expressive, auditory). It reads as literary and considered without being cold or clinical. It is distinct from both Ibis blue and TASS green, ensuring the three products are visually differentiated while remaining in a coherent family.</w:t>
      </w:r>
    </w:p>
    <w:p>
      <w:pPr>
        <w:spacing w:before="40" w:after="80"/>
      </w:pPr>
      <w:r>
        <w:rPr>
          <w:rFonts w:ascii="Arial" w:cs="Arial" w:eastAsia="Arial" w:hAnsi="Arial"/>
          <w:color w:val="3D3D3A"/>
          <w:sz w:val="20"/>
          <w:szCs w:val="20"/>
        </w:rPr>
        <w:t xml:space="preserve">The color logic across the suite was designed so that each color maps to what the product does rather than what it looks like. A visitor who sees all three product pages should feel the family resemblance without being able to point to a single element and say 'that is the SIM DAD color.' The SIM DAD parent site uses the dark neutral so that all three product colors appear as highlights against it.</w:t>
      </w:r>
    </w:p>
    <w:p>
      <w:pPr>
        <w:spacing w:before="40" w:after="80"/>
      </w:pPr>
      <w:r>
        <w:rPr>
          <w:rFonts w:ascii="Arial" w:cs="Arial" w:eastAsia="Arial" w:hAnsi="Arial"/>
          <w:color w:val="3D3D3A"/>
          <w:sz w:val="20"/>
          <w:szCs w:val="20"/>
        </w:rPr>
        <w:t xml:space="preserve">The client approved the palette without modification.</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Warm violet #5C4B8A as Lector's primary brand color. Light variant #EDE9F8. Mid variant #C4B8E8.</w:t>
      </w:r>
    </w:p>
    <w:p>
      <w:pPr>
        <w:spacing w:before="0" w:after="120"/>
      </w:pPr>
      <w:r>
        <w:t xml:space="preserve"/>
      </w:r>
    </w:p>
    <w:p>
      <w:pPr>
        <w:spacing w:before="360" w:after="80"/>
      </w:pPr>
      <w:r>
        <w:rPr>
          <w:rFonts w:ascii="Arial" w:cs="Arial" w:eastAsia="Arial" w:hAnsi="Arial"/>
          <w:b/>
          <w:bCs/>
          <w:color w:val="5C4B8A"/>
          <w:sz w:val="26"/>
          <w:szCs w:val="26"/>
        </w:rPr>
        <w:t xml:space="preserve">Decision 13  </w:t>
      </w:r>
      <w:r>
        <w:rPr>
          <w:rFonts w:ascii="Arial" w:cs="Arial" w:eastAsia="Arial" w:hAnsi="Arial"/>
          <w:b/>
          <w:bCs/>
          <w:color w:val="1E2A35"/>
          <w:sz w:val="26"/>
          <w:szCs w:val="26"/>
        </w:rPr>
        <w:t xml:space="preserve">Website Type and Primary CTA</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Buy now — direct to Lemon Squeezy, product available at launch</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Waitlist — email capture, product follows</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Free trial — download gated, upsell to purchase</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Narrative scroll — long-form page, buy CTA at the bottom</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The product is in active development and is not ready for purchase at the time the website launches. A buy-now CTA would misrepresent the product's availability. A free trial requires a distributable build to be ready before the site launches.</w:t>
      </w:r>
    </w:p>
    <w:p>
      <w:pPr>
        <w:spacing w:before="40" w:after="80"/>
      </w:pPr>
      <w:r>
        <w:rPr>
          <w:rFonts w:ascii="Arial" w:cs="Arial" w:eastAsia="Arial" w:hAnsi="Arial"/>
          <w:color w:val="3D3D3A"/>
          <w:sz w:val="20"/>
          <w:szCs w:val="20"/>
        </w:rPr>
        <w:t xml:space="preserve">The waitlist model serves two functions simultaneously: it establishes the product's existence and identity with the target audience before launch, and it builds an email list of people who have self-selected as interested buyers. That list is the most valuable early marketing asset the product can have. A confirmed waitlist signup represents a lower-funnel lead who has already made an active choice to learn more.</w:t>
      </w:r>
    </w:p>
    <w:p>
      <w:pPr>
        <w:spacing w:before="40" w:after="80"/>
      </w:pPr>
      <w:r>
        <w:rPr>
          <w:rFonts w:ascii="Arial" w:cs="Arial" w:eastAsia="Arial" w:hAnsi="Arial"/>
          <w:color w:val="3D3D3A"/>
          <w:sz w:val="20"/>
          <w:szCs w:val="20"/>
        </w:rPr>
        <w:t xml:space="preserve">The narrative scroll approach was not selected as a standalone structure but its elements were incorporated — the page uses a scrolling single-page layout with the buy-or-join CTA appearing naturally as the reader reaches the pricing section.</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Waitlist page with email capture as the primary CTA. Single scrolling page. $29 price displayed prominently.</w:t>
      </w:r>
    </w:p>
    <w:p>
      <w:pPr>
        <w:spacing w:before="0" w:after="120"/>
      </w:pPr>
      <w:r>
        <w:t xml:space="preserve"/>
      </w:r>
    </w:p>
    <w:p>
      <w:pPr>
        <w:spacing w:before="360" w:after="80"/>
      </w:pPr>
      <w:r>
        <w:rPr>
          <w:rFonts w:ascii="Arial" w:cs="Arial" w:eastAsia="Arial" w:hAnsi="Arial"/>
          <w:b/>
          <w:bCs/>
          <w:color w:val="5C4B8A"/>
          <w:sz w:val="26"/>
          <w:szCs w:val="26"/>
        </w:rPr>
        <w:t xml:space="preserve">Decision 14  </w:t>
      </w:r>
      <w:r>
        <w:rPr>
          <w:rFonts w:ascii="Arial" w:cs="Arial" w:eastAsia="Arial" w:hAnsi="Arial"/>
          <w:b/>
          <w:bCs/>
          <w:color w:val="1E2A35"/>
          <w:sz w:val="26"/>
          <w:szCs w:val="26"/>
        </w:rPr>
        <w:t xml:space="preserve">Website Tone</w:t>
      </w:r>
    </w:p>
    <w:p>
      <w:pPr>
        <w:pBdr>
          <w:bottom w:val="single" w:color="DDDDDD" w:sz="1" w:space="1"/>
        </w:pBdr>
        <w:spacing w:before="60" w:after="120"/>
      </w:pPr>
      <w:r>
        <w:t xml:space="preserve"/>
      </w:r>
    </w:p>
    <w:p>
      <w:pPr>
        <w:spacing w:before="200" w:after="60"/>
      </w:pPr>
      <w:r>
        <w:rPr>
          <w:rFonts w:ascii="Arial" w:cs="Arial" w:eastAsia="Arial" w:hAnsi="Arial"/>
          <w:b/>
          <w:bCs/>
          <w:color w:val="1E2A35"/>
          <w:sz w:val="21"/>
          <w:szCs w:val="21"/>
        </w:rPr>
        <w:t xml:space="preserve">Options considered</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Clean and minimal — let the product speak, very little copy</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Warm and writerly — speak directly to the writer's experience</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Professional and precise — academic audience, credibility first</w:t>
      </w:r>
    </w:p>
    <w:p>
      <w:pPr>
        <w:shd w:fill="FEF6E4" w:val="clear"/>
        <w:spacing w:before="80" w:after="80"/>
        <w:ind w:left="240" w:right="240"/>
      </w:pPr>
      <w:r>
        <w:rPr>
          <w:rFonts w:ascii="Arial" w:cs="Arial" w:eastAsia="Arial" w:hAnsi="Arial"/>
          <w:b/>
          <w:bCs/>
          <w:color w:val="7A4F00"/>
          <w:sz w:val="19"/>
          <w:szCs w:val="19"/>
        </w:rPr>
        <w:t xml:space="preserve">CONSIDERED  </w:t>
      </w:r>
      <w:r>
        <w:rPr>
          <w:rFonts w:ascii="Arial" w:cs="Arial" w:eastAsia="Arial" w:hAnsi="Arial"/>
          <w:color w:val="7A4F00"/>
          <w:sz w:val="19"/>
          <w:szCs w:val="19"/>
        </w:rPr>
        <w:t xml:space="preserve">Confident and direct — state the problem, state the solution, move on</w:t>
      </w:r>
    </w:p>
    <w:p>
      <w:pPr>
        <w:spacing w:before="0" w:after="40"/>
      </w:pPr>
      <w:r>
        <w:t xml:space="preserve"/>
      </w:r>
    </w:p>
    <w:p>
      <w:pPr>
        <w:spacing w:before="200" w:after="60"/>
      </w:pPr>
      <w:r>
        <w:rPr>
          <w:rFonts w:ascii="Arial" w:cs="Arial" w:eastAsia="Arial" w:hAnsi="Arial"/>
          <w:b/>
          <w:bCs/>
          <w:color w:val="1E2A35"/>
          <w:sz w:val="21"/>
          <w:szCs w:val="21"/>
        </w:rPr>
        <w:t xml:space="preserve">Reasoning</w:t>
      </w:r>
    </w:p>
    <w:p>
      <w:pPr>
        <w:spacing w:before="40" w:after="80"/>
      </w:pPr>
      <w:r>
        <w:rPr>
          <w:rFonts w:ascii="Arial" w:cs="Arial" w:eastAsia="Arial" w:hAnsi="Arial"/>
          <w:color w:val="3D3D3A"/>
          <w:sz w:val="20"/>
          <w:szCs w:val="20"/>
        </w:rPr>
        <w:t xml:space="preserve">The target audience — academic researchers, essayists, fiction writers, journalists — responds to writing that respects their craft. They are not well served by the visual vocabulary of productivity software: dashboards, metrics, clocks, and efficiency framing. A warm, writerly tone that speaks directly to the experience of writing and editing is more likely to resonate with this audience than a polished SaaS sales page.</w:t>
      </w:r>
    </w:p>
    <w:p>
      <w:pPr>
        <w:spacing w:before="40" w:after="80"/>
      </w:pPr>
      <w:r>
        <w:rPr>
          <w:rFonts w:ascii="Arial" w:cs="Arial" w:eastAsia="Arial" w:hAnsi="Arial"/>
          <w:color w:val="3D3D3A"/>
          <w:sz w:val="20"/>
          <w:szCs w:val="20"/>
        </w:rPr>
        <w:t xml:space="preserve">The distinction the client drew was important: Lector does not make you write more. It makes what you have written better. That is a craft-oriented claim, not a productivity claim. The tone should reflect that distinction throughout — in the copy, in the visual treatment, and in the typography choices.</w:t>
      </w:r>
    </w:p>
    <w:p>
      <w:pPr>
        <w:spacing w:before="0" w:after="40"/>
      </w:pPr>
      <w:r>
        <w:t xml:space="preserve"/>
      </w:r>
    </w:p>
    <w:p>
      <w:pPr>
        <w:shd w:fill="EAF4EC" w:val="clear"/>
        <w:spacing w:before="100" w:after="100"/>
        <w:ind w:left="240" w:right="240"/>
      </w:pPr>
      <w:r>
        <w:rPr>
          <w:rFonts w:ascii="Arial" w:cs="Arial" w:eastAsia="Arial" w:hAnsi="Arial"/>
          <w:b/>
          <w:bCs/>
          <w:color w:val="1E5C30"/>
          <w:sz w:val="19"/>
          <w:szCs w:val="19"/>
        </w:rPr>
        <w:t xml:space="preserve">FINAL DECISION  </w:t>
      </w:r>
      <w:r>
        <w:rPr>
          <w:rFonts w:ascii="Arial" w:cs="Arial" w:eastAsia="Arial" w:hAnsi="Arial"/>
          <w:color w:val="1E5C30"/>
          <w:sz w:val="19"/>
          <w:szCs w:val="19"/>
        </w:rPr>
        <w:t xml:space="preserve">Warm and writerly. Speaks to the writer's experience of revision and listening. Avoids productivity software visual vocabulary.</w:t>
      </w:r>
    </w:p>
    <w:p>
      <w:pPr>
        <w:spacing w:before="0" w:after="120"/>
      </w:pPr>
      <w:r>
        <w:t xml:space="preserve"/>
      </w:r>
    </w:p>
    <w:p>
      <w:pPr>
        <w:pBdr>
          <w:bottom w:val="single" w:color="5C4B8A" w:sz="3" w:space="1"/>
        </w:pBdr>
        <w:spacing w:before="480" w:after="100"/>
      </w:pPr>
      <w:r>
        <w:rPr>
          <w:rFonts w:ascii="Arial" w:cs="Arial" w:eastAsia="Arial" w:hAnsi="Arial"/>
          <w:b/>
          <w:bCs/>
          <w:color w:val="5C4B8A"/>
          <w:sz w:val="20"/>
          <w:szCs w:val="20"/>
        </w:rPr>
        <w:t xml:space="preserve">OPEN ITEMS — DECISIONS NOT YET FINAL</w:t>
      </w:r>
    </w:p>
    <w:p>
      <w:pPr>
        <w:spacing w:before="0" w:after="60"/>
      </w:pPr>
      <w:r>
        <w:t xml:space="preserve"/>
      </w:r>
    </w:p>
    <w:p>
      <w:pPr>
        <w:spacing w:before="40" w:after="80"/>
      </w:pPr>
      <w:r>
        <w:rPr>
          <w:rFonts w:ascii="Arial" w:cs="Arial" w:eastAsia="Arial" w:hAnsi="Arial"/>
          <w:color w:val="3D3D3A"/>
          <w:sz w:val="20"/>
          <w:szCs w:val="20"/>
        </w:rPr>
        <w:t xml:space="preserve">The following items were identified during planning but not resolved. They require action before specific development or design milestones.</w:t>
      </w:r>
    </w:p>
    <w:p>
      <w:pPr>
        <w:spacing w:before="0" w:after="60"/>
      </w:pPr>
      <w:r>
        <w:t xml:space="preserve"/>
      </w:r>
    </w:p>
    <w:p>
      <w:pPr>
        <w:spacing w:before="200" w:after="60"/>
      </w:pPr>
      <w:r>
        <w:rPr>
          <w:rFonts w:ascii="Arial" w:cs="Arial" w:eastAsia="Arial" w:hAnsi="Arial"/>
          <w:b/>
          <w:bCs/>
          <w:color w:val="1E2A35"/>
          <w:sz w:val="21"/>
          <w:szCs w:val="21"/>
        </w:rPr>
        <w:t xml:space="preserve">1. Voice model platform validation</w:t>
      </w:r>
    </w:p>
    <w:p>
      <w:pPr>
        <w:spacing w:before="40" w:after="80"/>
      </w:pPr>
      <w:r>
        <w:rPr>
          <w:rFonts w:ascii="Arial" w:cs="Arial" w:eastAsia="Arial" w:hAnsi="Arial"/>
          <w:color w:val="3D3D3A"/>
          <w:sz w:val="20"/>
          <w:szCs w:val="20"/>
        </w:rPr>
        <w:t xml:space="preserve">XTTS-v2 must be benchmarked on a mid-range Windows laptop (target: Intel/AMD CPU, no GPU) and an M-series Mac (target: M2 MacBook Air or equivalent) before the dual-platform launch decision is confirmed. Specific metrics needed: voice profile build time from a 30-second audio sample, and single-sentence inference latency for real-time read-aloud. Results determine whether Windows-and-Mac or Windows-first is the correct launch path.</w:t>
      </w:r>
    </w:p>
    <w:p>
      <w:pPr>
        <w:spacing w:before="0" w:after="60"/>
      </w:pPr>
      <w:r>
        <w:t xml:space="preserve"/>
      </w:r>
    </w:p>
    <w:p>
      <w:pPr>
        <w:spacing w:before="200" w:after="60"/>
      </w:pPr>
      <w:r>
        <w:rPr>
          <w:rFonts w:ascii="Arial" w:cs="Arial" w:eastAsia="Arial" w:hAnsi="Arial"/>
          <w:b/>
          <w:bCs/>
          <w:color w:val="1E2A35"/>
          <w:sz w:val="21"/>
          <w:szCs w:val="21"/>
        </w:rPr>
        <w:t xml:space="preserve">2. Mode toggle UX</w:t>
      </w:r>
    </w:p>
    <w:p>
      <w:pPr>
        <w:spacing w:before="40" w:after="80"/>
      </w:pPr>
      <w:r>
        <w:rPr>
          <w:rFonts w:ascii="Arial" w:cs="Arial" w:eastAsia="Arial" w:hAnsi="Arial"/>
          <w:color w:val="3D3D3A"/>
          <w:sz w:val="20"/>
          <w:szCs w:val="20"/>
        </w:rPr>
        <w:t xml:space="preserve">The WYSIWYG/raw toggle requires a specific design decision before frontend work begins. Confirmed: a toolbar button is required. A keyboard shortcut is desirable if it requires minimal additional work. The exact position of the button in the toolbar, and whether it uses an icon or a text label, is a design decision for the web/UI team.</w:t>
      </w:r>
    </w:p>
    <w:p>
      <w:pPr>
        <w:spacing w:before="0" w:after="60"/>
      </w:pPr>
      <w:r>
        <w:t xml:space="preserve"/>
      </w:r>
    </w:p>
    <w:p>
      <w:pPr>
        <w:spacing w:before="200" w:after="60"/>
      </w:pPr>
      <w:r>
        <w:rPr>
          <w:rFonts w:ascii="Arial" w:cs="Arial" w:eastAsia="Arial" w:hAnsi="Arial"/>
          <w:b/>
          <w:bCs/>
          <w:color w:val="1E2A35"/>
          <w:sz w:val="21"/>
          <w:szCs w:val="21"/>
        </w:rPr>
        <w:t xml:space="preserve">3. Typeface selection</w:t>
      </w:r>
    </w:p>
    <w:p>
      <w:pPr>
        <w:spacing w:before="40" w:after="80"/>
      </w:pPr>
      <w:r>
        <w:rPr>
          <w:rFonts w:ascii="Arial" w:cs="Arial" w:eastAsia="Arial" w:hAnsi="Arial"/>
          <w:color w:val="3D3D3A"/>
          <w:sz w:val="20"/>
          <w:szCs w:val="20"/>
        </w:rPr>
        <w:t xml:space="preserve">The website brief specifies three recommended typefaces in priority order: Lora, Source Serif 4, and Inter. Final selection is at the designer's discretion within that set, subject to client approval before implementation begins. This decision affects all three SIM DAD product websites and the parent site.</w:t>
      </w:r>
    </w:p>
    <w:p>
      <w:pPr>
        <w:spacing w:before="0" w:after="60"/>
      </w:pPr>
      <w:r>
        <w:t xml:space="preserve"/>
      </w:r>
    </w:p>
    <w:p>
      <w:pPr>
        <w:spacing w:before="200" w:after="60"/>
      </w:pPr>
      <w:r>
        <w:rPr>
          <w:rFonts w:ascii="Arial" w:cs="Arial" w:eastAsia="Arial" w:hAnsi="Arial"/>
          <w:b/>
          <w:bCs/>
          <w:color w:val="1E2A35"/>
          <w:sz w:val="21"/>
          <w:szCs w:val="21"/>
        </w:rPr>
        <w:t xml:space="preserve">4. Demo video placement</w:t>
      </w:r>
    </w:p>
    <w:p>
      <w:pPr>
        <w:spacing w:before="40" w:after="80"/>
      </w:pPr>
      <w:r>
        <w:rPr>
          <w:rFonts w:ascii="Arial" w:cs="Arial" w:eastAsia="Arial" w:hAnsi="Arial"/>
          <w:color w:val="3D3D3A"/>
          <w:sz w:val="20"/>
          <w:szCs w:val="20"/>
        </w:rPr>
        <w:t xml:space="preserve">The website brief specifies that the demo video may sit in the hero section or in a dedicated section immediately below it. The client needs to confirm placement preference once the video asset is in production. The design team should build the hero to accommodate either option.</w:t>
      </w:r>
    </w:p>
    <w:p>
      <w:pPr>
        <w:spacing w:before="0" w:after="120"/>
      </w:pPr>
      <w:r>
        <w:t xml:space="preserve"/>
      </w:r>
    </w:p>
    <w:p>
      <w:pPr>
        <w:pBdr>
          <w:bottom w:val="single" w:color="5C4B8A" w:sz="6" w:space="1"/>
        </w:pBdr>
        <w:spacing w:before="0" w:after="200"/>
      </w:pPr>
      <w:r>
        <w:t xml:space="preserve"/>
      </w:r>
    </w:p>
    <w:p>
      <w:pPr>
        <w:spacing w:before="120" w:after="0"/>
        <w:jc w:val="center"/>
      </w:pPr>
      <w:r>
        <w:rPr>
          <w:rFonts w:ascii="Arial" w:cs="Arial" w:eastAsia="Arial" w:hAnsi="Arial"/>
          <w:color w:val="6B6B66"/>
          <w:sz w:val="16"/>
          <w:szCs w:val="16"/>
        </w:rPr>
        <w:t xml:space="preserve">Lector Decision Record   |   SIM DAD LLC   |   March 2026   |   Internal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2026-03-26T20:10:45.688Z</dcterms:created>
  <dcterms:modified xsi:type="dcterms:W3CDTF">2026-03-26T20:10:45.689Z</dcterms:modified>
</cp:coreProperties>
</file>

<file path=docProps/custom.xml><?xml version="1.0" encoding="utf-8"?>
<Properties xmlns="http://schemas.openxmlformats.org/officeDocument/2006/custom-properties" xmlns:vt="http://schemas.openxmlformats.org/officeDocument/2006/docPropsVTypes"/>
</file>