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6B7280"/>
          <w:spacing w:val="60"/>
          <w:sz w:val="17"/>
          <w:szCs w:val="17"/>
        </w:rPr>
        <w:t xml:space="preserve">SIM DAD LLC</w:t>
      </w:r>
    </w:p>
    <w:p>
      <w:pPr>
        <w:spacing w:after="40" w:before="40"/>
      </w:pPr>
    </w:p>
    <w:p>
      <w:pPr>
        <w:pBdr>
          <w:bottom w:val="single" w:color="2E7D5E" w:sz="12" w:space="1"/>
        </w:pBdr>
        <w:spacing w:after="0" w:before="0"/>
      </w:pPr>
    </w:p>
    <w:p>
      <w:pPr>
        <w:spacing w:after="0" w:before="200"/>
      </w:pPr>
    </w:p>
    <w:p>
      <w:pPr>
        <w:spacing w:after="80" w:before="0"/>
      </w:pPr>
      <w:r>
        <w:rPr>
          <w:rFonts w:ascii="Arial" w:cs="Arial" w:eastAsia="Arial" w:hAnsi="Arial"/>
          <w:b/>
          <w:bCs/>
          <w:color w:val="08111E"/>
          <w:sz w:val="80"/>
          <w:szCs w:val="80"/>
        </w:rPr>
        <w:t xml:space="preserve">TASS</w:t>
      </w:r>
    </w:p>
    <w:p>
      <w:pPr>
        <w:spacing w:after="40" w:before="0"/>
      </w:pPr>
      <w:r>
        <w:rPr>
          <w:rFonts w:ascii="Arial" w:cs="Arial" w:eastAsia="Arial" w:hAnsi="Arial"/>
          <w:b w:val="false"/>
          <w:bCs w:val="false"/>
          <w:color w:val="6B7280"/>
          <w:sz w:val="30"/>
          <w:szCs w:val="30"/>
        </w:rPr>
        <w:t xml:space="preserve">Text Analysis for Social Scientists</w:t>
      </w:r>
    </w:p>
    <w:p>
      <w:pPr>
        <w:spacing w:after="0" w:before="200"/>
      </w:pPr>
    </w:p>
    <w:p>
      <w:pPr>
        <w:pBdr>
          <w:bottom w:val="single" w:color="E4E4E7" w:sz="4" w:space="1"/>
        </w:pBdr>
        <w:spacing w:after="0" w:before="0"/>
      </w:pPr>
    </w:p>
    <w:p>
      <w:pPr>
        <w:spacing w:after="0" w:before="80"/>
      </w:pPr>
    </w:p>
    <w:p>
      <w:pPr>
        <w:spacing w:after="80" w:before="0"/>
      </w:pPr>
      <w:r>
        <w:rPr>
          <w:rFonts w:ascii="Arial" w:cs="Arial" w:eastAsia="Arial" w:hAnsi="Arial"/>
          <w:b/>
          <w:bCs/>
          <w:color w:val="08111E"/>
          <w:sz w:val="22"/>
          <w:szCs w:val="22"/>
        </w:rPr>
        <w:t xml:space="preserve">Brand Brief</w:t>
      </w:r>
    </w:p>
    <w:p>
      <w:pPr>
        <w:spacing w:after="0" w:before="0"/>
      </w:pPr>
      <w:r>
        <w:rPr>
          <w:rFonts w:ascii="Arial" w:cs="Arial" w:eastAsia="Arial" w:hAnsi="Arial"/>
          <w:color w:val="6B7280"/>
          <w:sz w:val="22"/>
          <w:szCs w:val="22"/>
        </w:rPr>
        <w:t xml:space="preserve">Visual Identity, Voice &amp; Asset Guidelines</w:t>
      </w:r>
    </w:p>
    <w:p>
      <w:pPr>
        <w:spacing w:after="0" w:before="5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Product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2D2D"/>
                <w:sz w:val="18"/>
                <w:szCs w:val="18"/>
              </w:rPr>
              <w:t xml:space="preserve">TASS — Text Analysis for Social Scientists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Owner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2D2D"/>
                <w:sz w:val="18"/>
                <w:szCs w:val="18"/>
              </w:rPr>
              <w:t xml:space="preserve">SIM DAD LLC</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Version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2D2D"/>
                <w:sz w:val="18"/>
                <w:szCs w:val="18"/>
              </w:rPr>
              <w:t xml:space="preserve">1.0 — Pre-Launch</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Date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2D2D"/>
                <w:sz w:val="18"/>
                <w:szCs w:val="18"/>
              </w:rPr>
              <w:t xml:space="preserve">March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18"/>
                <w:szCs w:val="18"/>
              </w:rPr>
              <w:t xml:space="preserve">Status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D2D2D"/>
                <w:sz w:val="18"/>
                <w:szCs w:val="18"/>
              </w:rPr>
              <w:t xml:space="preserve">Confidential — Internal Use Only</w:t>
            </w:r>
          </w:p>
        </w:tc>
      </w:tr>
    </w:tbl>
    <w:p>
      <w:pPr>
        <w:pageBreakBefore/>
      </w:pPr>
    </w:p>
    <w:p>
      <w:pPr>
        <w:spacing w:after="80" w:before="320"/>
      </w:pPr>
      <w:r>
        <w:rPr>
          <w:rFonts w:ascii="Arial" w:cs="Arial" w:eastAsia="Arial" w:hAnsi="Arial"/>
          <w:b/>
          <w:bCs/>
          <w:color w:val="2E7D5E"/>
          <w:spacing w:val="40"/>
          <w:sz w:val="17"/>
          <w:szCs w:val="17"/>
        </w:rPr>
        <w:t xml:space="preserve">SECTION 01</w:t>
      </w:r>
    </w:p>
    <w:p>
      <w:pPr>
        <w:spacing w:after="100" w:before="360"/>
      </w:pPr>
      <w:r>
        <w:rPr>
          <w:rFonts w:ascii="Arial" w:cs="Arial" w:eastAsia="Arial" w:hAnsi="Arial"/>
          <w:b/>
          <w:bCs/>
          <w:color w:val="08111E"/>
          <w:sz w:val="30"/>
          <w:szCs w:val="30"/>
        </w:rPr>
        <w:t xml:space="preserve">Brand Overview</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TASS is a native Windows desktop application that makes professional-grade natural language processing accessible to social science researchers, communication scholars, and data journalists who cannot or do not want to write code. It is a commercial software product developed and sold by SIM DAD LLC.</w:t>
      </w:r>
    </w:p>
    <w:p>
      <w:pPr>
        <w:spacing w:after="0" w:before="40"/>
      </w:pPr>
    </w:p>
    <w:p>
      <w:pPr>
        <w:spacing w:after="100" w:before="80"/>
      </w:pPr>
      <w:r>
        <w:rPr>
          <w:rFonts w:ascii="Arial" w:cs="Arial" w:eastAsia="Arial" w:hAnsi="Arial"/>
          <w:b w:val="false"/>
          <w:bCs w:val="false"/>
          <w:i w:val="false"/>
          <w:iCs w:val="false"/>
          <w:color w:val="2D2D2D"/>
          <w:sz w:val="22"/>
          <w:szCs w:val="22"/>
        </w:rPr>
        <w:t xml:space="preserve">This brief defines the visual identity, voice, and asset standards for TASS across all marketing materials, product interfaces, and communications. It is designed to be used alongside the SIM DAD LLC parent brand guidelines, from which TASS inherits its core typographic and structural sensibility while establishing its own distinct visual personality.</w:t>
      </w:r>
    </w:p>
    <w:p>
      <w:pPr>
        <w:spacing w:after="80" w:before="240"/>
      </w:pPr>
      <w:r>
        <w:rPr>
          <w:rFonts w:ascii="Arial" w:cs="Arial" w:eastAsia="Arial" w:hAnsi="Arial"/>
          <w:b/>
          <w:bCs/>
          <w:color w:val="08111E"/>
          <w:sz w:val="22"/>
          <w:szCs w:val="22"/>
        </w:rPr>
        <w:t xml:space="preserve">Product positioning</w:t>
      </w:r>
    </w:p>
    <w:p>
      <w:pPr>
        <w:spacing w:after="100" w:before="80"/>
      </w:pPr>
      <w:r>
        <w:rPr>
          <w:rFonts w:ascii="Arial" w:cs="Arial" w:eastAsia="Arial" w:hAnsi="Arial"/>
          <w:b w:val="false"/>
          <w:bCs w:val="false"/>
          <w:i w:val="false"/>
          <w:iCs w:val="false"/>
          <w:color w:val="2D2D2D"/>
          <w:sz w:val="22"/>
          <w:szCs w:val="22"/>
        </w:rPr>
        <w:t xml:space="preserve">TASS competes directly with LIWC-22 — the dominant no-code text analysis tool in the social sciences — on performance, transparency, and price. Its market position is built on three claims: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Superior large-dataset performance (100k+ entries where LIWC fails)</w:t>
      </w:r>
    </w:p>
    <w:p>
      <w:pPr>
        <w:pStyle w:val="ListParagraph"/>
        <w:numPr>
          <w:ilvl w:val="0"/>
          <w:numId w:val="2"/>
        </w:numPr>
        <w:spacing w:after="60" w:before="60"/>
      </w:pPr>
      <w:r>
        <w:rPr>
          <w:rFonts w:ascii="Arial" w:cs="Arial" w:eastAsia="Arial" w:hAnsi="Arial"/>
          <w:color w:val="2D2D2D"/>
          <w:sz w:val="22"/>
          <w:szCs w:val="22"/>
        </w:rPr>
        <w:t xml:space="preserve">Open, auditable dictionaries where LIWC's are proprietary</w:t>
      </w:r>
    </w:p>
    <w:p>
      <w:pPr>
        <w:pStyle w:val="ListParagraph"/>
        <w:numPr>
          <w:ilvl w:val="0"/>
          <w:numId w:val="2"/>
        </w:numPr>
        <w:spacing w:after="60" w:before="60"/>
      </w:pPr>
      <w:r>
        <w:rPr>
          <w:rFonts w:ascii="Arial" w:cs="Arial" w:eastAsia="Arial" w:hAnsi="Arial"/>
          <w:color w:val="2D2D2D"/>
          <w:sz w:val="22"/>
          <w:szCs w:val="22"/>
        </w:rPr>
        <w:t xml:space="preserve">A lower, one-time price ($49.99 vs. LIWC's recurring subscription)</w:t>
      </w:r>
    </w:p>
    <w:p>
      <w:pPr>
        <w:spacing w:after="0" w:before="80"/>
      </w:pPr>
    </w:p>
    <w:p>
      <w:pPr>
        <w:spacing w:after="100" w:before="80"/>
      </w:pPr>
      <w:r>
        <w:rPr>
          <w:rFonts w:ascii="Arial" w:cs="Arial" w:eastAsia="Arial" w:hAnsi="Arial"/>
          <w:b w:val="false"/>
          <w:bCs w:val="false"/>
          <w:i w:val="false"/>
          <w:iCs w:val="false"/>
          <w:color w:val="2D2D2D"/>
          <w:sz w:val="22"/>
          <w:szCs w:val="22"/>
        </w:rPr>
        <w:t xml:space="preserve">TASS is not positioned as a tool for developers or data scientists. It is built for researchers who are serious about their methods but are not programmers. The brand must communicate rigor, accessibility, and credibility in equal measure.</w:t>
      </w:r>
    </w:p>
    <w:p>
      <w:pPr>
        <w:spacing w:after="80" w:before="240"/>
      </w:pPr>
      <w:r>
        <w:rPr>
          <w:rFonts w:ascii="Arial" w:cs="Arial" w:eastAsia="Arial" w:hAnsi="Arial"/>
          <w:b/>
          <w:bCs/>
          <w:color w:val="08111E"/>
          <w:sz w:val="22"/>
          <w:szCs w:val="22"/>
        </w:rPr>
        <w:t xml:space="preserve">The T-Lex Project</w:t>
      </w:r>
    </w:p>
    <w:p>
      <w:pPr>
        <w:spacing w:after="100" w:before="80"/>
      </w:pPr>
      <w:r>
        <w:rPr>
          <w:rFonts w:ascii="Arial" w:cs="Arial" w:eastAsia="Arial" w:hAnsi="Arial"/>
          <w:b w:val="false"/>
          <w:bCs w:val="false"/>
          <w:i w:val="false"/>
          <w:iCs w:val="false"/>
          <w:color w:val="2D2D2D"/>
          <w:sz w:val="22"/>
          <w:szCs w:val="22"/>
        </w:rPr>
        <w:t xml:space="preserve">TASS ships with and is building 18 original linguistic dictionaries under the T-Lex Project — each independently citable, peer-reviewed, and freely available for academic use. T-Lex is a scholarly sub-brand within the TASS identity and should be treated as a distinct but subordinate mark.</w:t>
      </w:r>
    </w:p>
    <w:p>
      <w:pPr>
        <w:pageBreakBefore/>
      </w:pPr>
    </w:p>
    <w:p>
      <w:pPr>
        <w:spacing w:after="80" w:before="320"/>
      </w:pPr>
      <w:r>
        <w:rPr>
          <w:rFonts w:ascii="Arial" w:cs="Arial" w:eastAsia="Arial" w:hAnsi="Arial"/>
          <w:b/>
          <w:bCs/>
          <w:color w:val="2E7D5E"/>
          <w:spacing w:val="40"/>
          <w:sz w:val="17"/>
          <w:szCs w:val="17"/>
        </w:rPr>
        <w:t xml:space="preserve">SECTION 02</w:t>
      </w:r>
    </w:p>
    <w:p>
      <w:pPr>
        <w:spacing w:after="100" w:before="360"/>
      </w:pPr>
      <w:r>
        <w:rPr>
          <w:rFonts w:ascii="Arial" w:cs="Arial" w:eastAsia="Arial" w:hAnsi="Arial"/>
          <w:b/>
          <w:bCs/>
          <w:color w:val="08111E"/>
          <w:sz w:val="30"/>
          <w:szCs w:val="30"/>
        </w:rPr>
        <w:t xml:space="preserve">Parent Brand — SIM DAD LLC</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SIM DAD LLC is the parent company. Its brand is built around a bold, geometric custom wordmark — heavy weight, tight letter-spacing, clean and structural. The parent identity uses near-black on white, with no decorative elements. It communicates precision, independence, and quiet authority.</w:t>
      </w:r>
    </w:p>
    <w:p>
      <w:pPr>
        <w:spacing w:after="0" w:before="40"/>
      </w:pPr>
    </w:p>
    <w:p>
      <w:pPr>
        <w:spacing w:after="100" w:before="80"/>
      </w:pPr>
      <w:r>
        <w:rPr>
          <w:rFonts w:ascii="Arial" w:cs="Arial" w:eastAsia="Arial" w:hAnsi="Arial"/>
          <w:b w:val="false"/>
          <w:bCs w:val="false"/>
          <w:i w:val="false"/>
          <w:iCs w:val="false"/>
          <w:color w:val="2D2D2D"/>
          <w:sz w:val="22"/>
          <w:szCs w:val="22"/>
        </w:rPr>
        <w:t xml:space="preserve">TASS inherits the following from the parent brand:</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The same structural discipline — clean grids, minimal ornamentation, white space as a design element</w:t>
      </w:r>
    </w:p>
    <w:p>
      <w:pPr>
        <w:pStyle w:val="ListParagraph"/>
        <w:numPr>
          <w:ilvl w:val="0"/>
          <w:numId w:val="2"/>
        </w:numPr>
        <w:spacing w:after="60" w:before="60"/>
      </w:pPr>
      <w:r>
        <w:rPr>
          <w:rFonts w:ascii="Arial" w:cs="Arial" w:eastAsia="Arial" w:hAnsi="Arial"/>
          <w:color w:val="2D2D2D"/>
          <w:sz w:val="22"/>
          <w:szCs w:val="22"/>
        </w:rPr>
        <w:t xml:space="preserve">The same typographic seriousness — weight and spacing carry meaning, decorative flourishes are avoided</w:t>
      </w:r>
    </w:p>
    <w:p>
      <w:pPr>
        <w:pStyle w:val="ListParagraph"/>
        <w:numPr>
          <w:ilvl w:val="0"/>
          <w:numId w:val="2"/>
        </w:numPr>
        <w:spacing w:after="60" w:before="60"/>
      </w:pPr>
      <w:r>
        <w:rPr>
          <w:rFonts w:ascii="Arial" w:cs="Arial" w:eastAsia="Arial" w:hAnsi="Arial"/>
          <w:color w:val="2D2D2D"/>
          <w:sz w:val="22"/>
          <w:szCs w:val="22"/>
        </w:rPr>
        <w:t xml:space="preserve">The same professional register — the brand does not shout; it presents</w:t>
      </w:r>
    </w:p>
    <w:p>
      <w:pPr>
        <w:pStyle w:val="ListParagraph"/>
        <w:numPr>
          <w:ilvl w:val="0"/>
          <w:numId w:val="2"/>
        </w:numPr>
        <w:spacing w:after="60" w:before="60"/>
      </w:pPr>
      <w:r>
        <w:rPr>
          <w:rFonts w:ascii="Arial" w:cs="Arial" w:eastAsia="Arial" w:hAnsi="Arial"/>
          <w:color w:val="2D2D2D"/>
          <w:sz w:val="22"/>
          <w:szCs w:val="22"/>
        </w:rPr>
        <w:t xml:space="preserve">Brand hierarchy: the SIM DAD LLC name and mark appear in footers and legal contexts; TASS stands forward as the product identity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4E7" w:sz="1"/>
              <w:left w:val="single" w:color="E4E4E7" w:sz="1"/>
              <w:bottom w:val="single" w:color="E4E4E7" w:sz="1"/>
              <w:right w:val="single" w:color="E4E4E7" w:sz="1"/>
            </w:tcBorders>
            <w:shd w:fill="08111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E4E4E7" w:sz="1"/>
              <w:left w:val="single" w:color="E4E4E7" w:sz="1"/>
              <w:bottom w:val="single" w:color="E4E4E7" w:sz="1"/>
              <w:right w:val="single" w:color="E4E4E7" w:sz="1"/>
            </w:tcBorders>
            <w:shd w:fill="08111E" w:val="clear"/>
            <w:tcMar>
              <w:top w:type="dxa" w:w="80"/>
              <w:left w:type="dxa" w:w="120"/>
              <w:bottom w:type="dxa" w:w="80"/>
              <w:right w:type="dxa" w:w="120"/>
            </w:tcMar>
          </w:tcPr>
          <w:p>
            <w:r>
              <w:rPr>
                <w:rFonts w:ascii="Arial" w:cs="Arial" w:eastAsia="Arial" w:hAnsi="Arial"/>
                <w:color w:val="D0D0D0"/>
                <w:sz w:val="20"/>
                <w:szCs w:val="20"/>
              </w:rPr>
              <w:t xml:space="preserve">SIM DAD LLC Parent</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Primary mark</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 geometric wordmark — bold, condensed, all-caps</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Typeface</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 geometric sans (wordmark) / system sans in use</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Color</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Near-black (#0F100A, #12130F) on white — no accent colors</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Tone</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Precise, minimal, structurally confident</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Logo lockup</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 + full wordmark / mark alone / wordmark alone</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TASS relationship</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TASS is a product of SIM DAD LLC — subordinate in legal, footer, and about contexts only</w:t>
            </w:r>
          </w:p>
        </w:tc>
      </w:tr>
    </w:tbl>
    <w:p>
      <w:pPr>
        <w:pageBreakBefore/>
      </w:pPr>
    </w:p>
    <w:p>
      <w:pPr>
        <w:spacing w:after="80" w:before="320"/>
      </w:pPr>
      <w:r>
        <w:rPr>
          <w:rFonts w:ascii="Arial" w:cs="Arial" w:eastAsia="Arial" w:hAnsi="Arial"/>
          <w:b/>
          <w:bCs/>
          <w:color w:val="2E7D5E"/>
          <w:spacing w:val="40"/>
          <w:sz w:val="17"/>
          <w:szCs w:val="17"/>
        </w:rPr>
        <w:t xml:space="preserve">SECTION 03</w:t>
      </w:r>
    </w:p>
    <w:p>
      <w:pPr>
        <w:spacing w:after="100" w:before="360"/>
      </w:pPr>
      <w:r>
        <w:rPr>
          <w:rFonts w:ascii="Arial" w:cs="Arial" w:eastAsia="Arial" w:hAnsi="Arial"/>
          <w:b/>
          <w:bCs/>
          <w:color w:val="08111E"/>
          <w:sz w:val="30"/>
          <w:szCs w:val="30"/>
        </w:rPr>
        <w:t xml:space="preserve">TASS Visual Identity</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TASS has its own visual personality that is distinct from the parent brand while remaining structurally coherent with it. Where SIM DAD LLC is stark and monochromatic, TASS is dark, precise, and quietly technical. The TASS palette reflects the product itself: a dark-mode software interface built for focused analytical work.</w:t>
      </w:r>
    </w:p>
    <w:p>
      <w:pPr>
        <w:spacing w:after="80" w:before="240"/>
      </w:pPr>
      <w:r>
        <w:rPr>
          <w:rFonts w:ascii="Arial" w:cs="Arial" w:eastAsia="Arial" w:hAnsi="Arial"/>
          <w:b/>
          <w:bCs/>
          <w:color w:val="08111E"/>
          <w:sz w:val="22"/>
          <w:szCs w:val="22"/>
        </w:rPr>
        <w:t xml:space="preserve">Brand character</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Precise — every element is intentional; nothing decorative</w:t>
      </w:r>
    </w:p>
    <w:p>
      <w:pPr>
        <w:pStyle w:val="ListParagraph"/>
        <w:numPr>
          <w:ilvl w:val="0"/>
          <w:numId w:val="2"/>
        </w:numPr>
        <w:spacing w:after="60" w:before="60"/>
      </w:pPr>
      <w:r>
        <w:rPr>
          <w:rFonts w:ascii="Arial" w:cs="Arial" w:eastAsia="Arial" w:hAnsi="Arial"/>
          <w:color w:val="2D2D2D"/>
          <w:sz w:val="22"/>
          <w:szCs w:val="22"/>
        </w:rPr>
        <w:t xml:space="preserve">Credible — the visual language signals academic and scientific seriousness</w:t>
      </w:r>
    </w:p>
    <w:p>
      <w:pPr>
        <w:pStyle w:val="ListParagraph"/>
        <w:numPr>
          <w:ilvl w:val="0"/>
          <w:numId w:val="2"/>
        </w:numPr>
        <w:spacing w:after="60" w:before="60"/>
      </w:pPr>
      <w:r>
        <w:rPr>
          <w:rFonts w:ascii="Arial" w:cs="Arial" w:eastAsia="Arial" w:hAnsi="Arial"/>
          <w:color w:val="2D2D2D"/>
          <w:sz w:val="22"/>
          <w:szCs w:val="22"/>
        </w:rPr>
        <w:t xml:space="preserve">Accessible — despite its technical domain, the brand must not feel intimidating</w:t>
      </w:r>
    </w:p>
    <w:p>
      <w:pPr>
        <w:pStyle w:val="ListParagraph"/>
        <w:numPr>
          <w:ilvl w:val="0"/>
          <w:numId w:val="2"/>
        </w:numPr>
        <w:spacing w:after="60" w:before="60"/>
      </w:pPr>
      <w:r>
        <w:rPr>
          <w:rFonts w:ascii="Arial" w:cs="Arial" w:eastAsia="Arial" w:hAnsi="Arial"/>
          <w:color w:val="2D2D2D"/>
          <w:sz w:val="22"/>
          <w:szCs w:val="22"/>
        </w:rPr>
        <w:t xml:space="preserve">Dark and focused — the palette draws from the software's own dark UI</w:t>
      </w:r>
    </w:p>
    <w:p>
      <w:pPr>
        <w:spacing w:after="80" w:before="240"/>
      </w:pPr>
      <w:r>
        <w:rPr>
          <w:rFonts w:ascii="Arial" w:cs="Arial" w:eastAsia="Arial" w:hAnsi="Arial"/>
          <w:b/>
          <w:bCs/>
          <w:color w:val="08111E"/>
          <w:sz w:val="22"/>
          <w:szCs w:val="22"/>
        </w:rPr>
        <w:t xml:space="preserve">Color palette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520"/>
      </w:tblGrid>
      <w:tr>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08111E"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Deep Navy</w:t>
            </w:r>
          </w:p>
          <w:p>
            <w:pPr>
              <w:spacing w:after="80" w:before="0"/>
              <w:ind w:left="120"/>
            </w:pPr>
            <w:r>
              <w:rPr>
                <w:rFonts w:ascii="Arial" w:cs="Arial" w:eastAsia="Arial" w:hAnsi="Arial"/>
                <w:color w:val="6B7280"/>
                <w:sz w:val="16"/>
                <w:szCs w:val="16"/>
              </w:rPr>
              <w:t xml:space="preserve">#08111E</w:t>
            </w:r>
          </w:p>
          <w:p>
            <w:pPr>
              <w:spacing w:after="120" w:before="0"/>
              <w:ind w:left="120"/>
            </w:pPr>
            <w:r>
              <w:rPr>
                <w:rFonts w:ascii="Arial" w:cs="Arial" w:eastAsia="Arial" w:hAnsi="Arial"/>
                <w:i/>
                <w:iCs/>
                <w:color w:val="6B7280"/>
                <w:sz w:val="16"/>
                <w:szCs w:val="16"/>
              </w:rPr>
              <w:t xml:space="preserve">Primary background</w:t>
            </w:r>
          </w:p>
        </w:tc>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0D1A2B"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Surface</w:t>
            </w:r>
          </w:p>
          <w:p>
            <w:pPr>
              <w:spacing w:after="80" w:before="0"/>
              <w:ind w:left="120"/>
            </w:pPr>
            <w:r>
              <w:rPr>
                <w:rFonts w:ascii="Arial" w:cs="Arial" w:eastAsia="Arial" w:hAnsi="Arial"/>
                <w:color w:val="6B7280"/>
                <w:sz w:val="16"/>
                <w:szCs w:val="16"/>
              </w:rPr>
              <w:t xml:space="preserve">#0D1A2B</w:t>
            </w:r>
          </w:p>
          <w:p>
            <w:pPr>
              <w:spacing w:after="120" w:before="0"/>
              <w:ind w:left="120"/>
            </w:pPr>
            <w:r>
              <w:rPr>
                <w:rFonts w:ascii="Arial" w:cs="Arial" w:eastAsia="Arial" w:hAnsi="Arial"/>
                <w:i/>
                <w:iCs/>
                <w:color w:val="6B7280"/>
                <w:sz w:val="16"/>
                <w:szCs w:val="16"/>
              </w:rPr>
              <w:t xml:space="preserve">Card / panel background</w:t>
            </w:r>
          </w:p>
        </w:tc>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2E7D5E"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Forest Green</w:t>
            </w:r>
          </w:p>
          <w:p>
            <w:pPr>
              <w:spacing w:after="80" w:before="0"/>
              <w:ind w:left="120"/>
            </w:pPr>
            <w:r>
              <w:rPr>
                <w:rFonts w:ascii="Arial" w:cs="Arial" w:eastAsia="Arial" w:hAnsi="Arial"/>
                <w:color w:val="6B7280"/>
                <w:sz w:val="16"/>
                <w:szCs w:val="16"/>
              </w:rPr>
              <w:t xml:space="preserve">#2E7D5E</w:t>
            </w:r>
          </w:p>
          <w:p>
            <w:pPr>
              <w:spacing w:after="120" w:before="0"/>
              <w:ind w:left="120"/>
            </w:pPr>
            <w:r>
              <w:rPr>
                <w:rFonts w:ascii="Arial" w:cs="Arial" w:eastAsia="Arial" w:hAnsi="Arial"/>
                <w:i/>
                <w:iCs/>
                <w:color w:val="6B7280"/>
                <w:sz w:val="16"/>
                <w:szCs w:val="16"/>
              </w:rPr>
              <w:t xml:space="preserve">Primary accent</w:t>
            </w:r>
          </w:p>
        </w:tc>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3B82F6"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Signal Blue</w:t>
            </w:r>
          </w:p>
          <w:p>
            <w:pPr>
              <w:spacing w:after="80" w:before="0"/>
              <w:ind w:left="120"/>
            </w:pPr>
            <w:r>
              <w:rPr>
                <w:rFonts w:ascii="Arial" w:cs="Arial" w:eastAsia="Arial" w:hAnsi="Arial"/>
                <w:color w:val="6B7280"/>
                <w:sz w:val="16"/>
                <w:szCs w:val="16"/>
              </w:rPr>
              <w:t xml:space="preserve">#3B82F6</w:t>
            </w:r>
          </w:p>
          <w:p>
            <w:pPr>
              <w:spacing w:after="120" w:before="0"/>
              <w:ind w:left="120"/>
            </w:pPr>
            <w:r>
              <w:rPr>
                <w:rFonts w:ascii="Arial" w:cs="Arial" w:eastAsia="Arial" w:hAnsi="Arial"/>
                <w:i/>
                <w:iCs/>
                <w:color w:val="6B7280"/>
                <w:sz w:val="16"/>
                <w:szCs w:val="16"/>
              </w:rPr>
              <w:t xml:space="preserve">Secondary accent</w:t>
            </w:r>
          </w:p>
        </w:tc>
        <w:tc>
          <w:tcPr>
            <w:tcW w:type="dxa" w:w="520"/>
            <w:tcBorders>
              <w:top w:val="none" w:color="FFFFFF" w:sz="0"/>
              <w:left w:val="none" w:color="FFFFFF" w:sz="0"/>
              <w:bottom w:val="none" w:color="FFFFFF" w:sz="0"/>
              <w:right w:val="none" w:color="FFFFFF" w:sz="0"/>
            </w:tcBorders>
          </w:tcPr>
          <w:p/>
        </w:tc>
      </w:tr>
      <w:tr>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F59E0B"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Amber</w:t>
            </w:r>
          </w:p>
          <w:p>
            <w:pPr>
              <w:spacing w:after="80" w:before="0"/>
              <w:ind w:left="120"/>
            </w:pPr>
            <w:r>
              <w:rPr>
                <w:rFonts w:ascii="Arial" w:cs="Arial" w:eastAsia="Arial" w:hAnsi="Arial"/>
                <w:color w:val="6B7280"/>
                <w:sz w:val="16"/>
                <w:szCs w:val="16"/>
              </w:rPr>
              <w:t xml:space="preserve">#F59E0B</w:t>
            </w:r>
          </w:p>
          <w:p>
            <w:pPr>
              <w:spacing w:after="120" w:before="0"/>
              <w:ind w:left="120"/>
            </w:pPr>
            <w:r>
              <w:rPr>
                <w:rFonts w:ascii="Arial" w:cs="Arial" w:eastAsia="Arial" w:hAnsi="Arial"/>
                <w:i/>
                <w:iCs/>
                <w:color w:val="6B7280"/>
                <w:sz w:val="16"/>
                <w:szCs w:val="16"/>
              </w:rPr>
              <w:t xml:space="preserve">Highlight / callout</w:t>
            </w:r>
          </w:p>
        </w:tc>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DBE8F4"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Ice White</w:t>
            </w:r>
          </w:p>
          <w:p>
            <w:pPr>
              <w:spacing w:after="80" w:before="0"/>
              <w:ind w:left="120"/>
            </w:pPr>
            <w:r>
              <w:rPr>
                <w:rFonts w:ascii="Arial" w:cs="Arial" w:eastAsia="Arial" w:hAnsi="Arial"/>
                <w:color w:val="6B7280"/>
                <w:sz w:val="16"/>
                <w:szCs w:val="16"/>
              </w:rPr>
              <w:t xml:space="preserve">#DBE8F4</w:t>
            </w:r>
          </w:p>
          <w:p>
            <w:pPr>
              <w:spacing w:after="120" w:before="0"/>
              <w:ind w:left="120"/>
            </w:pPr>
            <w:r>
              <w:rPr>
                <w:rFonts w:ascii="Arial" w:cs="Arial" w:eastAsia="Arial" w:hAnsi="Arial"/>
                <w:i/>
                <w:iCs/>
                <w:color w:val="6B7280"/>
                <w:sz w:val="16"/>
                <w:szCs w:val="16"/>
              </w:rPr>
              <w:t xml:space="preserve">Primary text on dark</w:t>
            </w:r>
          </w:p>
        </w:tc>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607D95"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Slate</w:t>
            </w:r>
          </w:p>
          <w:p>
            <w:pPr>
              <w:spacing w:after="80" w:before="0"/>
              <w:ind w:left="120"/>
            </w:pPr>
            <w:r>
              <w:rPr>
                <w:rFonts w:ascii="Arial" w:cs="Arial" w:eastAsia="Arial" w:hAnsi="Arial"/>
                <w:color w:val="6B7280"/>
                <w:sz w:val="16"/>
                <w:szCs w:val="16"/>
              </w:rPr>
              <w:t xml:space="preserve">#607D95</w:t>
            </w:r>
          </w:p>
          <w:p>
            <w:pPr>
              <w:spacing w:after="120" w:before="0"/>
              <w:ind w:left="120"/>
            </w:pPr>
            <w:r>
              <w:rPr>
                <w:rFonts w:ascii="Arial" w:cs="Arial" w:eastAsia="Arial" w:hAnsi="Arial"/>
                <w:i/>
                <w:iCs/>
                <w:color w:val="6B7280"/>
                <w:sz w:val="16"/>
                <w:szCs w:val="16"/>
              </w:rPr>
              <w:t xml:space="preserve">Secondary / muted text</w:t>
            </w:r>
          </w:p>
        </w:tc>
        <w:tc>
          <w:tcPr>
            <w:tcW w:type="dxa" w:w="2200"/>
            <w:tcBorders>
              <w:top w:val="single" w:color="E4E4E7" w:sz="1"/>
              <w:left w:val="single" w:color="E4E4E7" w:sz="1"/>
              <w:bottom w:val="single" w:color="E4E4E7" w:sz="1"/>
              <w:right w:val="single" w:color="E4E4E7" w:sz="1"/>
            </w:tcBorders>
            <w:tcMar>
              <w:top w:type="dxa" w:w="0"/>
              <w:left w:type="dxa" w:w="0"/>
              <w:bottom w:type="dxa" w:w="0"/>
              <w:right w:type="dxa" w:w="0"/>
            </w:tcMar>
          </w:tcPr>
          <w:p>
            <w:pPr>
              <w:shd w:fill="F7F7F8" w:val="clear"/>
              <w:spacing w:after="0" w:before="0"/>
            </w:pPr>
            <w:r>
              <w:rPr>
                <w:sz w:val="40"/>
                <w:szCs w:val="40"/>
              </w:rPr>
              <w:t xml:space="preserve"> </w:t>
            </w:r>
          </w:p>
          <w:p>
            <w:pPr>
              <w:spacing w:after="20" w:before="80"/>
              <w:ind w:left="120"/>
            </w:pPr>
            <w:r>
              <w:rPr>
                <w:rFonts w:ascii="Arial" w:cs="Arial" w:eastAsia="Arial" w:hAnsi="Arial"/>
                <w:b/>
                <w:bCs/>
                <w:color w:val="08111E"/>
                <w:sz w:val="18"/>
                <w:szCs w:val="18"/>
              </w:rPr>
              <w:t xml:space="preserve">Off White</w:t>
            </w:r>
          </w:p>
          <w:p>
            <w:pPr>
              <w:spacing w:after="80" w:before="0"/>
              <w:ind w:left="120"/>
            </w:pPr>
            <w:r>
              <w:rPr>
                <w:rFonts w:ascii="Arial" w:cs="Arial" w:eastAsia="Arial" w:hAnsi="Arial"/>
                <w:color w:val="6B7280"/>
                <w:sz w:val="16"/>
                <w:szCs w:val="16"/>
              </w:rPr>
              <w:t xml:space="preserve">#F7F7F8</w:t>
            </w:r>
          </w:p>
          <w:p>
            <w:pPr>
              <w:spacing w:after="120" w:before="0"/>
              <w:ind w:left="120"/>
            </w:pPr>
            <w:r>
              <w:rPr>
                <w:rFonts w:ascii="Arial" w:cs="Arial" w:eastAsia="Arial" w:hAnsi="Arial"/>
                <w:i/>
                <w:iCs/>
                <w:color w:val="6B7280"/>
                <w:sz w:val="16"/>
                <w:szCs w:val="16"/>
              </w:rPr>
              <w:t xml:space="preserve">Light surface / bg</w:t>
            </w:r>
          </w:p>
        </w:tc>
        <w:tc>
          <w:tcPr>
            <w:tcW w:type="dxa" w:w="520"/>
            <w:tcBorders>
              <w:top w:val="none" w:color="FFFFFF" w:sz="0"/>
              <w:left w:val="none" w:color="FFFFFF" w:sz="0"/>
              <w:bottom w:val="none" w:color="FFFFFF" w:sz="0"/>
              <w:right w:val="none" w:color="FFFFFF" w:sz="0"/>
            </w:tcBorders>
          </w:tcPr>
          <w:p/>
        </w:tc>
      </w:tr>
    </w:tbl>
    <w:p>
      <w:pPr>
        <w:spacing w:after="0" w:before="120"/>
      </w:pPr>
    </w:p>
    <w:p>
      <w:pPr>
        <w:spacing w:after="100" w:before="80"/>
      </w:pPr>
      <w:r>
        <w:rPr>
          <w:rFonts w:ascii="Arial" w:cs="Arial" w:eastAsia="Arial" w:hAnsi="Arial"/>
          <w:b w:val="false"/>
          <w:bCs w:val="false"/>
          <w:i/>
          <w:iCs/>
          <w:color w:val="6B7280"/>
          <w:sz w:val="22"/>
          <w:szCs w:val="22"/>
        </w:rPr>
        <w:t xml:space="preserve">Note: The forest green (#2E7D5E) is the website's primary accent — it is the warm, academic-facing color used in CTAs, links, and highlights in light-mode contexts. Signal blue (#3B82F6) is the primary accent in dark-mode and product UI contexts, including the TASS application itself and all dark-background marketing materials. Both may appear together but should not compete for hierarchy in a single layout.</w:t>
      </w:r>
    </w:p>
    <w:p>
      <w:pPr>
        <w:spacing w:after="80" w:before="240"/>
      </w:pPr>
      <w:r>
        <w:rPr>
          <w:rFonts w:ascii="Arial" w:cs="Arial" w:eastAsia="Arial" w:hAnsi="Arial"/>
          <w:b/>
          <w:bCs/>
          <w:color w:val="08111E"/>
          <w:sz w:val="22"/>
          <w:szCs w:val="22"/>
        </w:rPr>
        <w:t xml:space="preserve">Color usage rules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Deep Navy (#08111E) is the background for all dark-context materials — hero sections, product screenshots, social cards, and the Remotion video</w:t>
      </w:r>
    </w:p>
    <w:p>
      <w:pPr>
        <w:pStyle w:val="ListParagraph"/>
        <w:numPr>
          <w:ilvl w:val="0"/>
          <w:numId w:val="2"/>
        </w:numPr>
        <w:spacing w:after="60" w:before="60"/>
      </w:pPr>
      <w:r>
        <w:rPr>
          <w:rFonts w:ascii="Arial" w:cs="Arial" w:eastAsia="Arial" w:hAnsi="Arial"/>
          <w:color w:val="2D2D2D"/>
          <w:sz w:val="22"/>
          <w:szCs w:val="22"/>
        </w:rPr>
        <w:t xml:space="preserve">Forest Green is the CTA and link color on white/light backgrounds only</w:t>
      </w:r>
    </w:p>
    <w:p>
      <w:pPr>
        <w:pStyle w:val="ListParagraph"/>
        <w:numPr>
          <w:ilvl w:val="0"/>
          <w:numId w:val="2"/>
        </w:numPr>
        <w:spacing w:after="60" w:before="60"/>
      </w:pPr>
      <w:r>
        <w:rPr>
          <w:rFonts w:ascii="Arial" w:cs="Arial" w:eastAsia="Arial" w:hAnsi="Arial"/>
          <w:color w:val="2D2D2D"/>
          <w:sz w:val="22"/>
          <w:szCs w:val="22"/>
        </w:rPr>
        <w:t xml:space="preserve">Signal Blue is the accent on dark backgrounds only</w:t>
      </w:r>
    </w:p>
    <w:p>
      <w:pPr>
        <w:pStyle w:val="ListParagraph"/>
        <w:numPr>
          <w:ilvl w:val="0"/>
          <w:numId w:val="2"/>
        </w:numPr>
        <w:spacing w:after="60" w:before="60"/>
      </w:pPr>
      <w:r>
        <w:rPr>
          <w:rFonts w:ascii="Arial" w:cs="Arial" w:eastAsia="Arial" w:hAnsi="Arial"/>
          <w:color w:val="2D2D2D"/>
          <w:sz w:val="22"/>
          <w:szCs w:val="22"/>
        </w:rPr>
        <w:t xml:space="preserve">Amber is used exclusively for callouts, badges, and secondary highlights — never as a primary CTA color</w:t>
      </w:r>
    </w:p>
    <w:p>
      <w:pPr>
        <w:pStyle w:val="ListParagraph"/>
        <w:numPr>
          <w:ilvl w:val="0"/>
          <w:numId w:val="2"/>
        </w:numPr>
        <w:spacing w:after="60" w:before="60"/>
      </w:pPr>
      <w:r>
        <w:rPr>
          <w:rFonts w:ascii="Arial" w:cs="Arial" w:eastAsia="Arial" w:hAnsi="Arial"/>
          <w:color w:val="2D2D2D"/>
          <w:sz w:val="22"/>
          <w:szCs w:val="22"/>
        </w:rPr>
        <w:t xml:space="preserve">Never use pure black (#000000) or pure white (#FFFFFF) as the primary surface — always use the deep navy or off-white from the palette</w:t>
      </w:r>
    </w:p>
    <w:p>
      <w:pPr>
        <w:pageBreakBefore/>
      </w:pPr>
    </w:p>
    <w:p>
      <w:pPr>
        <w:spacing w:after="80" w:before="320"/>
      </w:pPr>
      <w:r>
        <w:rPr>
          <w:rFonts w:ascii="Arial" w:cs="Arial" w:eastAsia="Arial" w:hAnsi="Arial"/>
          <w:b/>
          <w:bCs/>
          <w:color w:val="2E7D5E"/>
          <w:spacing w:val="40"/>
          <w:sz w:val="17"/>
          <w:szCs w:val="17"/>
        </w:rPr>
        <w:t xml:space="preserve">SECTION 04</w:t>
      </w:r>
    </w:p>
    <w:p>
      <w:pPr>
        <w:spacing w:after="100" w:before="360"/>
      </w:pPr>
      <w:r>
        <w:rPr>
          <w:rFonts w:ascii="Arial" w:cs="Arial" w:eastAsia="Arial" w:hAnsi="Arial"/>
          <w:b/>
          <w:bCs/>
          <w:color w:val="08111E"/>
          <w:sz w:val="30"/>
          <w:szCs w:val="30"/>
        </w:rPr>
        <w:t xml:space="preserve">Typography</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TASS uses Plus Jakarta Sans as its primary typeface across all web and marketing contexts. Plus Jakarta Sans is a contemporary geometric sans-serif with strong weight contrast and a slightly humanist structure — it balances technical precision with readability, which is appropriate for a product that bridges academic rigor and software usability.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4E4E7" w:sz="1"/>
              <w:left w:val="single" w:color="E4E4E7" w:sz="1"/>
              <w:bottom w:val="single" w:color="E4E4E7" w:sz="1"/>
              <w:right w:val="single" w:color="E4E4E7" w:sz="1"/>
            </w:tcBorders>
            <w:shd w:fill="08111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E4E4E7" w:sz="1"/>
              <w:left w:val="single" w:color="E4E4E7" w:sz="1"/>
              <w:bottom w:val="single" w:color="E4E4E7" w:sz="1"/>
              <w:right w:val="single" w:color="E4E4E7" w:sz="1"/>
            </w:tcBorders>
            <w:shd w:fill="08111E" w:val="clear"/>
            <w:tcMar>
              <w:top w:type="dxa" w:w="80"/>
              <w:left w:type="dxa" w:w="120"/>
              <w:bottom w:type="dxa" w:w="80"/>
              <w:right w:type="dxa" w:w="120"/>
            </w:tcMar>
          </w:tcPr>
          <w:p>
            <w:r>
              <w:rPr>
                <w:rFonts w:ascii="Arial" w:cs="Arial" w:eastAsia="Arial" w:hAnsi="Arial"/>
                <w:color w:val="D0D0D0"/>
                <w:sz w:val="20"/>
                <w:szCs w:val="20"/>
              </w:rPr>
              <w:t xml:space="preserve">TASS Typography Spec</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Primary typeface</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Plus Jakarta Sans (Google Fonts — open license)</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Weights in use</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400 Regular, 500 Medium, 600 SemiBold, 700 Bold, 800 ExtraBold</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Fallback stack</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-apple-system, BlinkMacSystemFont, sans-serif</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Letter-spacing</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Tight on display sizes (−0.02em to −0.035em); normal on body</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Line height</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1.05 on display / 1.6 on body / 1.65 on long-form prose</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Display hierarchy</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Hero: 800 weight, clamp(3rem–5.25rem); H2: 800, clamp(1.75rem–2.5rem)</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Body text</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400 weight, 1.0625rem, color: var(--muted) #6B7280</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Eyebrow labels</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700 weight, 0.72–0.75rem, uppercase, 0.10–0.12em letter-spacing, green</w:t>
            </w:r>
          </w:p>
        </w:tc>
      </w:tr>
      <w:tr>
        <w:tc>
          <w:tcPr>
            <w:tcW w:type="dxa" w:w="28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E7D5E"/>
                <w:sz w:val="20"/>
                <w:szCs w:val="20"/>
              </w:rPr>
              <w:t xml:space="preserve">Prohibited</w:t>
            </w:r>
          </w:p>
        </w:tc>
        <w:tc>
          <w:tcPr>
            <w:tcW w:type="dxa" w:w="65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serif typefaces. No script fonts. No condensed variants outside the logomark.</w:t>
            </w:r>
          </w:p>
        </w:tc>
      </w:tr>
    </w:tbl>
    <w:p>
      <w:pPr>
        <w:spacing w:after="0" w:before="120"/>
      </w:pPr>
    </w:p>
    <w:p>
      <w:pPr>
        <w:spacing w:after="100" w:before="80"/>
      </w:pPr>
      <w:r>
        <w:rPr>
          <w:rFonts w:ascii="Arial" w:cs="Arial" w:eastAsia="Arial" w:hAnsi="Arial"/>
          <w:b w:val="false"/>
          <w:bCs w:val="false"/>
          <w:i w:val="false"/>
          <w:iCs w:val="false"/>
          <w:color w:val="2D2D2D"/>
          <w:sz w:val="22"/>
          <w:szCs w:val="22"/>
        </w:rPr>
        <w:t xml:space="preserve">In print and document contexts (briefs, pitch decks, press kits), substitute Arial as the system-safe equivalent. All structural typographic rules — weight, spacing, hierarchy — remain identical.</w:t>
      </w:r>
    </w:p>
    <w:p>
      <w:pPr>
        <w:pageBreakBefore/>
      </w:pPr>
    </w:p>
    <w:p>
      <w:pPr>
        <w:spacing w:after="80" w:before="320"/>
      </w:pPr>
      <w:r>
        <w:rPr>
          <w:rFonts w:ascii="Arial" w:cs="Arial" w:eastAsia="Arial" w:hAnsi="Arial"/>
          <w:b/>
          <w:bCs/>
          <w:color w:val="2E7D5E"/>
          <w:spacing w:val="40"/>
          <w:sz w:val="17"/>
          <w:szCs w:val="17"/>
        </w:rPr>
        <w:t xml:space="preserve">SECTION 05</w:t>
      </w:r>
    </w:p>
    <w:p>
      <w:pPr>
        <w:spacing w:after="100" w:before="360"/>
      </w:pPr>
      <w:r>
        <w:rPr>
          <w:rFonts w:ascii="Arial" w:cs="Arial" w:eastAsia="Arial" w:hAnsi="Arial"/>
          <w:b/>
          <w:bCs/>
          <w:color w:val="08111E"/>
          <w:sz w:val="30"/>
          <w:szCs w:val="30"/>
        </w:rPr>
        <w:t xml:space="preserve">Logo &amp; Mark</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The TASS logo consists of two components: the logomark (a geometric icon referencing data bars and the letter T) and the wordmark (the name TASS in bold, tight-tracked display type). These may be used together as a lockup or separately depending on context.</w:t>
      </w:r>
    </w:p>
    <w:p>
      <w:pPr>
        <w:spacing w:after="80" w:before="240"/>
      </w:pPr>
      <w:r>
        <w:rPr>
          <w:rFonts w:ascii="Arial" w:cs="Arial" w:eastAsia="Arial" w:hAnsi="Arial"/>
          <w:b/>
          <w:bCs/>
          <w:color w:val="08111E"/>
          <w:sz w:val="22"/>
          <w:szCs w:val="22"/>
        </w:rPr>
        <w:t xml:space="preserve">Logomark concept</w:t>
      </w:r>
    </w:p>
    <w:p>
      <w:pPr>
        <w:spacing w:after="100" w:before="80"/>
      </w:pPr>
      <w:r>
        <w:rPr>
          <w:rFonts w:ascii="Arial" w:cs="Arial" w:eastAsia="Arial" w:hAnsi="Arial"/>
          <w:b w:val="false"/>
          <w:bCs w:val="false"/>
          <w:i w:val="false"/>
          <w:iCs w:val="false"/>
          <w:color w:val="2D2D2D"/>
          <w:sz w:val="22"/>
          <w:szCs w:val="22"/>
        </w:rPr>
        <w:t xml:space="preserve">The TASS mark is built from horizontal bars that simultaneously suggest the letter T, a data visualization (bar chart), and lines of text — the three core activities the product performs. The bars are rendered in two weights: heavier bars in signal blue for the structural T-form, lighter and shorter bars in amber to suggest data output and variability. This duality encodes both analytical rigor and research output.</w:t>
      </w:r>
    </w:p>
    <w:p>
      <w:pPr>
        <w:spacing w:after="80" w:before="240"/>
      </w:pPr>
      <w:r>
        <w:rPr>
          <w:rFonts w:ascii="Arial" w:cs="Arial" w:eastAsia="Arial" w:hAnsi="Arial"/>
          <w:b/>
          <w:bCs/>
          <w:color w:val="08111E"/>
          <w:sz w:val="22"/>
          <w:szCs w:val="22"/>
        </w:rPr>
        <w:t xml:space="preserve">Wordmark</w:t>
      </w:r>
    </w:p>
    <w:p>
      <w:pPr>
        <w:spacing w:after="100" w:before="80"/>
      </w:pPr>
      <w:r>
        <w:rPr>
          <w:rFonts w:ascii="Arial" w:cs="Arial" w:eastAsia="Arial" w:hAnsi="Arial"/>
          <w:b w:val="false"/>
          <w:bCs w:val="false"/>
          <w:i w:val="false"/>
          <w:iCs w:val="false"/>
          <w:color w:val="2D2D2D"/>
          <w:sz w:val="22"/>
          <w:szCs w:val="22"/>
        </w:rPr>
        <w:t xml:space="preserve">The wordmark is set in Plus Jakarta Sans 700 Bold, tight tracking (−0.5px), all-caps, in ice white (#DBE8F4) on dark backgrounds or deep navy (#08111E) on light backgrounds. A spaced-caps descriptor line — TEXT ANALYSIS FOR SOCIAL SCIENTISTS — runs beneath it in slate (#607D95) at 0.65x the wordmark size. A thin rule in signal blue separates the wordmark from the descriptor.</w:t>
      </w:r>
    </w:p>
    <w:p>
      <w:pPr>
        <w:spacing w:after="80" w:before="240"/>
      </w:pPr>
      <w:r>
        <w:rPr>
          <w:rFonts w:ascii="Arial" w:cs="Arial" w:eastAsia="Arial" w:hAnsi="Arial"/>
          <w:b/>
          <w:bCs/>
          <w:color w:val="08111E"/>
          <w:sz w:val="22"/>
          <w:szCs w:val="22"/>
        </w:rPr>
        <w:t xml:space="preserve">Logo lockup variants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Primary lockup: mark + wordmark + descriptor — for hero use, pitch decks, media kit cover</w:t>
      </w:r>
    </w:p>
    <w:p>
      <w:pPr>
        <w:pStyle w:val="ListParagraph"/>
        <w:numPr>
          <w:ilvl w:val="0"/>
          <w:numId w:val="2"/>
        </w:numPr>
        <w:spacing w:after="60" w:before="60"/>
      </w:pPr>
      <w:r>
        <w:rPr>
          <w:rFonts w:ascii="Arial" w:cs="Arial" w:eastAsia="Arial" w:hAnsi="Arial"/>
          <w:color w:val="2D2D2D"/>
          <w:sz w:val="22"/>
          <w:szCs w:val="22"/>
        </w:rPr>
        <w:t xml:space="preserve">Compact lockup: mark + wordmark only — for nav bars, headers, email</w:t>
      </w:r>
    </w:p>
    <w:p>
      <w:pPr>
        <w:pStyle w:val="ListParagraph"/>
        <w:numPr>
          <w:ilvl w:val="0"/>
          <w:numId w:val="2"/>
        </w:numPr>
        <w:spacing w:after="60" w:before="60"/>
      </w:pPr>
      <w:r>
        <w:rPr>
          <w:rFonts w:ascii="Arial" w:cs="Arial" w:eastAsia="Arial" w:hAnsi="Arial"/>
          <w:color w:val="2D2D2D"/>
          <w:sz w:val="22"/>
          <w:szCs w:val="22"/>
        </w:rPr>
        <w:t xml:space="preserve">Wordmark only: TASS in type — for contexts where the mark cannot render at sufficient size</w:t>
      </w:r>
    </w:p>
    <w:p>
      <w:pPr>
        <w:pStyle w:val="ListParagraph"/>
        <w:numPr>
          <w:ilvl w:val="0"/>
          <w:numId w:val="2"/>
        </w:numPr>
        <w:spacing w:after="60" w:before="60"/>
      </w:pPr>
      <w:r>
        <w:rPr>
          <w:rFonts w:ascii="Arial" w:cs="Arial" w:eastAsia="Arial" w:hAnsi="Arial"/>
          <w:color w:val="2D2D2D"/>
          <w:sz w:val="22"/>
          <w:szCs w:val="22"/>
        </w:rPr>
        <w:t xml:space="preserve">Mark only: the bar icon alone — for favicon, app icon, social profile image</w:t>
      </w:r>
    </w:p>
    <w:p>
      <w:pPr>
        <w:spacing w:after="80" w:before="240"/>
      </w:pPr>
      <w:r>
        <w:rPr>
          <w:rFonts w:ascii="Arial" w:cs="Arial" w:eastAsia="Arial" w:hAnsi="Arial"/>
          <w:b/>
          <w:bCs/>
          <w:color w:val="08111E"/>
          <w:sz w:val="22"/>
          <w:szCs w:val="22"/>
        </w:rPr>
        <w:t xml:space="preserve">Clear space &amp; minimum size</w:t>
      </w:r>
    </w:p>
    <w:p>
      <w:pPr>
        <w:pStyle w:val="ListParagraph"/>
        <w:numPr>
          <w:ilvl w:val="0"/>
          <w:numId w:val="2"/>
        </w:numPr>
        <w:spacing w:after="60" w:before="60"/>
      </w:pPr>
      <w:r>
        <w:rPr>
          <w:rFonts w:ascii="Arial" w:cs="Arial" w:eastAsia="Arial" w:hAnsi="Arial"/>
          <w:color w:val="2D2D2D"/>
          <w:sz w:val="22"/>
          <w:szCs w:val="22"/>
        </w:rPr>
        <w:t xml:space="preserve">Minimum wordmark width: 80px digital / 25mm print</w:t>
      </w:r>
    </w:p>
    <w:p>
      <w:pPr>
        <w:pStyle w:val="ListParagraph"/>
        <w:numPr>
          <w:ilvl w:val="0"/>
          <w:numId w:val="2"/>
        </w:numPr>
        <w:spacing w:after="60" w:before="60"/>
      </w:pPr>
      <w:r>
        <w:rPr>
          <w:rFonts w:ascii="Arial" w:cs="Arial" w:eastAsia="Arial" w:hAnsi="Arial"/>
          <w:color w:val="2D2D2D"/>
          <w:sz w:val="22"/>
          <w:szCs w:val="22"/>
        </w:rPr>
        <w:t xml:space="preserve">Minimum mark width: 24px digital / 8mm print</w:t>
      </w:r>
    </w:p>
    <w:p>
      <w:pPr>
        <w:pStyle w:val="ListParagraph"/>
        <w:numPr>
          <w:ilvl w:val="0"/>
          <w:numId w:val="2"/>
        </w:numPr>
        <w:spacing w:after="60" w:before="60"/>
      </w:pPr>
      <w:r>
        <w:rPr>
          <w:rFonts w:ascii="Arial" w:cs="Arial" w:eastAsia="Arial" w:hAnsi="Arial"/>
          <w:color w:val="2D2D2D"/>
          <w:sz w:val="22"/>
          <w:szCs w:val="22"/>
        </w:rPr>
        <w:t xml:space="preserve">Clear space: equal to the cap-height of the wordmark on all sides</w:t>
      </w:r>
    </w:p>
    <w:p>
      <w:pPr>
        <w:spacing w:after="80" w:before="240"/>
      </w:pPr>
      <w:r>
        <w:rPr>
          <w:rFonts w:ascii="Arial" w:cs="Arial" w:eastAsia="Arial" w:hAnsi="Arial"/>
          <w:b/>
          <w:bCs/>
          <w:color w:val="08111E"/>
          <w:sz w:val="22"/>
          <w:szCs w:val="22"/>
        </w:rPr>
        <w:t xml:space="preserve">Logo don'ts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Do not recolor the mark or wordmark outside of the approved palette</w:t>
      </w:r>
    </w:p>
    <w:p>
      <w:pPr>
        <w:pStyle w:val="ListParagraph"/>
        <w:numPr>
          <w:ilvl w:val="0"/>
          <w:numId w:val="2"/>
        </w:numPr>
        <w:spacing w:after="60" w:before="60"/>
      </w:pPr>
      <w:r>
        <w:rPr>
          <w:rFonts w:ascii="Arial" w:cs="Arial" w:eastAsia="Arial" w:hAnsi="Arial"/>
          <w:color w:val="2D2D2D"/>
          <w:sz w:val="22"/>
          <w:szCs w:val="22"/>
        </w:rPr>
        <w:t xml:space="preserve">Do not place the primary lockup on a mid-tone background where contrast falls below 4.5:1</w:t>
      </w:r>
    </w:p>
    <w:p>
      <w:pPr>
        <w:pStyle w:val="ListParagraph"/>
        <w:numPr>
          <w:ilvl w:val="0"/>
          <w:numId w:val="2"/>
        </w:numPr>
        <w:spacing w:after="60" w:before="60"/>
      </w:pPr>
      <w:r>
        <w:rPr>
          <w:rFonts w:ascii="Arial" w:cs="Arial" w:eastAsia="Arial" w:hAnsi="Arial"/>
          <w:color w:val="2D2D2D"/>
          <w:sz w:val="22"/>
          <w:szCs w:val="22"/>
        </w:rPr>
        <w:t xml:space="preserve">Do not stretch, condense, or rotate any component</w:t>
      </w:r>
    </w:p>
    <w:p>
      <w:pPr>
        <w:pStyle w:val="ListParagraph"/>
        <w:numPr>
          <w:ilvl w:val="0"/>
          <w:numId w:val="2"/>
        </w:numPr>
        <w:spacing w:after="60" w:before="60"/>
      </w:pPr>
      <w:r>
        <w:rPr>
          <w:rFonts w:ascii="Arial" w:cs="Arial" w:eastAsia="Arial" w:hAnsi="Arial"/>
          <w:color w:val="2D2D2D"/>
          <w:sz w:val="22"/>
          <w:szCs w:val="22"/>
        </w:rPr>
        <w:t xml:space="preserve">Do not use the SIM DAD LLC mark in place of the TASS mark in product or marketing contexts — they are separate identities</w:t>
      </w:r>
    </w:p>
    <w:p>
      <w:pPr>
        <w:pStyle w:val="ListParagraph"/>
        <w:numPr>
          <w:ilvl w:val="0"/>
          <w:numId w:val="2"/>
        </w:numPr>
        <w:spacing w:after="60" w:before="60"/>
      </w:pPr>
      <w:r>
        <w:rPr>
          <w:rFonts w:ascii="Arial" w:cs="Arial" w:eastAsia="Arial" w:hAnsi="Arial"/>
          <w:color w:val="2D2D2D"/>
          <w:sz w:val="22"/>
          <w:szCs w:val="22"/>
        </w:rPr>
        <w:t xml:space="preserve">Do not add drop shadows, glows, or dimensional effects to any logo component</w:t>
      </w:r>
    </w:p>
    <w:p>
      <w:pPr>
        <w:pageBreakBefore/>
      </w:pPr>
    </w:p>
    <w:p>
      <w:pPr>
        <w:spacing w:after="80" w:before="320"/>
      </w:pPr>
      <w:r>
        <w:rPr>
          <w:rFonts w:ascii="Arial" w:cs="Arial" w:eastAsia="Arial" w:hAnsi="Arial"/>
          <w:b/>
          <w:bCs/>
          <w:color w:val="2E7D5E"/>
          <w:spacing w:val="40"/>
          <w:sz w:val="17"/>
          <w:szCs w:val="17"/>
        </w:rPr>
        <w:t xml:space="preserve">SECTION 06</w:t>
      </w:r>
    </w:p>
    <w:p>
      <w:pPr>
        <w:spacing w:after="100" w:before="360"/>
      </w:pPr>
      <w:r>
        <w:rPr>
          <w:rFonts w:ascii="Arial" w:cs="Arial" w:eastAsia="Arial" w:hAnsi="Arial"/>
          <w:b/>
          <w:bCs/>
          <w:color w:val="08111E"/>
          <w:sz w:val="30"/>
          <w:szCs w:val="30"/>
        </w:rPr>
        <w:t xml:space="preserve">Voice &amp; Tone</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TASS speaks like a well-read colleague who is confident in their expertise and respectful of yours. The voice is precise without being clinical, accessible without being breezy, and direct without being blunt. It is the voice of a tool that takes research seriously.</w:t>
      </w:r>
    </w:p>
    <w:p>
      <w:pPr>
        <w:spacing w:after="80" w:before="240"/>
      </w:pPr>
      <w:r>
        <w:rPr>
          <w:rFonts w:ascii="Arial" w:cs="Arial" w:eastAsia="Arial" w:hAnsi="Arial"/>
          <w:b/>
          <w:bCs/>
          <w:color w:val="08111E"/>
          <w:sz w:val="22"/>
          <w:szCs w:val="22"/>
        </w:rPr>
        <w:t xml:space="preserve">Voice principles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Precise — say exactly what is true; avoid hedging, qualifications, and filler</w:t>
      </w:r>
    </w:p>
    <w:p>
      <w:pPr>
        <w:pStyle w:val="ListParagraph"/>
        <w:numPr>
          <w:ilvl w:val="0"/>
          <w:numId w:val="2"/>
        </w:numPr>
        <w:spacing w:after="60" w:before="60"/>
      </w:pPr>
      <w:r>
        <w:rPr>
          <w:rFonts w:ascii="Arial" w:cs="Arial" w:eastAsia="Arial" w:hAnsi="Arial"/>
          <w:color w:val="2D2D2D"/>
          <w:sz w:val="22"/>
          <w:szCs w:val="22"/>
        </w:rPr>
        <w:t xml:space="preserve">Credible — cite specifics (100k+ entries, $49.99, 26 dictionaries); numbers build trust</w:t>
      </w:r>
    </w:p>
    <w:p>
      <w:pPr>
        <w:pStyle w:val="ListParagraph"/>
        <w:numPr>
          <w:ilvl w:val="0"/>
          <w:numId w:val="2"/>
        </w:numPr>
        <w:spacing w:after="60" w:before="60"/>
      </w:pPr>
      <w:r>
        <w:rPr>
          <w:rFonts w:ascii="Arial" w:cs="Arial" w:eastAsia="Arial" w:hAnsi="Arial"/>
          <w:color w:val="2D2D2D"/>
          <w:sz w:val="22"/>
          <w:szCs w:val="22"/>
        </w:rPr>
        <w:t xml:space="preserve">Respectful — the audience is composed of researchers; do not over-explain or condescend</w:t>
      </w:r>
    </w:p>
    <w:p>
      <w:pPr>
        <w:pStyle w:val="ListParagraph"/>
        <w:numPr>
          <w:ilvl w:val="0"/>
          <w:numId w:val="2"/>
        </w:numPr>
        <w:spacing w:after="60" w:before="60"/>
      </w:pPr>
      <w:r>
        <w:rPr>
          <w:rFonts w:ascii="Arial" w:cs="Arial" w:eastAsia="Arial" w:hAnsi="Arial"/>
          <w:color w:val="2D2D2D"/>
          <w:sz w:val="22"/>
          <w:szCs w:val="22"/>
        </w:rPr>
        <w:t xml:space="preserve">Restrained — do not use exclamation points, superlatives, or marketing hyperbole</w:t>
      </w:r>
    </w:p>
    <w:p>
      <w:pPr>
        <w:pStyle w:val="ListParagraph"/>
        <w:numPr>
          <w:ilvl w:val="0"/>
          <w:numId w:val="2"/>
        </w:numPr>
        <w:spacing w:after="60" w:before="60"/>
      </w:pPr>
      <w:r>
        <w:rPr>
          <w:rFonts w:ascii="Arial" w:cs="Arial" w:eastAsia="Arial" w:hAnsi="Arial"/>
          <w:color w:val="2D2D2D"/>
          <w:sz w:val="22"/>
          <w:szCs w:val="22"/>
        </w:rPr>
        <w:t xml:space="preserve">Method-forward — lead with what TASS does and how; let the capability speak</w:t>
      </w:r>
    </w:p>
    <w:p>
      <w:pPr>
        <w:spacing w:after="80" w:before="240"/>
      </w:pPr>
      <w:r>
        <w:rPr>
          <w:rFonts w:ascii="Arial" w:cs="Arial" w:eastAsia="Arial" w:hAnsi="Arial"/>
          <w:b/>
          <w:bCs/>
          <w:color w:val="08111E"/>
          <w:sz w:val="22"/>
          <w:szCs w:val="22"/>
        </w:rPr>
        <w:t xml:space="preserve">Tone by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4E4E7" w:sz="1"/>
              <w:left w:val="single" w:color="E4E4E7" w:sz="1"/>
              <w:bottom w:val="single" w:color="E4E4E7" w:sz="1"/>
              <w:right w:val="single" w:color="E4E4E7" w:sz="1"/>
            </w:tcBorders>
            <w:shd w:fill="08111E"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3580"/>
            <w:tcBorders>
              <w:top w:val="single" w:color="E4E4E7" w:sz="1"/>
              <w:left w:val="single" w:color="E4E4E7" w:sz="1"/>
              <w:bottom w:val="single" w:color="E4E4E7" w:sz="1"/>
              <w:right w:val="single" w:color="E4E4E7" w:sz="1"/>
            </w:tcBorders>
            <w:shd w:fill="08111E"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3580"/>
            <w:tcBorders>
              <w:top w:val="single" w:color="E4E4E7" w:sz="1"/>
              <w:left w:val="single" w:color="E4E4E7" w:sz="1"/>
              <w:bottom w:val="single" w:color="E4E4E7" w:sz="1"/>
              <w:right w:val="single" w:color="E4E4E7" w:sz="1"/>
            </w:tcBorders>
            <w:shd w:fill="08111E"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b/>
                <w:bCs/>
                <w:color w:val="2D2D2D"/>
                <w:sz w:val="18"/>
                <w:szCs w:val="18"/>
              </w:rPr>
              <w:t xml:space="preserve">Website hero</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color w:val="2D2D2D"/>
                <w:sz w:val="18"/>
                <w:szCs w:val="18"/>
              </w:rPr>
              <w:t xml:space="preserve">Confident, direct, minimal</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i/>
                <w:iCs/>
                <w:color w:val="2D2D2D"/>
                <w:sz w:val="18"/>
                <w:szCs w:val="18"/>
              </w:rPr>
              <w:t xml:space="preserve">"Text analysis for serious researchers."</w:t>
            </w:r>
          </w:p>
        </w:tc>
      </w:tr>
      <w:tr>
        <w:tc>
          <w:tcPr>
            <w:tcW w:type="dxa" w:w="220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b/>
                <w:bCs/>
                <w:color w:val="2D2D2D"/>
                <w:sz w:val="18"/>
                <w:szCs w:val="18"/>
              </w:rPr>
              <w:t xml:space="preserve">Feature description</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color w:val="2D2D2D"/>
                <w:sz w:val="18"/>
                <w:szCs w:val="18"/>
              </w:rPr>
              <w:t xml:space="preserve">Technical, specific, evidence-led</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i/>
                <w:iCs/>
                <w:color w:val="2D2D2D"/>
                <w:sz w:val="18"/>
                <w:szCs w:val="18"/>
              </w:rPr>
              <w:t xml:space="preserve">"Multi-threaded processing distributes work across all CPU cores."</w:t>
            </w:r>
          </w:p>
        </w:tc>
      </w:tr>
      <w:tr>
        <w:tc>
          <w:tcPr>
            <w:tcW w:type="dxa" w:w="220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b/>
                <w:bCs/>
                <w:color w:val="2D2D2D"/>
                <w:sz w:val="18"/>
                <w:szCs w:val="18"/>
              </w:rPr>
              <w:t xml:space="preserve">Email / outreach</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color w:val="2D2D2D"/>
                <w:sz w:val="18"/>
                <w:szCs w:val="18"/>
              </w:rPr>
              <w:t xml:space="preserve">Collegial, brief, peer-to-peer</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i/>
                <w:iCs/>
                <w:color w:val="2D2D2D"/>
                <w:sz w:val="18"/>
                <w:szCs w:val="18"/>
              </w:rPr>
              <w:t xml:space="preserve">"I’m reaching out about a project I’ve been developing..."</w:t>
            </w:r>
          </w:p>
        </w:tc>
      </w:tr>
      <w:tr>
        <w:tc>
          <w:tcPr>
            <w:tcW w:type="dxa" w:w="220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b/>
                <w:bCs/>
                <w:color w:val="2D2D2D"/>
                <w:sz w:val="18"/>
                <w:szCs w:val="18"/>
              </w:rPr>
              <w:t xml:space="preserve">T-Lex / academic</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color w:val="2D2D2D"/>
                <w:sz w:val="18"/>
                <w:szCs w:val="18"/>
              </w:rPr>
              <w:t xml:space="preserve">Scholarly, methodologically precise</w:t>
            </w:r>
          </w:p>
        </w:tc>
        <w:tc>
          <w:tcPr>
            <w:tcW w:type="dxa" w:w="3580"/>
            <w:tcBorders>
              <w:top w:val="single" w:color="E4E4E7" w:sz="1"/>
              <w:left w:val="single" w:color="E4E4E7" w:sz="1"/>
              <w:bottom w:val="single" w:color="E4E4E7" w:sz="1"/>
              <w:right w:val="single" w:color="E4E4E7" w:sz="1"/>
            </w:tcBorders>
            <w:tcMar>
              <w:top w:type="dxa" w:w="80"/>
              <w:left w:type="dxa" w:w="120"/>
              <w:bottom w:type="dxa" w:w="80"/>
              <w:right w:type="dxa" w:w="120"/>
            </w:tcMar>
          </w:tcPr>
          <w:p>
            <w:r>
              <w:rPr>
                <w:rFonts w:ascii="Arial" w:cs="Arial" w:eastAsia="Arial" w:hAnsi="Arial"/>
                <w:i/>
                <w:iCs/>
                <w:color w:val="2D2D2D"/>
                <w:sz w:val="18"/>
                <w:szCs w:val="18"/>
              </w:rPr>
              <w:t xml:space="preserve">"Each dictionary is independently citable and constructed using documented annotation methodology."</w:t>
            </w:r>
          </w:p>
        </w:tc>
      </w:tr>
    </w:tbl>
    <w:p>
      <w:pPr>
        <w:pageBreakBefore/>
      </w:pPr>
    </w:p>
    <w:p>
      <w:pPr>
        <w:spacing w:after="80" w:before="320"/>
      </w:pPr>
      <w:r>
        <w:rPr>
          <w:rFonts w:ascii="Arial" w:cs="Arial" w:eastAsia="Arial" w:hAnsi="Arial"/>
          <w:b/>
          <w:bCs/>
          <w:color w:val="2E7D5E"/>
          <w:spacing w:val="40"/>
          <w:sz w:val="17"/>
          <w:szCs w:val="17"/>
        </w:rPr>
        <w:t xml:space="preserve">SECTION 07</w:t>
      </w:r>
    </w:p>
    <w:p>
      <w:pPr>
        <w:spacing w:after="100" w:before="360"/>
      </w:pPr>
      <w:r>
        <w:rPr>
          <w:rFonts w:ascii="Arial" w:cs="Arial" w:eastAsia="Arial" w:hAnsi="Arial"/>
          <w:b/>
          <w:bCs/>
          <w:color w:val="08111E"/>
          <w:sz w:val="30"/>
          <w:szCs w:val="30"/>
        </w:rPr>
        <w:t xml:space="preserve">Media Kit Asset Scope</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The following assets constitute the TASS pre-launch media kit. Each is listed with its production method, format requirements, and primary use case.</w:t>
      </w:r>
    </w:p>
    <w:p>
      <w:pPr>
        <w:spacing w:after="80" w:before="240"/>
      </w:pPr>
      <w:r>
        <w:rPr>
          <w:rFonts w:ascii="Arial" w:cs="Arial" w:eastAsia="Arial" w:hAnsi="Arial"/>
          <w:b/>
          <w:bCs/>
          <w:color w:val="08111E"/>
          <w:sz w:val="22"/>
          <w:szCs w:val="22"/>
        </w:rPr>
        <w:t xml:space="preserve">Cooperatively constructed (Claude + Alex)</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Logo / logomark SVG — final version for light and dark backgrounds, mark only, and favicon</w:t>
      </w:r>
    </w:p>
    <w:p>
      <w:pPr>
        <w:pStyle w:val="ListParagraph"/>
        <w:numPr>
          <w:ilvl w:val="0"/>
          <w:numId w:val="2"/>
        </w:numPr>
        <w:spacing w:after="60" w:before="60"/>
      </w:pPr>
      <w:r>
        <w:rPr>
          <w:rFonts w:ascii="Arial" w:cs="Arial" w:eastAsia="Arial" w:hAnsi="Arial"/>
          <w:color w:val="2D2D2D"/>
          <w:sz w:val="22"/>
          <w:szCs w:val="22"/>
        </w:rPr>
        <w:t xml:space="preserve">Wordmark SVG — full lockup, compact lockup, wordmark-only variants</w:t>
      </w:r>
    </w:p>
    <w:p>
      <w:pPr>
        <w:pStyle w:val="ListParagraph"/>
        <w:numPr>
          <w:ilvl w:val="0"/>
          <w:numId w:val="2"/>
        </w:numPr>
        <w:spacing w:after="60" w:before="60"/>
      </w:pPr>
      <w:r>
        <w:rPr>
          <w:rFonts w:ascii="Arial" w:cs="Arial" w:eastAsia="Arial" w:hAnsi="Arial"/>
          <w:color w:val="2D2D2D"/>
          <w:sz w:val="22"/>
          <w:szCs w:val="22"/>
        </w:rPr>
        <w:t xml:space="preserve">Teaser card — HTML/SVG, dark background, shareable and embeddable</w:t>
      </w:r>
    </w:p>
    <w:p>
      <w:pPr>
        <w:pStyle w:val="ListParagraph"/>
        <w:numPr>
          <w:ilvl w:val="0"/>
          <w:numId w:val="2"/>
        </w:numPr>
        <w:spacing w:after="60" w:before="60"/>
      </w:pPr>
      <w:r>
        <w:rPr>
          <w:rFonts w:ascii="Arial" w:cs="Arial" w:eastAsia="Arial" w:hAnsi="Arial"/>
          <w:color w:val="2D2D2D"/>
          <w:sz w:val="22"/>
          <w:szCs w:val="22"/>
        </w:rPr>
        <w:t xml:space="preserve">Social card templates — 1:1 (1080×1080) and 16:9 (1920×1080) in dark palette</w:t>
      </w:r>
    </w:p>
    <w:p>
      <w:pPr>
        <w:pStyle w:val="ListParagraph"/>
        <w:numPr>
          <w:ilvl w:val="0"/>
          <w:numId w:val="2"/>
        </w:numPr>
        <w:spacing w:after="60" w:before="60"/>
      </w:pPr>
      <w:r>
        <w:rPr>
          <w:rFonts w:ascii="Arial" w:cs="Arial" w:eastAsia="Arial" w:hAnsi="Arial"/>
          <w:color w:val="2D2D2D"/>
          <w:sz w:val="22"/>
          <w:szCs w:val="22"/>
        </w:rPr>
        <w:t xml:space="preserve">Email header banner — for early-access list communications</w:t>
      </w:r>
    </w:p>
    <w:p>
      <w:pPr>
        <w:pStyle w:val="ListParagraph"/>
        <w:numPr>
          <w:ilvl w:val="0"/>
          <w:numId w:val="2"/>
        </w:numPr>
        <w:spacing w:after="60" w:before="60"/>
      </w:pPr>
      <w:r>
        <w:rPr>
          <w:rFonts w:ascii="Arial" w:cs="Arial" w:eastAsia="Arial" w:hAnsi="Arial"/>
          <w:color w:val="2D2D2D"/>
          <w:sz w:val="22"/>
          <w:szCs w:val="22"/>
        </w:rPr>
        <w:t xml:space="preserve">One-page press fact sheet — typeset PDF or print-ready document</w:t>
      </w:r>
    </w:p>
    <w:p>
      <w:pPr>
        <w:pStyle w:val="ListParagraph"/>
        <w:numPr>
          <w:ilvl w:val="0"/>
          <w:numId w:val="2"/>
        </w:numPr>
        <w:spacing w:after="60" w:before="60"/>
      </w:pPr>
      <w:r>
        <w:rPr>
          <w:rFonts w:ascii="Arial" w:cs="Arial" w:eastAsia="Arial" w:hAnsi="Arial"/>
          <w:color w:val="2D2D2D"/>
          <w:sz w:val="22"/>
          <w:szCs w:val="22"/>
        </w:rPr>
        <w:t xml:space="preserve">Pitch deck shell — 10-slide Canva or PowerPoint template in TASS palette</w:t>
      </w:r>
    </w:p>
    <w:p>
      <w:pPr>
        <w:pStyle w:val="ListParagraph"/>
        <w:numPr>
          <w:ilvl w:val="0"/>
          <w:numId w:val="2"/>
        </w:numPr>
        <w:spacing w:after="60" w:before="60"/>
      </w:pPr>
      <w:r>
        <w:rPr>
          <w:rFonts w:ascii="Arial" w:cs="Arial" w:eastAsia="Arial" w:hAnsi="Arial"/>
          <w:color w:val="2D2D2D"/>
          <w:sz w:val="22"/>
          <w:szCs w:val="22"/>
        </w:rPr>
        <w:t xml:space="preserve">This brand brief</w:t>
      </w:r>
    </w:p>
    <w:p>
      <w:pPr>
        <w:spacing w:after="80" w:before="240"/>
      </w:pPr>
      <w:r>
        <w:rPr>
          <w:rFonts w:ascii="Arial" w:cs="Arial" w:eastAsia="Arial" w:hAnsi="Arial"/>
          <w:b/>
          <w:bCs/>
          <w:color w:val="08111E"/>
          <w:sz w:val="22"/>
          <w:szCs w:val="22"/>
        </w:rPr>
        <w:t xml:space="preserve">AI image generation (Alex prompts, personal production)</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Hero illustration — abstract language/data visualization, dark navy, blue and amber accents</w:t>
      </w:r>
    </w:p>
    <w:p>
      <w:pPr>
        <w:pStyle w:val="ListParagraph"/>
        <w:numPr>
          <w:ilvl w:val="0"/>
          <w:numId w:val="2"/>
        </w:numPr>
        <w:spacing w:after="60" w:before="60"/>
      </w:pPr>
      <w:r>
        <w:rPr>
          <w:rFonts w:ascii="Arial" w:cs="Arial" w:eastAsia="Arial" w:hAnsi="Arial"/>
          <w:color w:val="2D2D2D"/>
          <w:sz w:val="22"/>
          <w:szCs w:val="22"/>
        </w:rPr>
        <w:t xml:space="preserve">Dictionary/research scene — flat-lay or environmental, dark surfaces, academic materials</w:t>
      </w:r>
    </w:p>
    <w:p>
      <w:pPr>
        <w:pStyle w:val="ListParagraph"/>
        <w:numPr>
          <w:ilvl w:val="0"/>
          <w:numId w:val="2"/>
        </w:numPr>
        <w:spacing w:after="60" w:before="60"/>
      </w:pPr>
      <w:r>
        <w:rPr>
          <w:rFonts w:ascii="Arial" w:cs="Arial" w:eastAsia="Arial" w:hAnsi="Arial"/>
          <w:color w:val="2D2D2D"/>
          <w:sz w:val="22"/>
          <w:szCs w:val="22"/>
        </w:rPr>
        <w:t xml:space="preserve">Researcher-at-work scene — person at dark-mode desktop interface, focused, professional</w:t>
      </w:r>
    </w:p>
    <w:p>
      <w:pPr>
        <w:pStyle w:val="ListParagraph"/>
        <w:numPr>
          <w:ilvl w:val="0"/>
          <w:numId w:val="2"/>
        </w:numPr>
        <w:spacing w:after="60" w:before="60"/>
      </w:pPr>
      <w:r>
        <w:rPr>
          <w:rFonts w:ascii="Arial" w:cs="Arial" w:eastAsia="Arial" w:hAnsi="Arial"/>
          <w:color w:val="2D2D2D"/>
          <w:sz w:val="22"/>
          <w:szCs w:val="22"/>
        </w:rPr>
        <w:t xml:space="preserve">T-Lex illustration — abstract lexicon/annotation concept for the T-Lex section</w:t>
      </w:r>
    </w:p>
    <w:p>
      <w:pPr>
        <w:spacing w:after="80" w:before="240"/>
      </w:pPr>
      <w:r>
        <w:rPr>
          <w:rFonts w:ascii="Arial" w:cs="Arial" w:eastAsia="Arial" w:hAnsi="Arial"/>
          <w:b/>
          <w:bCs/>
          <w:color w:val="08111E"/>
          <w:sz w:val="22"/>
          <w:szCs w:val="22"/>
        </w:rPr>
        <w:t xml:space="preserve">Claude Code / Remotion video (Alex runs, Claude scripts)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15-second teaser trailer — TASS wordmark reveal, three stat cards, CTA and URL fade</w:t>
      </w:r>
    </w:p>
    <w:p>
      <w:pPr>
        <w:pStyle w:val="ListParagraph"/>
        <w:numPr>
          <w:ilvl w:val="0"/>
          <w:numId w:val="2"/>
        </w:numPr>
        <w:spacing w:after="60" w:before="60"/>
      </w:pPr>
      <w:r>
        <w:rPr>
          <w:rFonts w:ascii="Arial" w:cs="Arial" w:eastAsia="Arial" w:hAnsi="Arial"/>
          <w:color w:val="2D2D2D"/>
          <w:sz w:val="22"/>
          <w:szCs w:val="22"/>
        </w:rPr>
        <w:t xml:space="preserve">30-second feature walkthrough — import, analysis, visualization, export sequence</w:t>
      </w:r>
    </w:p>
    <w:p>
      <w:pPr>
        <w:pStyle w:val="ListParagraph"/>
        <w:numPr>
          <w:ilvl w:val="0"/>
          <w:numId w:val="2"/>
        </w:numPr>
        <w:spacing w:after="60" w:before="60"/>
      </w:pPr>
      <w:r>
        <w:rPr>
          <w:rFonts w:ascii="Arial" w:cs="Arial" w:eastAsia="Arial" w:hAnsi="Arial"/>
          <w:color w:val="2D2D2D"/>
          <w:sz w:val="22"/>
          <w:szCs w:val="22"/>
        </w:rPr>
        <w:t xml:space="preserve">Loop background — slow animated data-line motion for use behind hero sections</w:t>
      </w:r>
    </w:p>
    <w:p>
      <w:pPr>
        <w:spacing w:after="80" w:before="240"/>
      </w:pPr>
      <w:r>
        <w:rPr>
          <w:rFonts w:ascii="Arial" w:cs="Arial" w:eastAsia="Arial" w:hAnsi="Arial"/>
          <w:b/>
          <w:bCs/>
          <w:color w:val="08111E"/>
          <w:sz w:val="22"/>
          <w:szCs w:val="22"/>
        </w:rPr>
        <w:t xml:space="preserve">Asset naming conventions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tass-logo-dark.svg / tass-logo-light.svg</w:t>
      </w:r>
    </w:p>
    <w:p>
      <w:pPr>
        <w:pStyle w:val="ListParagraph"/>
        <w:numPr>
          <w:ilvl w:val="0"/>
          <w:numId w:val="2"/>
        </w:numPr>
        <w:spacing w:after="60" w:before="60"/>
      </w:pPr>
      <w:r>
        <w:rPr>
          <w:rFonts w:ascii="Arial" w:cs="Arial" w:eastAsia="Arial" w:hAnsi="Arial"/>
          <w:color w:val="2D2D2D"/>
          <w:sz w:val="22"/>
          <w:szCs w:val="22"/>
        </w:rPr>
        <w:t xml:space="preserve">tass-wordmark-dark.svg / tass-wordmark-light.svg</w:t>
      </w:r>
    </w:p>
    <w:p>
      <w:pPr>
        <w:pStyle w:val="ListParagraph"/>
        <w:numPr>
          <w:ilvl w:val="0"/>
          <w:numId w:val="2"/>
        </w:numPr>
        <w:spacing w:after="60" w:before="60"/>
      </w:pPr>
      <w:r>
        <w:rPr>
          <w:rFonts w:ascii="Arial" w:cs="Arial" w:eastAsia="Arial" w:hAnsi="Arial"/>
          <w:color w:val="2D2D2D"/>
          <w:sz w:val="22"/>
          <w:szCs w:val="22"/>
        </w:rPr>
        <w:t xml:space="preserve">tass-mark-dark.svg / tass-mark-light.svg / tass-favicon.ico</w:t>
      </w:r>
    </w:p>
    <w:p>
      <w:pPr>
        <w:pStyle w:val="ListParagraph"/>
        <w:numPr>
          <w:ilvl w:val="0"/>
          <w:numId w:val="2"/>
        </w:numPr>
        <w:spacing w:after="60" w:before="60"/>
      </w:pPr>
      <w:r>
        <w:rPr>
          <w:rFonts w:ascii="Arial" w:cs="Arial" w:eastAsia="Arial" w:hAnsi="Arial"/>
          <w:color w:val="2D2D2D"/>
          <w:sz w:val="22"/>
          <w:szCs w:val="22"/>
        </w:rPr>
        <w:t xml:space="preserve">tass-social-1x1.png / tass-social-16x9.png</w:t>
      </w:r>
    </w:p>
    <w:p>
      <w:pPr>
        <w:pStyle w:val="ListParagraph"/>
        <w:numPr>
          <w:ilvl w:val="0"/>
          <w:numId w:val="2"/>
        </w:numPr>
        <w:spacing w:after="60" w:before="60"/>
      </w:pPr>
      <w:r>
        <w:rPr>
          <w:rFonts w:ascii="Arial" w:cs="Arial" w:eastAsia="Arial" w:hAnsi="Arial"/>
          <w:color w:val="2D2D2D"/>
          <w:sz w:val="22"/>
          <w:szCs w:val="22"/>
        </w:rPr>
        <w:t xml:space="preserve">tass-teaser-card.html / tass-teaser-card.pdf</w:t>
      </w:r>
    </w:p>
    <w:p>
      <w:pPr>
        <w:pStyle w:val="ListParagraph"/>
        <w:numPr>
          <w:ilvl w:val="0"/>
          <w:numId w:val="2"/>
        </w:numPr>
        <w:spacing w:after="60" w:before="60"/>
      </w:pPr>
      <w:r>
        <w:rPr>
          <w:rFonts w:ascii="Arial" w:cs="Arial" w:eastAsia="Arial" w:hAnsi="Arial"/>
          <w:color w:val="2D2D2D"/>
          <w:sz w:val="22"/>
          <w:szCs w:val="22"/>
        </w:rPr>
        <w:t xml:space="preserve">tass-press-fact-sheet.pdf</w:t>
      </w:r>
    </w:p>
    <w:p>
      <w:pPr>
        <w:pStyle w:val="ListParagraph"/>
        <w:numPr>
          <w:ilvl w:val="0"/>
          <w:numId w:val="2"/>
        </w:numPr>
        <w:spacing w:after="60" w:before="60"/>
      </w:pPr>
      <w:r>
        <w:rPr>
          <w:rFonts w:ascii="Arial" w:cs="Arial" w:eastAsia="Arial" w:hAnsi="Arial"/>
          <w:color w:val="2D2D2D"/>
          <w:sz w:val="22"/>
          <w:szCs w:val="22"/>
        </w:rPr>
        <w:t xml:space="preserve">tass-pitch-deck.pptx</w:t>
      </w:r>
    </w:p>
    <w:p>
      <w:pPr>
        <w:pageBreakBefore/>
      </w:pPr>
    </w:p>
    <w:p>
      <w:pPr>
        <w:spacing w:after="80" w:before="320"/>
      </w:pPr>
      <w:r>
        <w:rPr>
          <w:rFonts w:ascii="Arial" w:cs="Arial" w:eastAsia="Arial" w:hAnsi="Arial"/>
          <w:b/>
          <w:bCs/>
          <w:color w:val="2E7D5E"/>
          <w:spacing w:val="40"/>
          <w:sz w:val="17"/>
          <w:szCs w:val="17"/>
        </w:rPr>
        <w:t xml:space="preserve">SECTION 08</w:t>
      </w:r>
    </w:p>
    <w:p>
      <w:pPr>
        <w:spacing w:after="100" w:before="360"/>
      </w:pPr>
      <w:r>
        <w:rPr>
          <w:rFonts w:ascii="Arial" w:cs="Arial" w:eastAsia="Arial" w:hAnsi="Arial"/>
          <w:b/>
          <w:bCs/>
          <w:color w:val="08111E"/>
          <w:sz w:val="30"/>
          <w:szCs w:val="30"/>
        </w:rPr>
        <w:t xml:space="preserve">Sub-Brand — The T-Lex Project</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T-Lex is the scholarly sub-brand for the 18 original TASS-native dictionaries. It functions as a research identity — the name under which dictionaries are published, cited, and attributed — and as a collaboration program for academic contributors.</w:t>
      </w:r>
    </w:p>
    <w:p>
      <w:pPr>
        <w:spacing w:after="80" w:before="240"/>
      </w:pPr>
      <w:r>
        <w:rPr>
          <w:rFonts w:ascii="Arial" w:cs="Arial" w:eastAsia="Arial" w:hAnsi="Arial"/>
          <w:b/>
          <w:bCs/>
          <w:color w:val="08111E"/>
          <w:sz w:val="22"/>
          <w:szCs w:val="22"/>
        </w:rPr>
        <w:t xml:space="preserve">T-Lex brand relationship</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T-Lex is subordinate to TASS: it ships with TASS and derives its institutional credibility from being a TASS product</w:t>
      </w:r>
    </w:p>
    <w:p>
      <w:pPr>
        <w:pStyle w:val="ListParagraph"/>
        <w:numPr>
          <w:ilvl w:val="0"/>
          <w:numId w:val="2"/>
        </w:numPr>
        <w:spacing w:after="60" w:before="60"/>
      </w:pPr>
      <w:r>
        <w:rPr>
          <w:rFonts w:ascii="Arial" w:cs="Arial" w:eastAsia="Arial" w:hAnsi="Arial"/>
          <w:color w:val="2D2D2D"/>
          <w:sz w:val="22"/>
          <w:szCs w:val="22"/>
        </w:rPr>
        <w:t xml:space="preserve">T-Lex has its own name and framing but does not require a separate mark — it uses the TASS identity system with the T-Lex name as a verbal brand</w:t>
      </w:r>
    </w:p>
    <w:p>
      <w:pPr>
        <w:pStyle w:val="ListParagraph"/>
        <w:numPr>
          <w:ilvl w:val="0"/>
          <w:numId w:val="2"/>
        </w:numPr>
        <w:spacing w:after="60" w:before="60"/>
      </w:pPr>
      <w:r>
        <w:rPr>
          <w:rFonts w:ascii="Arial" w:cs="Arial" w:eastAsia="Arial" w:hAnsi="Arial"/>
          <w:color w:val="2D2D2D"/>
          <w:sz w:val="22"/>
          <w:szCs w:val="22"/>
        </w:rPr>
        <w:t xml:space="preserve">In all public-facing materials, T-Lex is introduced as "the T-Lex Project" or "TASS T-Lex dictionaries" — never as a standalone product</w:t>
      </w:r>
    </w:p>
    <w:p>
      <w:pPr>
        <w:spacing w:after="80" w:before="240"/>
      </w:pPr>
      <w:r>
        <w:rPr>
          <w:rFonts w:ascii="Arial" w:cs="Arial" w:eastAsia="Arial" w:hAnsi="Arial"/>
          <w:b/>
          <w:bCs/>
          <w:color w:val="08111E"/>
          <w:sz w:val="22"/>
          <w:szCs w:val="22"/>
        </w:rPr>
        <w:t xml:space="preserve">T-Lex voice</w:t>
      </w:r>
    </w:p>
    <w:p>
      <w:pPr>
        <w:spacing w:after="100" w:before="80"/>
      </w:pPr>
      <w:r>
        <w:rPr>
          <w:rFonts w:ascii="Arial" w:cs="Arial" w:eastAsia="Arial" w:hAnsi="Arial"/>
          <w:b w:val="false"/>
          <w:bCs w:val="false"/>
          <w:i w:val="false"/>
          <w:iCs w:val="false"/>
          <w:color w:val="2D2D2D"/>
          <w:sz w:val="22"/>
          <w:szCs w:val="22"/>
        </w:rPr>
        <w:t xml:space="preserve">T-Lex communications use a more explicitly scholarly register than the main TASS brand. Tone is methodologically precise, collegial, and centered on the research process. References to co-authorship, peer review, and construct validity are appropriate and expected.</w:t>
      </w:r>
    </w:p>
    <w:p>
      <w:pPr>
        <w:spacing w:after="80" w:before="240"/>
      </w:pPr>
      <w:r>
        <w:rPr>
          <w:rFonts w:ascii="Arial" w:cs="Arial" w:eastAsia="Arial" w:hAnsi="Arial"/>
          <w:b/>
          <w:bCs/>
          <w:color w:val="08111E"/>
          <w:sz w:val="22"/>
          <w:szCs w:val="22"/>
        </w:rPr>
        <w:t xml:space="preserve">T-Lex color use</w:t>
      </w:r>
    </w:p>
    <w:p>
      <w:pPr>
        <w:spacing w:after="100" w:before="80"/>
      </w:pPr>
      <w:r>
        <w:rPr>
          <w:rFonts w:ascii="Arial" w:cs="Arial" w:eastAsia="Arial" w:hAnsi="Arial"/>
          <w:b w:val="false"/>
          <w:bCs w:val="false"/>
          <w:i w:val="false"/>
          <w:iCs w:val="false"/>
          <w:color w:val="2D2D2D"/>
          <w:sz w:val="22"/>
          <w:szCs w:val="22"/>
        </w:rPr>
        <w:t xml:space="preserve">When T-Lex is presented separately from main TASS marketing (e.g., in academic outreach, collaboration invitations, or dictionary paper supplemental materials), amber (#F59E0B) may be used as the primary accent in place of green or blue. This visually distinguishes T-Lex contexts from the main product identity while remaining within the TASS palette.</w:t>
      </w:r>
    </w:p>
    <w:p>
      <w:pPr>
        <w:pageBreakBefore/>
      </w:pPr>
    </w:p>
    <w:p>
      <w:pPr>
        <w:spacing w:after="80" w:before="320"/>
      </w:pPr>
      <w:r>
        <w:rPr>
          <w:rFonts w:ascii="Arial" w:cs="Arial" w:eastAsia="Arial" w:hAnsi="Arial"/>
          <w:b/>
          <w:bCs/>
          <w:color w:val="2E7D5E"/>
          <w:spacing w:val="40"/>
          <w:sz w:val="17"/>
          <w:szCs w:val="17"/>
        </w:rPr>
        <w:t xml:space="preserve">SECTION 09</w:t>
      </w:r>
    </w:p>
    <w:p>
      <w:pPr>
        <w:spacing w:after="100" w:before="360"/>
      </w:pPr>
      <w:r>
        <w:rPr>
          <w:rFonts w:ascii="Arial" w:cs="Arial" w:eastAsia="Arial" w:hAnsi="Arial"/>
          <w:b/>
          <w:bCs/>
          <w:color w:val="08111E"/>
          <w:sz w:val="30"/>
          <w:szCs w:val="30"/>
        </w:rPr>
        <w:t xml:space="preserve">Production Notes &amp; Decisions Pending</w:t>
      </w:r>
    </w:p>
    <w:p>
      <w:pPr>
        <w:pBdr>
          <w:bottom w:val="single" w:color="2E7D5E" w:sz="6" w:space="1"/>
        </w:pBdr>
        <w:spacing w:after="0" w:before="0"/>
      </w:pPr>
    </w:p>
    <w:p>
      <w:pPr>
        <w:spacing w:after="0" w:before="80"/>
      </w:pPr>
    </w:p>
    <w:p>
      <w:pPr>
        <w:spacing w:after="100" w:before="80"/>
      </w:pPr>
      <w:r>
        <w:rPr>
          <w:rFonts w:ascii="Arial" w:cs="Arial" w:eastAsia="Arial" w:hAnsi="Arial"/>
          <w:b w:val="false"/>
          <w:bCs w:val="false"/>
          <w:i w:val="false"/>
          <w:iCs w:val="false"/>
          <w:color w:val="2D2D2D"/>
          <w:sz w:val="22"/>
          <w:szCs w:val="22"/>
        </w:rPr>
        <w:t xml:space="preserve">The following items require decisions or production work before the media kit can be considered complete.</w:t>
      </w:r>
    </w:p>
    <w:p>
      <w:pPr>
        <w:spacing w:after="80" w:before="240"/>
      </w:pPr>
      <w:r>
        <w:rPr>
          <w:rFonts w:ascii="Arial" w:cs="Arial" w:eastAsia="Arial" w:hAnsi="Arial"/>
          <w:b/>
          <w:bCs/>
          <w:color w:val="08111E"/>
          <w:sz w:val="22"/>
          <w:szCs w:val="22"/>
        </w:rPr>
        <w:t xml:space="preserve">Open items</w:t>
      </w:r>
    </w:p>
    <w:p>
      <w:pPr>
        <w:spacing w:after="0" w:before="60"/>
      </w:pPr>
    </w:p>
    <w:p>
      <w:pPr>
        <w:pStyle w:val="ListParagraph"/>
        <w:numPr>
          <w:ilvl w:val="0"/>
          <w:numId w:val="2"/>
        </w:numPr>
        <w:spacing w:after="60" w:before="60"/>
      </w:pPr>
      <w:r>
        <w:rPr>
          <w:rFonts w:ascii="Arial" w:cs="Arial" w:eastAsia="Arial" w:hAnsi="Arial"/>
          <w:color w:val="2D2D2D"/>
          <w:sz w:val="22"/>
          <w:szCs w:val="22"/>
        </w:rPr>
        <w:t xml:space="preserve">Final logomark: the concept defined in Section 05 requires vector production in Adobe Illustrator or Figma. The SVG mark generated for the teaser card is a placeholder that captures the concept but is not production-ready.</w:t>
      </w:r>
    </w:p>
    <w:p>
      <w:pPr>
        <w:pStyle w:val="ListParagraph"/>
        <w:numPr>
          <w:ilvl w:val="0"/>
          <w:numId w:val="2"/>
        </w:numPr>
        <w:spacing w:after="60" w:before="60"/>
      </w:pPr>
      <w:r>
        <w:rPr>
          <w:rFonts w:ascii="Arial" w:cs="Arial" w:eastAsia="Arial" w:hAnsi="Arial"/>
          <w:color w:val="2D2D2D"/>
          <w:sz w:val="22"/>
          <w:szCs w:val="22"/>
        </w:rPr>
        <w:t xml:space="preserve">Pitch deck template: slide structure and section order to be determined once the target conference or audience is identified.</w:t>
      </w:r>
    </w:p>
    <w:p>
      <w:pPr>
        <w:pStyle w:val="ListParagraph"/>
        <w:numPr>
          <w:ilvl w:val="0"/>
          <w:numId w:val="2"/>
        </w:numPr>
        <w:spacing w:after="60" w:before="60"/>
      </w:pPr>
      <w:r>
        <w:rPr>
          <w:rFonts w:ascii="Arial" w:cs="Arial" w:eastAsia="Arial" w:hAnsi="Arial"/>
          <w:color w:val="2D2D2D"/>
          <w:sz w:val="22"/>
          <w:szCs w:val="22"/>
        </w:rPr>
        <w:t xml:space="preserve">Remotion video: the 15-second script is ready (see Section 07). Requires Claude Code session to produce the Remotion component file.</w:t>
      </w:r>
    </w:p>
    <w:p>
      <w:pPr>
        <w:pStyle w:val="ListParagraph"/>
        <w:numPr>
          <w:ilvl w:val="0"/>
          <w:numId w:val="2"/>
        </w:numPr>
        <w:spacing w:after="60" w:before="60"/>
      </w:pPr>
      <w:r>
        <w:rPr>
          <w:rFonts w:ascii="Arial" w:cs="Arial" w:eastAsia="Arial" w:hAnsi="Arial"/>
          <w:color w:val="2D2D2D"/>
          <w:sz w:val="22"/>
          <w:szCs w:val="22"/>
        </w:rPr>
        <w:t xml:space="preserve">Website color reconciliation: the TASS website currently uses forest green (#2E7D5E) as its primary accent in all contexts, including dark sections. This brief recommends separating green (light contexts) from signal blue (dark contexts) for greater visual consistency with the product UI. This is a recommended revision, not a blocker.</w:t>
      </w:r>
    </w:p>
    <w:p>
      <w:pPr>
        <w:pStyle w:val="ListParagraph"/>
        <w:numPr>
          <w:ilvl w:val="0"/>
          <w:numId w:val="2"/>
        </w:numPr>
        <w:spacing w:after="60" w:before="60"/>
      </w:pPr>
      <w:r>
        <w:rPr>
          <w:rFonts w:ascii="Arial" w:cs="Arial" w:eastAsia="Arial" w:hAnsi="Arial"/>
          <w:color w:val="2D2D2D"/>
          <w:sz w:val="22"/>
          <w:szCs w:val="22"/>
        </w:rPr>
        <w:t xml:space="preserve">HurtLex and SentiWordNet license review: both are CC-BY-SA; legal review recommended before commercial bundling.</w:t>
      </w:r>
    </w:p>
    <w:p>
      <w:pPr>
        <w:spacing w:after="80" w:before="240"/>
      </w:pPr>
      <w:r>
        <w:rPr>
          <w:rFonts w:ascii="Arial" w:cs="Arial" w:eastAsia="Arial" w:hAnsi="Arial"/>
          <w:b/>
          <w:bCs/>
          <w:color w:val="08111E"/>
          <w:sz w:val="22"/>
          <w:szCs w:val="22"/>
        </w:rPr>
        <w:t xml:space="preserve">Brand review cadence</w:t>
      </w:r>
    </w:p>
    <w:p>
      <w:pPr>
        <w:spacing w:after="100" w:before="80"/>
      </w:pPr>
      <w:r>
        <w:rPr>
          <w:rFonts w:ascii="Arial" w:cs="Arial" w:eastAsia="Arial" w:hAnsi="Arial"/>
          <w:b w:val="false"/>
          <w:bCs w:val="false"/>
          <w:i w:val="false"/>
          <w:iCs w:val="false"/>
          <w:color w:val="2D2D2D"/>
          <w:sz w:val="22"/>
          <w:szCs w:val="22"/>
        </w:rPr>
        <w:t xml:space="preserve">This brief should be treated as a living document through v1.0 launch. Major visual decisions — final logomark, pitch deck design, video execution — should be reviewed against this brief before production is finalized.</w:t>
      </w:r>
    </w:p>
    <w:p>
      <w:pPr>
        <w:spacing w:after="0" w:before="200"/>
      </w:pPr>
    </w:p>
    <w:p>
      <w:pPr>
        <w:pBdr>
          <w:bottom w:val="single" w:color="E4E4E7" w:sz="4" w:space="1"/>
        </w:pBdr>
        <w:spacing w:after="0" w:before="0"/>
      </w:pPr>
    </w:p>
    <w:p>
      <w:pPr>
        <w:spacing w:after="0" w:before="120"/>
      </w:pPr>
    </w:p>
    <w:p>
      <w:r>
        <w:rPr>
          <w:rFonts w:ascii="Arial" w:cs="Arial" w:eastAsia="Arial" w:hAnsi="Arial"/>
          <w:color w:val="6B7280"/>
          <w:sz w:val="16"/>
          <w:szCs w:val="16"/>
        </w:rPr>
        <w:t xml:space="preserve">TASS Brand Brief v1.0 — March 2026 — SIM DAD LLC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4" w:space="1"/>
      </w:pBdr>
      <w:tabs>
        <w:tab w:val="right" w:pos="9026"/>
      </w:tabs>
      <w:spacing w:after="0" w:before="120"/>
    </w:pPr>
    <w:r>
      <w:rPr>
        <w:rFonts w:ascii="Arial" w:cs="Arial" w:eastAsia="Arial" w:hAnsi="Arial"/>
        <w:color w:val="6B7280"/>
        <w:sz w:val="16"/>
        <w:szCs w:val="16"/>
      </w:rPr>
      <w:t xml:space="preserve">simdadllc.com/tass</w:t>
    </w:r>
    <w:r>
      <w:rPr>
        <w:rFonts w:ascii="Arial" w:cs="Arial" w:eastAsia="Arial" w:hAnsi="Arial"/>
        <w:sz w:val="16"/>
        <w:szCs w:val="16"/>
      </w:rPr>
      <w:t xml:space="preserve">	</w:t>
    </w:r>
    <w:r>
      <w:rPr>
        <w:rFonts w:ascii="Arial" w:cs="Arial" w:eastAsia="Arial" w:hAnsi="Arial"/>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4" w:space="1"/>
      </w:pBdr>
      <w:spacing w:after="120" w:before="0"/>
    </w:pPr>
    <w:r>
      <w:rPr>
        <w:rFonts w:ascii="Arial" w:cs="Arial" w:eastAsia="Arial" w:hAnsi="Arial"/>
        <w:color w:val="6B7280"/>
        <w:sz w:val="18"/>
        <w:szCs w:val="18"/>
      </w:rPr>
      <w:t xml:space="preserve">TASS — Brand Brief</w:t>
    </w:r>
    <w:r>
      <w:rPr>
        <w:rFonts w:ascii="Arial" w:cs="Arial" w:eastAsia="Arial" w:hAnsi="Arial"/>
        <w:color w:val="E4E4E7"/>
        <w:sz w:val="18"/>
        <w:szCs w:val="18"/>
      </w:rPr>
      <w:t xml:space="preserve">   |   SIM DAD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2026-03-26T14:26:49.746Z</dcterms:created>
  <dcterms:modified xsi:type="dcterms:W3CDTF">2026-03-26T14:26:49.747Z</dcterms:modified>
</cp:coreProperties>
</file>

<file path=docProps/custom.xml><?xml version="1.0" encoding="utf-8"?>
<Properties xmlns="http://schemas.openxmlformats.org/officeDocument/2006/custom-properties" xmlns:vt="http://schemas.openxmlformats.org/officeDocument/2006/docPropsVTypes"/>
</file>