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Arial" w:cs="Arial" w:eastAsia="Arial" w:hAnsi="Arial"/>
          <w:b/>
          <w:bCs/>
          <w:color w:val="2E7D5E"/>
          <w:sz w:val="72"/>
          <w:szCs w:val="72"/>
        </w:rPr>
        <w:t xml:space="preserve">TASS</w:t>
      </w:r>
    </w:p>
    <w:p>
      <w:pPr>
        <w:spacing w:after="200"/>
        <w:jc w:val="center"/>
      </w:pPr>
      <w:r>
        <w:rPr>
          <w:rFonts w:ascii="Arial" w:cs="Arial" w:eastAsia="Arial" w:hAnsi="Arial"/>
          <w:color w:val="1E2A35"/>
          <w:sz w:val="32"/>
          <w:szCs w:val="32"/>
        </w:rPr>
        <w:t xml:space="preserve">Text Analysis for Social Scientists</w:t>
      </w:r>
    </w:p>
    <w:p>
      <w:pPr>
        <w:pBdr>
          <w:top w:val="single" w:color="2E7D5E" w:sz="6" w:space="12"/>
          <w:bottom w:val="single" w:color="2E7D5E" w:sz="6" w:space="12"/>
        </w:pBdr>
        <w:spacing w:after="400"/>
        <w:jc w:val="center"/>
      </w:pPr>
      <w:r>
        <w:rPr>
          <w:rFonts w:ascii="Arial" w:cs="Arial" w:eastAsia="Arial" w:hAnsi="Arial"/>
          <w:color w:val="1E2A35"/>
          <w:sz w:val="28"/>
          <w:szCs w:val="28"/>
        </w:rPr>
        <w:t xml:space="preserve">Comprehensive Development &amp; Design Plan</w:t>
      </w:r>
    </w:p>
    <w:p>
      <w:pPr>
        <w:spacing w:after="600"/>
      </w:pPr>
    </w:p>
    <w:p>
      <w:pPr>
        <w:spacing w:after="80"/>
        <w:jc w:val="center"/>
      </w:pPr>
      <w:r>
        <w:rPr>
          <w:rFonts w:ascii="Arial" w:cs="Arial" w:eastAsia="Arial" w:hAnsi="Arial"/>
          <w:sz w:val="22"/>
          <w:szCs w:val="22"/>
        </w:rPr>
        <w:t xml:space="preserve">Prepared by: Alex P. Leith, PhD</w:t>
      </w:r>
    </w:p>
    <w:p>
      <w:pPr>
        <w:spacing w:after="80"/>
        <w:jc w:val="center"/>
      </w:pPr>
      <w:r>
        <w:rPr>
          <w:rFonts w:ascii="Arial" w:cs="Arial" w:eastAsia="Arial" w:hAnsi="Arial"/>
          <w:sz w:val="22"/>
          <w:szCs w:val="22"/>
        </w:rPr>
        <w:t xml:space="preserve">SIM DAD LLC</w:t>
      </w:r>
    </w:p>
    <w:p>
      <w:pPr>
        <w:spacing w:after="80"/>
        <w:jc w:val="center"/>
      </w:pPr>
      <w:r>
        <w:rPr>
          <w:rFonts w:ascii="Arial" w:cs="Arial" w:eastAsia="Arial" w:hAnsi="Arial"/>
          <w:sz w:val="22"/>
          <w:szCs w:val="22"/>
        </w:rPr>
        <w:t xml:space="preserve">March 31, 2026</w:t>
      </w:r>
    </w:p>
    <w:p>
      <w:r>
        <w:br w:type="page"/>
      </w:r>
    </w:p>
    <w:p>
      <w:pPr>
        <w:pStyle w:val="Heading1"/>
        <w:spacing w:after="200" w:before="360"/>
      </w:pPr>
      <w:r>
        <w:rPr>
          <w:rFonts w:ascii="Arial" w:cs="Arial" w:eastAsia="Arial" w:hAnsi="Arial"/>
          <w:b/>
          <w:bCs/>
          <w:color w:val="1E2A35"/>
          <w:sz w:val="32"/>
          <w:szCs w:val="32"/>
        </w:rPr>
        <w:t xml:space="preserve">1. Executive Summary</w:t>
      </w:r>
    </w:p>
    <w:p>
      <w:pPr>
        <w:spacing w:after="160" w:line="300"/>
        <w:jc w:val="left"/>
      </w:pPr>
      <w:r>
        <w:rPr>
          <w:rFonts w:ascii="Arial" w:cs="Arial" w:eastAsia="Arial" w:hAnsi="Arial"/>
          <w:sz w:val="21"/>
          <w:szCs w:val="21"/>
        </w:rPr>
        <w:t xml:space="preserve">For more than a decade, dictionary-based text analysis in the social sciences has meant one thing: LIWC. The tool holds something close to monopoly status among communication researchers, psychologists, political scientists, and the growing number of scholars across the humanities who work with open-ended text data. Its dominance is not solely a function of quality. It is, in large part, a function of the fact that no serious alternative exists for researchers who do not write code.</w:t>
      </w:r>
    </w:p>
    <w:p>
      <w:pPr>
        <w:spacing w:after="160" w:line="300"/>
        <w:jc w:val="left"/>
      </w:pPr>
      <w:r>
        <w:rPr>
          <w:rFonts w:ascii="Arial" w:cs="Arial" w:eastAsia="Arial" w:hAnsi="Arial"/>
          <w:sz w:val="21"/>
          <w:szCs w:val="21"/>
        </w:rPr>
        <w:t xml:space="preserve">TASS is designed to fill that gap and then surpass it. Where LIWC produces a spreadsheet of word percentages and asks you to leave the application for anything beyond descriptive statistics, TASS is designed to be a complete analytical environment: import, score, test, visualize, and export, all within a single interface. Where LIWC's licensing model has grown increasingly restrictive, separating academic from commercial users and routing non-university researchers to a separate company (Receptiviti) at opaque pricing, TASS offers a transparent subscription model accessible to anyone.</w:t>
      </w:r>
    </w:p>
    <w:p>
      <w:pPr>
        <w:spacing w:after="160" w:line="300"/>
        <w:jc w:val="left"/>
      </w:pPr>
      <w:r>
        <w:rPr>
          <w:rFonts w:ascii="Arial" w:cs="Arial" w:eastAsia="Arial" w:hAnsi="Arial"/>
          <w:sz w:val="21"/>
          <w:szCs w:val="21"/>
        </w:rPr>
        <w:t xml:space="preserve">The ambition is specific: TASS should become to dictionary-based text analysis what SPSS became to statistical analysis. Not the most flexible tool available (R and Python will always exist), but the tool that social scientists learn in methods courses, the one that reviewers trust in peer review, and the one whose output format becomes a de facto standard in published research.</w:t>
      </w:r>
    </w:p>
    <w:p>
      <w:pPr>
        <w:spacing w:after="160" w:line="300"/>
        <w:jc w:val="left"/>
      </w:pPr>
      <w:r>
        <w:rPr>
          <w:rFonts w:ascii="Arial" w:cs="Arial" w:eastAsia="Arial" w:hAnsi="Arial"/>
          <w:sz w:val="21"/>
          <w:szCs w:val="21"/>
        </w:rPr>
        <w:t xml:space="preserve">This document is a comprehensive plan for the development and design teams. It covers strategic positioning, subscription architecture, methodological requirements for credibility, feature roadmap, UX philosophy, dictionary library strategy, validation framework, and launch sequencing. It is organized so that decisions flow from principles, and principles flow from a single question: What does a researcher need to trust this tool enough to stake a publication on it?</w:t>
      </w:r>
    </w:p>
    <w:p>
      <w:r>
        <w:br w:type="page"/>
      </w:r>
    </w:p>
    <w:p>
      <w:pPr>
        <w:pStyle w:val="Heading1"/>
        <w:spacing w:after="200" w:before="360"/>
      </w:pPr>
      <w:r>
        <w:rPr>
          <w:rFonts w:ascii="Arial" w:cs="Arial" w:eastAsia="Arial" w:hAnsi="Arial"/>
          <w:b/>
          <w:bCs/>
          <w:color w:val="1E2A35"/>
          <w:sz w:val="32"/>
          <w:szCs w:val="32"/>
        </w:rPr>
        <w:t xml:space="preserve">2. Strategic Position &amp; Market Analysis</w:t>
      </w:r>
    </w:p>
    <w:p>
      <w:pPr>
        <w:pStyle w:val="Heading2"/>
        <w:spacing w:after="160" w:before="280"/>
      </w:pPr>
      <w:r>
        <w:rPr>
          <w:rFonts w:ascii="Arial" w:cs="Arial" w:eastAsia="Arial" w:hAnsi="Arial"/>
          <w:b/>
          <w:bCs/>
          <w:color w:val="2E7D5E"/>
          <w:sz w:val="26"/>
          <w:szCs w:val="26"/>
        </w:rPr>
        <w:t xml:space="preserve">2.1 The Competitive Landscape</w:t>
      </w:r>
    </w:p>
    <w:p>
      <w:pPr>
        <w:spacing w:after="160" w:line="300"/>
        <w:jc w:val="left"/>
      </w:pPr>
      <w:r>
        <w:rPr>
          <w:rFonts w:ascii="Arial" w:cs="Arial" w:eastAsia="Arial" w:hAnsi="Arial"/>
          <w:sz w:val="21"/>
          <w:szCs w:val="21"/>
        </w:rPr>
        <w:t xml:space="preserve">The market for no-code text analysis tools is surprisingly thin. LIWC-22 dominates with a dictionary of over 12,000 words across roughly 100 psycholinguistic categories, decades of validation literature, and deep integration into the citation ecosystem (Pennebaker's papers have tens of thousands of citations). Its pricing is structured around annual academic licenses, with commercial use routed exclusively through Receptiviti at enterprise pricing. The academic license restricts use to university-affiliated researchers conducting purely academic work. Consultants, government researchers, journalists, and nonprofit analysts are all excluded.</w:t>
      </w:r>
    </w:p>
    <w:p>
      <w:pPr>
        <w:spacing w:after="160" w:line="300"/>
        <w:jc w:val="left"/>
      </w:pPr>
      <w:r>
        <w:rPr>
          <w:rFonts w:ascii="Arial" w:cs="Arial" w:eastAsia="Arial" w:hAnsi="Arial"/>
          <w:sz w:val="21"/>
          <w:szCs w:val="21"/>
        </w:rPr>
        <w:t xml:space="preserve">The remaining alternatives fall into two camps. Open-source tools (Yoshikoder, TACIT, Empath, quanteda/tidytext in R, and TextBlob/spaCy in Python) require either coding ability or tolerance for abandoned-feeling UIs. Commercial NLP platforms (MonkeyLearn, Lexalytics, MeaningCloud) target enterprise customers and solve fundamentally different problems than the hypothesis-driven, dictionary-based workflow that social scientists rely on.</w:t>
      </w:r>
    </w:p>
    <w:p>
      <w:pPr>
        <w:spacing w:after="160" w:line="300"/>
        <w:jc w:val="left"/>
      </w:pPr>
      <w:r>
        <w:rPr>
          <w:rFonts w:ascii="Arial" w:cs="Arial" w:eastAsia="Arial" w:hAnsi="Arial"/>
          <w:sz w:val="21"/>
          <w:szCs w:val="21"/>
        </w:rPr>
        <w:t xml:space="preserve">No tool currently occupies the position TASS is designed to hold: a professional, subscription-based desktop application that combines dictionary scoring, statistical inference, visualization, and publication-ready export in a single environment, available to any researcher regardless of institutional affiliation.</w:t>
      </w:r>
    </w:p>
    <w:p>
      <w:pPr>
        <w:pStyle w:val="Heading2"/>
        <w:spacing w:after="160" w:before="280"/>
      </w:pPr>
      <w:r>
        <w:rPr>
          <w:rFonts w:ascii="Arial" w:cs="Arial" w:eastAsia="Arial" w:hAnsi="Arial"/>
          <w:b/>
          <w:bCs/>
          <w:color w:val="2E7D5E"/>
          <w:sz w:val="26"/>
          <w:szCs w:val="26"/>
        </w:rPr>
        <w:t xml:space="preserve">2.2 LIWC's Structural Vulnerabilities</w:t>
      </w:r>
    </w:p>
    <w:p>
      <w:pPr>
        <w:spacing w:after="160" w:line="300"/>
        <w:jc w:val="left"/>
      </w:pPr>
      <w:r>
        <w:rPr>
          <w:rFonts w:ascii="Arial" w:cs="Arial" w:eastAsia="Arial" w:hAnsi="Arial"/>
          <w:sz w:val="21"/>
          <w:szCs w:val="21"/>
        </w:rPr>
        <w:t xml:space="preserve">LIWC's dominance creates complacency, and complacency creates openings. The meaningful vulnerabilities are:</w:t>
      </w:r>
    </w:p>
    <w:p>
      <w:pPr>
        <w:pStyle w:val="ListParagraph"/>
        <w:numPr>
          <w:ilvl w:val="0"/>
          <w:numId w:val="2"/>
        </w:numPr>
        <w:spacing w:after="100" w:line="300"/>
      </w:pPr>
      <w:r>
        <w:rPr>
          <w:rFonts w:ascii="Arial" w:cs="Arial" w:eastAsia="Arial" w:hAnsi="Arial"/>
          <w:b/>
          <w:bCs/>
          <w:sz w:val="21"/>
          <w:szCs w:val="21"/>
        </w:rPr>
        <w:t xml:space="preserve">No integrated statistics. </w:t>
      </w:r>
      <w:r>
        <w:rPr>
          <w:rFonts w:ascii="Arial" w:cs="Arial" w:eastAsia="Arial" w:hAnsi="Arial"/>
          <w:sz w:val="21"/>
          <w:szCs w:val="21"/>
        </w:rPr>
        <w:t xml:space="preserve">LIWC produces proportions. To run a t-test or ANOVA, you export to SPSS, R, or Excel. Every handoff is a friction point and an error opportunity.</w:t>
      </w:r>
    </w:p>
    <w:p>
      <w:pPr>
        <w:pStyle w:val="ListParagraph"/>
        <w:numPr>
          <w:ilvl w:val="0"/>
          <w:numId w:val="2"/>
        </w:numPr>
        <w:spacing w:after="100" w:line="300"/>
      </w:pPr>
      <w:r>
        <w:rPr>
          <w:rFonts w:ascii="Arial" w:cs="Arial" w:eastAsia="Arial" w:hAnsi="Arial"/>
          <w:b/>
          <w:bCs/>
          <w:sz w:val="21"/>
          <w:szCs w:val="21"/>
        </w:rPr>
        <w:t xml:space="preserve">No visualization. </w:t>
      </w:r>
      <w:r>
        <w:rPr>
          <w:rFonts w:ascii="Arial" w:cs="Arial" w:eastAsia="Arial" w:hAnsi="Arial"/>
          <w:sz w:val="21"/>
          <w:szCs w:val="21"/>
        </w:rPr>
        <w:t xml:space="preserve">Word clouds and a narrative arc graph are about the extent of it. No box plots, no heatmaps, no scatter plots with regression lines.</w:t>
      </w:r>
    </w:p>
    <w:p>
      <w:pPr>
        <w:pStyle w:val="ListParagraph"/>
        <w:numPr>
          <w:ilvl w:val="0"/>
          <w:numId w:val="2"/>
        </w:numPr>
        <w:spacing w:after="100" w:line="300"/>
      </w:pPr>
      <w:r>
        <w:rPr>
          <w:rFonts w:ascii="Arial" w:cs="Arial" w:eastAsia="Arial" w:hAnsi="Arial"/>
          <w:b/>
          <w:bCs/>
          <w:sz w:val="21"/>
          <w:szCs w:val="21"/>
        </w:rPr>
        <w:t xml:space="preserve">Closed dictionary. </w:t>
      </w:r>
      <w:r>
        <w:rPr>
          <w:rFonts w:ascii="Arial" w:cs="Arial" w:eastAsia="Arial" w:hAnsi="Arial"/>
          <w:sz w:val="21"/>
          <w:szCs w:val="21"/>
        </w:rPr>
        <w:t xml:space="preserve">The built-in LIWC dictionary is not viewable or editable. Users can import custom dictionaries but cannot inspect or modify the tool's core measurement instrument.</w:t>
      </w:r>
    </w:p>
    <w:p>
      <w:pPr>
        <w:pStyle w:val="ListParagraph"/>
        <w:numPr>
          <w:ilvl w:val="0"/>
          <w:numId w:val="2"/>
        </w:numPr>
        <w:spacing w:after="100" w:line="300"/>
      </w:pPr>
      <w:r>
        <w:rPr>
          <w:rFonts w:ascii="Arial" w:cs="Arial" w:eastAsia="Arial" w:hAnsi="Arial"/>
          <w:b/>
          <w:bCs/>
          <w:sz w:val="21"/>
          <w:szCs w:val="21"/>
        </w:rPr>
        <w:t xml:space="preserve">Licensing restrictions. </w:t>
      </w:r>
      <w:r>
        <w:rPr>
          <w:rFonts w:ascii="Arial" w:cs="Arial" w:eastAsia="Arial" w:hAnsi="Arial"/>
          <w:sz w:val="21"/>
          <w:szCs w:val="21"/>
        </w:rPr>
        <w:t xml:space="preserve">The academic/commercial split is increasingly out of step with the reality of modern research, where grant-funded projects partner with industry, journalists do computational work, and independent scholars operate outside institutions.</w:t>
      </w:r>
    </w:p>
    <w:p>
      <w:pPr>
        <w:pStyle w:val="ListParagraph"/>
        <w:numPr>
          <w:ilvl w:val="0"/>
          <w:numId w:val="2"/>
        </w:numPr>
        <w:spacing w:after="100" w:line="300"/>
      </w:pPr>
      <w:r>
        <w:rPr>
          <w:rFonts w:ascii="Arial" w:cs="Arial" w:eastAsia="Arial" w:hAnsi="Arial"/>
          <w:b/>
          <w:bCs/>
          <w:sz w:val="21"/>
          <w:szCs w:val="21"/>
        </w:rPr>
        <w:t xml:space="preserve">Lack of transparency. </w:t>
      </w:r>
      <w:r>
        <w:rPr>
          <w:rFonts w:ascii="Arial" w:cs="Arial" w:eastAsia="Arial" w:hAnsi="Arial"/>
          <w:sz w:val="21"/>
          <w:szCs w:val="21"/>
        </w:rPr>
        <w:t xml:space="preserve">Reviewers and replicators cannot independently verify LIWC's scoring behavior because the dictionary is proprietary. This tension grows as open-science norms strengthen.</w:t>
      </w:r>
    </w:p>
    <w:p>
      <w:pPr>
        <w:pStyle w:val="Heading2"/>
        <w:spacing w:after="160" w:before="280"/>
      </w:pPr>
      <w:r>
        <w:rPr>
          <w:rFonts w:ascii="Arial" w:cs="Arial" w:eastAsia="Arial" w:hAnsi="Arial"/>
          <w:b/>
          <w:bCs/>
          <w:color w:val="2E7D5E"/>
          <w:sz w:val="26"/>
          <w:szCs w:val="26"/>
        </w:rPr>
        <w:t xml:space="preserve">2.3 TASS's Strategic Differentiation</w:t>
      </w:r>
    </w:p>
    <w:p>
      <w:pPr>
        <w:spacing w:after="160" w:line="300"/>
        <w:jc w:val="left"/>
      </w:pPr>
      <w:r>
        <w:rPr>
          <w:rFonts w:ascii="Arial" w:cs="Arial" w:eastAsia="Arial" w:hAnsi="Arial"/>
          <w:sz w:val="21"/>
          <w:szCs w:val="21"/>
        </w:rPr>
        <w:t xml:space="preserve">TASS does not compete with LIWC on the dictionary itself. LIWC's dictionary has three decades of psychometric validation, and attempting to replicate it would be both legally problematic and strategically foolish. Instead, TASS competes on three axes where LIWC cannot easily follow:</w:t>
      </w:r>
    </w:p>
    <w:p>
      <w:pPr>
        <w:pStyle w:val="ListParagraph"/>
        <w:numPr>
          <w:ilvl w:val="0"/>
          <w:numId w:val="3"/>
        </w:numPr>
        <w:spacing w:after="100" w:line="300"/>
      </w:pPr>
      <w:r>
        <w:rPr>
          <w:rFonts w:ascii="Arial" w:cs="Arial" w:eastAsia="Arial" w:hAnsi="Arial"/>
          <w:b/>
          <w:bCs/>
          <w:sz w:val="21"/>
          <w:szCs w:val="21"/>
        </w:rPr>
        <w:t xml:space="preserve">Analytical completeness. </w:t>
      </w:r>
      <w:r>
        <w:rPr>
          <w:rFonts w:ascii="Arial" w:cs="Arial" w:eastAsia="Arial" w:hAnsi="Arial"/>
          <w:sz w:val="21"/>
          <w:szCs w:val="21"/>
        </w:rPr>
        <w:t xml:space="preserve">TASS eliminates the export-to-SPSS step. Researchers can go from raw text to publication-ready APA tables without leaving the application.</w:t>
      </w:r>
    </w:p>
    <w:p>
      <w:pPr>
        <w:pStyle w:val="ListParagraph"/>
        <w:numPr>
          <w:ilvl w:val="0"/>
          <w:numId w:val="3"/>
        </w:numPr>
        <w:spacing w:after="100" w:line="300"/>
      </w:pPr>
      <w:r>
        <w:rPr>
          <w:rFonts w:ascii="Arial" w:cs="Arial" w:eastAsia="Arial" w:hAnsi="Arial"/>
          <w:b/>
          <w:bCs/>
          <w:sz w:val="21"/>
          <w:szCs w:val="21"/>
        </w:rPr>
        <w:t xml:space="preserve">Dictionary transparency. </w:t>
      </w:r>
      <w:r>
        <w:rPr>
          <w:rFonts w:ascii="Arial" w:cs="Arial" w:eastAsia="Arial" w:hAnsi="Arial"/>
          <w:sz w:val="21"/>
          <w:szCs w:val="21"/>
        </w:rPr>
        <w:t xml:space="preserve">Every built-in dictionary is open-source, inspectable, and citable. The T-Lex library provides validated dictionaries that reviewers can independently verify.</w:t>
      </w:r>
    </w:p>
    <w:p>
      <w:pPr>
        <w:pStyle w:val="ListParagraph"/>
        <w:numPr>
          <w:ilvl w:val="0"/>
          <w:numId w:val="3"/>
        </w:numPr>
        <w:spacing w:after="100" w:line="300"/>
      </w:pPr>
      <w:r>
        <w:rPr>
          <w:rFonts w:ascii="Arial" w:cs="Arial" w:eastAsia="Arial" w:hAnsi="Arial"/>
          <w:b/>
          <w:bCs/>
          <w:sz w:val="21"/>
          <w:szCs w:val="21"/>
        </w:rPr>
        <w:t xml:space="preserve">Access. </w:t>
      </w:r>
      <w:r>
        <w:rPr>
          <w:rFonts w:ascii="Arial" w:cs="Arial" w:eastAsia="Arial" w:hAnsi="Arial"/>
          <w:sz w:val="21"/>
          <w:szCs w:val="21"/>
        </w:rPr>
        <w:t xml:space="preserve">No institutional gatekeeping. A journalist, a nonprofit analyst, and a tenured professor all buy the same subscription at the same price.</w:t>
      </w:r>
    </w:p>
    <w:p>
      <w:r>
        <w:br w:type="page"/>
      </w:r>
    </w:p>
    <w:p>
      <w:pPr>
        <w:pStyle w:val="Heading1"/>
        <w:spacing w:after="200" w:before="360"/>
      </w:pPr>
      <w:r>
        <w:rPr>
          <w:rFonts w:ascii="Arial" w:cs="Arial" w:eastAsia="Arial" w:hAnsi="Arial"/>
          <w:b/>
          <w:bCs/>
          <w:color w:val="1E2A35"/>
          <w:sz w:val="32"/>
          <w:szCs w:val="32"/>
        </w:rPr>
        <w:t xml:space="preserve">3. Subscription Model &amp; Pricing Architecture</w:t>
      </w:r>
    </w:p>
    <w:p>
      <w:pPr>
        <w:pStyle w:val="Heading2"/>
        <w:spacing w:after="160" w:before="280"/>
      </w:pPr>
      <w:r>
        <w:rPr>
          <w:rFonts w:ascii="Arial" w:cs="Arial" w:eastAsia="Arial" w:hAnsi="Arial"/>
          <w:b/>
          <w:bCs/>
          <w:color w:val="2E7D5E"/>
          <w:sz w:val="26"/>
          <w:szCs w:val="26"/>
        </w:rPr>
        <w:t xml:space="preserve">3.1 The Case for Subscription</w:t>
      </w:r>
    </w:p>
    <w:p>
      <w:pPr>
        <w:spacing w:after="160" w:line="300"/>
        <w:jc w:val="left"/>
      </w:pPr>
      <w:r>
        <w:rPr>
          <w:rFonts w:ascii="Arial" w:cs="Arial" w:eastAsia="Arial" w:hAnsi="Arial"/>
          <w:sz w:val="21"/>
          <w:szCs w:val="21"/>
        </w:rPr>
        <w:t xml:space="preserve">You mentioned wanting to move from a one-time purchase to a subscription model. This is the right call for a tool that aspires to become institutional infrastructure, and the reasoning goes beyond recurring revenue.</w:t>
      </w:r>
    </w:p>
    <w:p>
      <w:pPr>
        <w:spacing w:after="160" w:line="300"/>
        <w:jc w:val="left"/>
      </w:pPr>
      <w:r>
        <w:rPr>
          <w:rFonts w:ascii="Arial" w:cs="Arial" w:eastAsia="Arial" w:hAnsi="Arial"/>
          <w:sz w:val="21"/>
          <w:szCs w:val="21"/>
        </w:rPr>
        <w:t xml:space="preserve">A subscription model aligns incentives: it forces the developer to keep shipping value, and it signals to users that the tool is actively maintained. In academia, where a research project might span three years, a subscription communicates longevity in a way that a one-time purchase of a v1.0 from an indie developer simply cannot. SPSS charges $105/month or $1,188/year for its base subscription. LIWC-22 charges annual academic license fees. The subscription model is the norm for the class of software TASS is joining.</w:t>
      </w:r>
    </w:p>
    <w:p>
      <w:pPr>
        <w:pStyle w:val="Heading2"/>
        <w:spacing w:after="160" w:before="280"/>
      </w:pPr>
      <w:r>
        <w:rPr>
          <w:rFonts w:ascii="Arial" w:cs="Arial" w:eastAsia="Arial" w:hAnsi="Arial"/>
          <w:b/>
          <w:bCs/>
          <w:color w:val="2E7D5E"/>
          <w:sz w:val="26"/>
          <w:szCs w:val="26"/>
        </w:rPr>
        <w:t xml:space="preserve">3.2 Recommended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060"/>
      </w:tblGrid>
      <w:tr>
        <w:tc>
          <w:tcPr>
            <w:tcW w:type="dxa" w:w="18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15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Annual</w:t>
            </w:r>
          </w:p>
        </w:tc>
        <w:tc>
          <w:tcPr>
            <w:tcW w:type="dxa" w:w="15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Seats</w:t>
            </w:r>
          </w:p>
        </w:tc>
        <w:tc>
          <w:tcPr>
            <w:tcW w:type="dxa" w:w="306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Student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.edu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Researcher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academics, journalists, independents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$249/yr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labs, small departments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Department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$79/mo</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$699/yr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Academic departments, organizations</w:t>
            </w:r>
          </w:p>
        </w:tc>
      </w:tr>
    </w:tbl>
    <w:p>
      <w:pPr>
        <w:spacing w:after="120"/>
      </w:pPr>
    </w:p>
    <w:p>
      <w:pPr>
        <w:spacing w:after="160" w:line="300"/>
        <w:jc w:val="left"/>
      </w:pPr>
      <w:r>
        <w:rPr>
          <w:rFonts w:ascii="Arial" w:cs="Arial" w:eastAsia="Arial" w:hAnsi="Arial"/>
          <w:sz w:val="21"/>
          <w:szCs w:val="21"/>
        </w:rPr>
        <w:t xml:space="preserve">The Student tier at $49/year is deliberately priced to match the original one-time purchase price point, but now on an annual basis. This is the "textbook add-on" price: a professor can require it for a methods course without creating undue financial burden. The Researcher tier at $99/year positions TASS below LIWC's academic pricing while offering substantially more functionality. The Lab and Department tiers create institutional adoption pathways.</w:t>
      </w:r>
    </w:p>
    <w:p>
      <w:pPr>
        <w:pStyle w:val="Heading2"/>
        <w:spacing w:after="160" w:before="280"/>
      </w:pPr>
      <w:r>
        <w:rPr>
          <w:rFonts w:ascii="Arial" w:cs="Arial" w:eastAsia="Arial" w:hAnsi="Arial"/>
          <w:b/>
          <w:bCs/>
          <w:color w:val="2E7D5E"/>
          <w:sz w:val="26"/>
          <w:szCs w:val="26"/>
        </w:rPr>
        <w:t xml:space="preserve">3.3 Trial &amp; Onboarding</w:t>
      </w:r>
    </w:p>
    <w:p>
      <w:pPr>
        <w:spacing w:after="160" w:line="300"/>
        <w:jc w:val="left"/>
      </w:pPr>
      <w:r>
        <w:rPr>
          <w:rFonts w:ascii="Arial" w:cs="Arial" w:eastAsia="Arial" w:hAnsi="Arial"/>
          <w:sz w:val="21"/>
          <w:szCs w:val="21"/>
        </w:rPr>
        <w:t xml:space="preserve">The 14-day, 500-row trial should be extended to 30 days. Fourteen days is too short for a researcher to encounter the tool, import a dataset, learn the interface, run an analysis, and decide to purchase. Thirty days matches SPSS's trial window and gives enough runway for a researcher to complete a pilot analysis.</w:t>
      </w:r>
    </w:p>
    <w:p>
      <w:pPr>
        <w:spacing w:after="160" w:line="300"/>
        <w:jc w:val="left"/>
      </w:pPr>
      <w:r>
        <w:rPr>
          <w:rFonts w:ascii="Arial" w:cs="Arial" w:eastAsia="Arial" w:hAnsi="Arial"/>
          <w:sz w:val="21"/>
          <w:szCs w:val="21"/>
        </w:rPr>
        <w:t xml:space="preserve">During the trial, every feature should be available. The row limit is the only constraint. The goal is to let researchers experience the full analytical workflow so that when they hit the paywall, they know exactly what they are paying for.</w:t>
      </w:r>
    </w:p>
    <w:p>
      <w:pPr>
        <w:pStyle w:val="Heading2"/>
        <w:spacing w:after="160" w:before="280"/>
      </w:pPr>
      <w:r>
        <w:rPr>
          <w:rFonts w:ascii="Arial" w:cs="Arial" w:eastAsia="Arial" w:hAnsi="Arial"/>
          <w:b/>
          <w:bCs/>
          <w:color w:val="2E7D5E"/>
          <w:sz w:val="26"/>
          <w:szCs w:val="26"/>
        </w:rPr>
        <w:t xml:space="preserve">3.4 Licensing Infrastructure</w:t>
      </w:r>
    </w:p>
    <w:p>
      <w:pPr>
        <w:spacing w:after="160" w:line="300"/>
        <w:jc w:val="left"/>
      </w:pPr>
      <w:r>
        <w:rPr>
          <w:rFonts w:ascii="Arial" w:cs="Arial" w:eastAsia="Arial" w:hAnsi="Arial"/>
          <w:sz w:val="21"/>
          <w:szCs w:val="21"/>
        </w:rPr>
        <w:t xml:space="preserve">Migrate from Gumroad to Lemon Squeezy. This aligns with the shared licensing module already planned across the SIM DAD product suite and provides subscription management, usage-based billing, and proper webhook support for activation and deactivation events. The machine fingerprint approach (SHA-256 of platform UUID) is sound. Retain the 14-day offline grace period for conference travel and field research scenarios.</w:t>
      </w:r>
    </w:p>
    <w:p>
      <w:r>
        <w:br w:type="page"/>
      </w:r>
    </w:p>
    <w:p>
      <w:pPr>
        <w:pStyle w:val="Heading1"/>
        <w:spacing w:after="200" w:before="360"/>
      </w:pPr>
      <w:r>
        <w:rPr>
          <w:rFonts w:ascii="Arial" w:cs="Arial" w:eastAsia="Arial" w:hAnsi="Arial"/>
          <w:b/>
          <w:bCs/>
          <w:color w:val="1E2A35"/>
          <w:sz w:val="32"/>
          <w:szCs w:val="32"/>
        </w:rPr>
        <w:t xml:space="preserve">4. Methodological Foundation</w:t>
      </w:r>
    </w:p>
    <w:p>
      <w:pPr>
        <w:pBdr>
          <w:left w:val="single" w:color="2E7D5E" w:sz="12" w:space="8"/>
        </w:pBdr>
        <w:spacing w:after="160" w:line="300"/>
        <w:ind w:left="360"/>
      </w:pPr>
      <w:r>
        <w:rPr>
          <w:rFonts w:ascii="Arial" w:cs="Arial" w:eastAsia="Arial" w:hAnsi="Arial"/>
          <w:i/>
          <w:iCs/>
          <w:color w:val="444444"/>
          <w:sz w:val="21"/>
          <w:szCs w:val="21"/>
        </w:rPr>
        <w:t xml:space="preserve">This is the most important section of the plan. If TASS gets the methodology wrong, nothing else matters. Researchers will not stake publications on a tool whose statistical output they cannot defend in peer review.</w:t>
      </w:r>
    </w:p>
    <w:p>
      <w:pPr>
        <w:pStyle w:val="Heading2"/>
        <w:spacing w:after="160" w:before="280"/>
      </w:pPr>
      <w:r>
        <w:rPr>
          <w:rFonts w:ascii="Arial" w:cs="Arial" w:eastAsia="Arial" w:hAnsi="Arial"/>
          <w:b/>
          <w:bCs/>
          <w:color w:val="2E7D5E"/>
          <w:sz w:val="26"/>
          <w:szCs w:val="26"/>
        </w:rPr>
        <w:t xml:space="preserve">4.1 The Standard Social Scientists Expect</w:t>
      </w:r>
    </w:p>
    <w:p>
      <w:pPr>
        <w:spacing w:after="160" w:line="300"/>
        <w:jc w:val="left"/>
      </w:pPr>
      <w:r>
        <w:rPr>
          <w:rFonts w:ascii="Arial" w:cs="Arial" w:eastAsia="Arial" w:hAnsi="Arial"/>
          <w:sz w:val="21"/>
          <w:szCs w:val="21"/>
        </w:rPr>
        <w:t xml:space="preserve">The target user has taken at least two statistics courses. They know what a p-value is and what assumptions underlie a t-test. They may not remember the formula for Cohen's d, but they know it exists and they expect to see it in output. Their mental model for statistical software was shaped by SPSS, and the patterns SPSS established are deeply ingrained: Variable View, assumption checks before tests, structured output blocks, APA-formatted results.</w:t>
      </w:r>
    </w:p>
    <w:p>
      <w:pPr>
        <w:spacing w:after="160" w:line="300"/>
        <w:jc w:val="left"/>
      </w:pPr>
      <w:r>
        <w:rPr>
          <w:rFonts w:ascii="Arial" w:cs="Arial" w:eastAsia="Arial" w:hAnsi="Arial"/>
          <w:sz w:val="21"/>
          <w:szCs w:val="21"/>
        </w:rPr>
        <w:t xml:space="preserve">TASS does not need to replicate SPSS's full feature set. It needs to replicate the epistemological posture: the assumption that every statistical claim should be accompanied by its assumptions, its effect size, and its confidence interval. This is the difference between a tool that produces numbers and a tool that produces defensible findings.</w:t>
      </w:r>
    </w:p>
    <w:p>
      <w:pPr>
        <w:pStyle w:val="Heading2"/>
        <w:spacing w:after="160" w:before="280"/>
      </w:pPr>
      <w:r>
        <w:rPr>
          <w:rFonts w:ascii="Arial" w:cs="Arial" w:eastAsia="Arial" w:hAnsi="Arial"/>
          <w:b/>
          <w:bCs/>
          <w:color w:val="2E7D5E"/>
          <w:sz w:val="26"/>
          <w:szCs w:val="26"/>
        </w:rPr>
        <w:t xml:space="preserve">4.2 Pre-Release Statistical Requirements (Gate Criteria)</w:t>
      </w:r>
    </w:p>
    <w:p>
      <w:pPr>
        <w:spacing w:after="160" w:line="300"/>
        <w:jc w:val="left"/>
      </w:pPr>
      <w:r>
        <w:rPr>
          <w:rFonts w:ascii="Arial" w:cs="Arial" w:eastAsia="Arial" w:hAnsi="Arial"/>
          <w:sz w:val="21"/>
          <w:szCs w:val="21"/>
        </w:rPr>
        <w:t xml:space="preserve">The following items are not v1.1 features. They are requirements for a v1.0 that a reviewer will not reject on methodological grounds.</w:t>
      </w:r>
    </w:p>
    <w:p>
      <w:pPr>
        <w:spacing w:after="120" w:before="200"/>
      </w:pPr>
      <w:r>
        <w:rPr>
          <w:rFonts w:ascii="Arial" w:cs="Arial" w:eastAsia="Arial" w:hAnsi="Arial"/>
          <w:b/>
          <w:bCs/>
          <w:color w:val="1E2A35"/>
          <w:sz w:val="22"/>
          <w:szCs w:val="22"/>
        </w:rPr>
        <w:t xml:space="preserve">4.2.1 Dunn's Test for Kruskal-Wallis Post-Hoc</w:t>
      </w:r>
    </w:p>
    <w:p>
      <w:pPr>
        <w:spacing w:after="160" w:line="300"/>
        <w:jc w:val="left"/>
      </w:pPr>
      <w:r>
        <w:rPr>
          <w:rFonts w:ascii="Arial" w:cs="Arial" w:eastAsia="Arial" w:hAnsi="Arial"/>
          <w:sz w:val="21"/>
          <w:szCs w:val="21"/>
        </w:rPr>
        <w:t xml:space="preserve">The current codebase uses Tukey HSD after Kruskal-Wallis. This is a genuine methodological error. Tukey HSD assumes normality and equal variances; a researcher who chose the nonparametric path specifically because those assumptions were violated should not then have post-hoc tests that reimpose those assumptions. Implement Dunn's test with Bonferroni correction. The scikit-posthocs dependency is worth adding for this; manually implementing Dunn's test introduces unnecessary validation risk.</w:t>
      </w:r>
    </w:p>
    <w:p>
      <w:pPr>
        <w:spacing w:after="120" w:before="200"/>
      </w:pPr>
      <w:r>
        <w:rPr>
          <w:rFonts w:ascii="Arial" w:cs="Arial" w:eastAsia="Arial" w:hAnsi="Arial"/>
          <w:b/>
          <w:bCs/>
          <w:color w:val="1E2A35"/>
          <w:sz w:val="22"/>
          <w:szCs w:val="22"/>
        </w:rPr>
        <w:t xml:space="preserve">4.2.2 Levene's Test for Homogeneity of Variance</w:t>
      </w:r>
    </w:p>
    <w:p>
      <w:pPr>
        <w:spacing w:after="160" w:line="300"/>
        <w:jc w:val="left"/>
      </w:pPr>
      <w:r>
        <w:rPr>
          <w:rFonts w:ascii="Arial" w:cs="Arial" w:eastAsia="Arial" w:hAnsi="Arial"/>
          <w:sz w:val="21"/>
          <w:szCs w:val="21"/>
        </w:rPr>
        <w:t xml:space="preserve">All three SPSS textbooks consulted during the audit treat Levene's test as mandatory output for t-tests and ANOVA. TASS uses Welch's t-test (which is robust to unequal variances), so the Levene's result does not change the test selection. But social scientists expect to see it, reviewers will look for it, and its presence signals methodological seriousness. Display it as a separate "Assumption Checks" row beneath each comparison, not as a column in the main results table. This mirrors SPSS's structured output approach.</w:t>
      </w:r>
    </w:p>
    <w:p>
      <w:pPr>
        <w:spacing w:after="120" w:before="200"/>
      </w:pPr>
      <w:r>
        <w:rPr>
          <w:rFonts w:ascii="Arial" w:cs="Arial" w:eastAsia="Arial" w:hAnsi="Arial"/>
          <w:b/>
          <w:bCs/>
          <w:color w:val="1E2A35"/>
          <w:sz w:val="22"/>
          <w:szCs w:val="22"/>
        </w:rPr>
        <w:t xml:space="preserve">4.2.3 Degrees of Freedom in All Output</w:t>
      </w:r>
    </w:p>
    <w:p>
      <w:pPr>
        <w:spacing w:after="160" w:line="300"/>
        <w:jc w:val="left"/>
      </w:pPr>
      <w:r>
        <w:rPr>
          <w:rFonts w:ascii="Arial" w:cs="Arial" w:eastAsia="Arial" w:hAnsi="Arial"/>
          <w:sz w:val="21"/>
          <w:szCs w:val="21"/>
        </w:rPr>
        <w:t xml:space="preserve">APA 7th Edition requires t(df) = X.XX and F(df1, df2) = X.XX formatting. This is non-negotiable for any tool claiming publication-ready export. Implement across the Compare panel, the APA export, and the Excel export.</w:t>
      </w:r>
    </w:p>
    <w:p>
      <w:pPr>
        <w:spacing w:after="120" w:before="200"/>
      </w:pPr>
      <w:r>
        <w:rPr>
          <w:rFonts w:ascii="Arial" w:cs="Arial" w:eastAsia="Arial" w:hAnsi="Arial"/>
          <w:b/>
          <w:bCs/>
          <w:color w:val="1E2A35"/>
          <w:sz w:val="22"/>
          <w:szCs w:val="22"/>
        </w:rPr>
        <w:t xml:space="preserve">4.2.4 Exact p-Value Formatting</w:t>
      </w:r>
    </w:p>
    <w:p>
      <w:pPr>
        <w:spacing w:after="160" w:line="300"/>
        <w:jc w:val="left"/>
      </w:pPr>
      <w:r>
        <w:rPr>
          <w:rFonts w:ascii="Arial" w:cs="Arial" w:eastAsia="Arial" w:hAnsi="Arial"/>
          <w:sz w:val="21"/>
          <w:szCs w:val="21"/>
        </w:rPr>
        <w:t xml:space="preserve">APA 7th Edition prefers exact p-values (p = .006) with no leading zero, using p &lt; .001 only when the value genuinely rounds below .001. The current implementation should be audited against this standard across all output locations: Compare panel, APA export, correlation matrix, and Excel sheets.</w:t>
      </w:r>
    </w:p>
    <w:p>
      <w:pPr>
        <w:spacing w:after="120" w:before="200"/>
      </w:pPr>
      <w:r>
        <w:rPr>
          <w:rFonts w:ascii="Arial" w:cs="Arial" w:eastAsia="Arial" w:hAnsi="Arial"/>
          <w:b/>
          <w:bCs/>
          <w:color w:val="1E2A35"/>
          <w:sz w:val="22"/>
          <w:szCs w:val="22"/>
        </w:rPr>
        <w:t xml:space="preserve">4.2.5 Effect Size Interpretation Labels</w:t>
      </w:r>
    </w:p>
    <w:p>
      <w:pPr>
        <w:spacing w:after="160" w:line="300"/>
        <w:jc w:val="left"/>
      </w:pPr>
      <w:r>
        <w:rPr>
          <w:rFonts w:ascii="Arial" w:cs="Arial" w:eastAsia="Arial" w:hAnsi="Arial"/>
          <w:sz w:val="21"/>
          <w:szCs w:val="21"/>
        </w:rPr>
        <w:t xml:space="preserve">Cohen's d thresholds (small &lt; 0.2, medium 0.2 to 0.8, large &gt; 0.8) and eta-squared thresholds (small &lt; .01, medium .01 to .06, large &gt; .14) should appear in the Compare panel as a secondary label beneath the effect size value. These labels should also appear in the APA export. The rationale is pedagogical: many researchers, particularly students, do not have these thresholds memorized and should not need to leave the application to interpret effect sizes.</w:t>
      </w:r>
    </w:p>
    <w:p>
      <w:pPr>
        <w:spacing w:after="120" w:before="200"/>
      </w:pPr>
      <w:r>
        <w:rPr>
          <w:rFonts w:ascii="Arial" w:cs="Arial" w:eastAsia="Arial" w:hAnsi="Arial"/>
          <w:b/>
          <w:bCs/>
          <w:color w:val="1E2A35"/>
          <w:sz w:val="22"/>
          <w:szCs w:val="22"/>
        </w:rPr>
        <w:t xml:space="preserve">4.2.6 N-Gram Dictionary Support</w:t>
      </w:r>
    </w:p>
    <w:p>
      <w:pPr>
        <w:spacing w:after="160" w:line="300"/>
        <w:jc w:val="left"/>
      </w:pPr>
      <w:r>
        <w:rPr>
          <w:rFonts w:ascii="Arial" w:cs="Arial" w:eastAsia="Arial" w:hAnsi="Arial"/>
          <w:sz w:val="21"/>
          <w:szCs w:val="21"/>
        </w:rPr>
        <w:t xml:space="preserve">This is the single most consequential methodological gap. Unigram-only matching cannot handle negation ("not happy" scored as two separate, potentially positive words), common phrases ("climate change," "social media"), or idiomatic expressions ("break a leg"). This is not an edge case; it is a well-documented limitation that every NLP reference flags as the primary weakness of bag-of-words analysis.</w:t>
      </w:r>
    </w:p>
    <w:p>
      <w:pPr>
        <w:spacing w:after="160" w:line="300"/>
        <w:jc w:val="left"/>
      </w:pPr>
      <w:r>
        <w:rPr>
          <w:rFonts w:ascii="Arial" w:cs="Arial" w:eastAsia="Arial" w:hAnsi="Arial"/>
          <w:sz w:val="21"/>
          <w:szCs w:val="21"/>
        </w:rPr>
        <w:t xml:space="preserve">Implementation approach: dictionary JSON format should use space-separated strings ("not happy") rather than array notation. The preprocessing pipeline should generate bigram and trigram token sequences alongside unigrams, and the matching engine should check n-gram dictionaries against these sequences before falling back to unigram matching. N-gram matches should take priority to prevent double-counting (if "not happy" matches a bigram entry, neither "not" nor "happy" should also match unigram entries in the same dictionary).</w:t>
      </w:r>
    </w:p>
    <w:p>
      <w:pPr>
        <w:pStyle w:val="Heading2"/>
        <w:spacing w:after="160" w:before="280"/>
      </w:pPr>
      <w:r>
        <w:rPr>
          <w:rFonts w:ascii="Arial" w:cs="Arial" w:eastAsia="Arial" w:hAnsi="Arial"/>
          <w:b/>
          <w:bCs/>
          <w:color w:val="2E7D5E"/>
          <w:sz w:val="26"/>
          <w:szCs w:val="26"/>
        </w:rPr>
        <w:t xml:space="preserve">4.3 Structured Output Viewer</w:t>
      </w:r>
    </w:p>
    <w:p>
      <w:pPr>
        <w:spacing w:after="160" w:line="300"/>
        <w:jc w:val="left"/>
      </w:pPr>
      <w:r>
        <w:rPr>
          <w:rFonts w:ascii="Arial" w:cs="Arial" w:eastAsia="Arial" w:hAnsi="Arial"/>
          <w:sz w:val="21"/>
          <w:szCs w:val="21"/>
        </w:rPr>
        <w:t xml:space="preserve">This is the architectural decision that most directly determines whether TASS feels like SPSS or like a toy. The current design presents comparison results in a single flat table. SPSS presents structured output: descriptives first, then assumption checks, then test results, then post-hoc comparisons, each as a discrete, labeled block.</w:t>
      </w:r>
    </w:p>
    <w:p>
      <w:pPr>
        <w:spacing w:after="160" w:line="300"/>
        <w:jc w:val="left"/>
      </w:pPr>
      <w:r>
        <w:rPr>
          <w:rFonts w:ascii="Arial" w:cs="Arial" w:eastAsia="Arial" w:hAnsi="Arial"/>
          <w:sz w:val="21"/>
          <w:szCs w:val="21"/>
        </w:rPr>
        <w:t xml:space="preserve">TASS should adopt this pattern. When a researcher runs a group comparison, the results panel should display:</w:t>
      </w:r>
    </w:p>
    <w:p>
      <w:pPr>
        <w:pStyle w:val="ListParagraph"/>
        <w:numPr>
          <w:ilvl w:val="0"/>
          <w:numId w:val="3"/>
        </w:numPr>
        <w:spacing w:after="80" w:line="300"/>
      </w:pPr>
      <w:r>
        <w:rPr>
          <w:rFonts w:ascii="Arial" w:cs="Arial" w:eastAsia="Arial" w:hAnsi="Arial"/>
          <w:b/>
          <w:bCs/>
          <w:sz w:val="21"/>
          <w:szCs w:val="21"/>
        </w:rPr>
        <w:t xml:space="preserve">Descriptive Statistics </w:t>
      </w:r>
      <w:r>
        <w:rPr>
          <w:rFonts w:ascii="Arial" w:cs="Arial" w:eastAsia="Arial" w:hAnsi="Arial"/>
          <w:sz w:val="21"/>
          <w:szCs w:val="21"/>
        </w:rPr>
        <w:t xml:space="preserve">block: N, Mean, SD, Median, Min, Max per group per category.</w:t>
      </w:r>
    </w:p>
    <w:p>
      <w:pPr>
        <w:pStyle w:val="ListParagraph"/>
        <w:numPr>
          <w:ilvl w:val="0"/>
          <w:numId w:val="3"/>
        </w:numPr>
        <w:spacing w:after="80" w:line="300"/>
      </w:pPr>
      <w:r>
        <w:rPr>
          <w:rFonts w:ascii="Arial" w:cs="Arial" w:eastAsia="Arial" w:hAnsi="Arial"/>
          <w:b/>
          <w:bCs/>
          <w:sz w:val="21"/>
          <w:szCs w:val="21"/>
        </w:rPr>
        <w:t xml:space="preserve">Assumption Checks </w:t>
      </w:r>
      <w:r>
        <w:rPr>
          <w:rFonts w:ascii="Arial" w:cs="Arial" w:eastAsia="Arial" w:hAnsi="Arial"/>
          <w:sz w:val="21"/>
          <w:szCs w:val="21"/>
        </w:rPr>
        <w:t xml:space="preserve">block: Shapiro-Wilk normality per group (W, p, pass/fail) and Levene's test (F, p, pass/fail).</w:t>
      </w:r>
    </w:p>
    <w:p>
      <w:pPr>
        <w:pStyle w:val="ListParagraph"/>
        <w:numPr>
          <w:ilvl w:val="0"/>
          <w:numId w:val="3"/>
        </w:numPr>
        <w:spacing w:after="80" w:line="300"/>
      </w:pPr>
      <w:r>
        <w:rPr>
          <w:rFonts w:ascii="Arial" w:cs="Arial" w:eastAsia="Arial" w:hAnsi="Arial"/>
          <w:b/>
          <w:bCs/>
          <w:sz w:val="21"/>
          <w:szCs w:val="21"/>
        </w:rPr>
        <w:t xml:space="preserve">Inferential Test Results </w:t>
      </w:r>
      <w:r>
        <w:rPr>
          <w:rFonts w:ascii="Arial" w:cs="Arial" w:eastAsia="Arial" w:hAnsi="Arial"/>
          <w:sz w:val="21"/>
          <w:szCs w:val="21"/>
        </w:rPr>
        <w:t xml:space="preserve">block: test name, statistic, df, p-value, effect size, effect size label, 95% CIs.</w:t>
      </w:r>
    </w:p>
    <w:p>
      <w:pPr>
        <w:pStyle w:val="ListParagraph"/>
        <w:numPr>
          <w:ilvl w:val="0"/>
          <w:numId w:val="3"/>
        </w:numPr>
        <w:spacing w:after="80" w:line="300"/>
      </w:pPr>
      <w:r>
        <w:rPr>
          <w:rFonts w:ascii="Arial" w:cs="Arial" w:eastAsia="Arial" w:hAnsi="Arial"/>
          <w:b/>
          <w:bCs/>
          <w:sz w:val="21"/>
          <w:szCs w:val="21"/>
        </w:rPr>
        <w:t xml:space="preserve">Post-Hoc Comparisons </w:t>
      </w:r>
      <w:r>
        <w:rPr>
          <w:rFonts w:ascii="Arial" w:cs="Arial" w:eastAsia="Arial" w:hAnsi="Arial"/>
          <w:sz w:val="21"/>
          <w:szCs w:val="21"/>
        </w:rPr>
        <w:t xml:space="preserve">block (when applicable): pairwise comparisons, adjusted p-values, significance markers.</w:t>
      </w:r>
    </w:p>
    <w:p>
      <w:pPr>
        <w:spacing w:after="160" w:line="300"/>
        <w:jc w:val="left"/>
      </w:pPr>
      <w:r>
        <w:rPr>
          <w:rFonts w:ascii="Arial" w:cs="Arial" w:eastAsia="Arial" w:hAnsi="Arial"/>
          <w:sz w:val="21"/>
          <w:szCs w:val="21"/>
        </w:rPr>
        <w:t xml:space="preserve">Each block should be collapsible, with all blocks expanded by default. This structure maps directly to the sections of a quantitative methods paper and directly to the output students see in SPSS courses.</w:t>
      </w:r>
    </w:p>
    <w:p>
      <w:pPr>
        <w:pStyle w:val="Heading2"/>
        <w:spacing w:after="160" w:before="280"/>
      </w:pPr>
      <w:r>
        <w:rPr>
          <w:rFonts w:ascii="Arial" w:cs="Arial" w:eastAsia="Arial" w:hAnsi="Arial"/>
          <w:b/>
          <w:bCs/>
          <w:color w:val="2E7D5E"/>
          <w:sz w:val="26"/>
          <w:szCs w:val="26"/>
        </w:rPr>
        <w:t xml:space="preserve">4.4 Answers to the Open Questions</w:t>
      </w:r>
    </w:p>
    <w:p>
      <w:pPr>
        <w:spacing w:after="160" w:line="300"/>
        <w:jc w:val="left"/>
      </w:pPr>
      <w:r>
        <w:rPr>
          <w:rFonts w:ascii="Arial" w:cs="Arial" w:eastAsia="Arial" w:hAnsi="Arial"/>
          <w:sz w:val="21"/>
          <w:szCs w:val="21"/>
        </w:rPr>
        <w:t xml:space="preserve">The capabilities document posed ten open questions. Here are concrete recommendations for each:</w:t>
      </w:r>
    </w:p>
    <w:p>
      <w:pPr>
        <w:spacing w:after="120" w:before="200"/>
      </w:pPr>
      <w:r>
        <w:rPr>
          <w:rFonts w:ascii="Arial" w:cs="Arial" w:eastAsia="Arial" w:hAnsi="Arial"/>
          <w:b/>
          <w:bCs/>
          <w:color w:val="1E2A35"/>
          <w:sz w:val="22"/>
          <w:szCs w:val="22"/>
        </w:rPr>
        <w:t xml:space="preserve">Q1: Dunn's Test Implementation</w:t>
      </w:r>
    </w:p>
    <w:p>
      <w:pPr>
        <w:spacing w:after="160" w:line="300"/>
        <w:jc w:val="left"/>
      </w:pPr>
      <w:r>
        <w:rPr>
          <w:rFonts w:ascii="Arial" w:cs="Arial" w:eastAsia="Arial" w:hAnsi="Arial"/>
          <w:sz w:val="21"/>
          <w:szCs w:val="21"/>
        </w:rPr>
        <w:t xml:space="preserve">Use scikit-posthocs. The dependency is small, well-maintained, and eliminates the validation burden of a manual implementation. The alternative, scipy.stats.kruskal plus hand-rolled pairwise comparisons, introduces unnecessary risk for a pre-release product.</w:t>
      </w:r>
    </w:p>
    <w:p>
      <w:pPr>
        <w:spacing w:after="120" w:before="200"/>
      </w:pPr>
      <w:r>
        <w:rPr>
          <w:rFonts w:ascii="Arial" w:cs="Arial" w:eastAsia="Arial" w:hAnsi="Arial"/>
          <w:b/>
          <w:bCs/>
          <w:color w:val="1E2A35"/>
          <w:sz w:val="22"/>
          <w:szCs w:val="22"/>
        </w:rPr>
        <w:t xml:space="preserve">Q2: N-Gram Dictionary Format</w:t>
      </w:r>
    </w:p>
    <w:p>
      <w:pPr>
        <w:spacing w:after="160" w:line="300"/>
        <w:jc w:val="left"/>
      </w:pPr>
      <w:r>
        <w:rPr>
          <w:rFonts w:ascii="Arial" w:cs="Arial" w:eastAsia="Arial" w:hAnsi="Arial"/>
          <w:sz w:val="21"/>
          <w:szCs w:val="21"/>
        </w:rPr>
        <w:t xml:space="preserve">Space-separated strings ("not happy"). This is more readable in JSON, easier to author for custom dictionary creators, and consistent with how LIWC handles phrases. Array notation adds complexity without benefit.</w:t>
      </w:r>
    </w:p>
    <w:p>
      <w:pPr>
        <w:spacing w:after="120" w:before="200"/>
      </w:pPr>
      <w:r>
        <w:rPr>
          <w:rFonts w:ascii="Arial" w:cs="Arial" w:eastAsia="Arial" w:hAnsi="Arial"/>
          <w:b/>
          <w:bCs/>
          <w:color w:val="1E2A35"/>
          <w:sz w:val="22"/>
          <w:szCs w:val="22"/>
        </w:rPr>
        <w:t xml:space="preserve">Q3: Levene's Test Display</w:t>
      </w:r>
    </w:p>
    <w:p>
      <w:pPr>
        <w:spacing w:after="160" w:line="300"/>
        <w:jc w:val="left"/>
      </w:pPr>
      <w:r>
        <w:rPr>
          <w:rFonts w:ascii="Arial" w:cs="Arial" w:eastAsia="Arial" w:hAnsi="Arial"/>
          <w:sz w:val="21"/>
          <w:szCs w:val="21"/>
        </w:rPr>
        <w:t xml:space="preserve">Separate Assumption Checks block in the structured output viewer. Not a column, not a tooltip. A visible, labeled section that reviewers can screenshot.</w:t>
      </w:r>
    </w:p>
    <w:p>
      <w:pPr>
        <w:spacing w:after="120" w:before="200"/>
      </w:pPr>
      <w:r>
        <w:rPr>
          <w:rFonts w:ascii="Arial" w:cs="Arial" w:eastAsia="Arial" w:hAnsi="Arial"/>
          <w:b/>
          <w:bCs/>
          <w:color w:val="1E2A35"/>
          <w:sz w:val="22"/>
          <w:szCs w:val="22"/>
        </w:rPr>
        <w:t xml:space="preserve">Q4: Effect Size Labels</w:t>
      </w:r>
    </w:p>
    <w:p>
      <w:pPr>
        <w:spacing w:after="160" w:line="300"/>
        <w:jc w:val="left"/>
      </w:pPr>
      <w:r>
        <w:rPr>
          <w:rFonts w:ascii="Arial" w:cs="Arial" w:eastAsia="Arial" w:hAnsi="Arial"/>
          <w:sz w:val="21"/>
          <w:szCs w:val="21"/>
        </w:rPr>
        <w:t xml:space="preserve">Inline in the results block (small/medium/large as a secondary label beneath the numeric value) and in the APA export. Not tooltips; tooltips hide information that should be visible.</w:t>
      </w:r>
    </w:p>
    <w:p>
      <w:pPr>
        <w:spacing w:after="120" w:before="200"/>
      </w:pPr>
      <w:r>
        <w:rPr>
          <w:rFonts w:ascii="Arial" w:cs="Arial" w:eastAsia="Arial" w:hAnsi="Arial"/>
          <w:b/>
          <w:bCs/>
          <w:color w:val="1E2A35"/>
          <w:sz w:val="22"/>
          <w:szCs w:val="22"/>
        </w:rPr>
        <w:t xml:space="preserve">Q5: Spearman Correlation Toggle</w:t>
      </w:r>
    </w:p>
    <w:p>
      <w:pPr>
        <w:spacing w:after="160" w:line="300"/>
        <w:jc w:val="left"/>
      </w:pPr>
      <w:r>
        <w:rPr>
          <w:rFonts w:ascii="Arial" w:cs="Arial" w:eastAsia="Arial" w:hAnsi="Arial"/>
          <w:sz w:val="21"/>
          <w:szCs w:val="21"/>
        </w:rPr>
        <w:t xml:space="preserve">Expose as a toggle in the Correlations tab. Do not auto-select based on normality. The researcher should make this decision consciously, and the choice should be documented in the export metadata. Auto-selection obscures a methodological decision that belongs to the researcher.</w:t>
      </w:r>
    </w:p>
    <w:p>
      <w:pPr>
        <w:spacing w:after="120" w:before="200"/>
      </w:pPr>
      <w:r>
        <w:rPr>
          <w:rFonts w:ascii="Arial" w:cs="Arial" w:eastAsia="Arial" w:hAnsi="Arial"/>
          <w:b/>
          <w:bCs/>
          <w:color w:val="1E2A35"/>
          <w:sz w:val="22"/>
          <w:szCs w:val="22"/>
        </w:rPr>
        <w:t xml:space="preserve">Q6: FDR vs. Bonferroni</w:t>
      </w:r>
    </w:p>
    <w:p>
      <w:pPr>
        <w:spacing w:after="160" w:line="300"/>
        <w:jc w:val="left"/>
      </w:pPr>
      <w:r>
        <w:rPr>
          <w:rFonts w:ascii="Arial" w:cs="Arial" w:eastAsia="Arial" w:hAnsi="Arial"/>
          <w:sz w:val="21"/>
          <w:szCs w:val="21"/>
        </w:rPr>
        <w:t xml:space="preserve">Offer both as radio buttons in the Compare panel, with Bonferroni as the default. Bonferroni is more conservative and more widely understood; FDR (Benjamini-Hochberg) is the better correction for exploratory analyses with many comparisons. Defaulting to Bonferroni protects less experienced users from overstating significance.</w:t>
      </w:r>
    </w:p>
    <w:p>
      <w:pPr>
        <w:spacing w:after="120" w:before="200"/>
      </w:pPr>
      <w:r>
        <w:rPr>
          <w:rFonts w:ascii="Arial" w:cs="Arial" w:eastAsia="Arial" w:hAnsi="Arial"/>
          <w:b/>
          <w:bCs/>
          <w:color w:val="1E2A35"/>
          <w:sz w:val="22"/>
          <w:szCs w:val="22"/>
        </w:rPr>
        <w:t xml:space="preserve">Q7: Variable Role Assignment</w:t>
      </w:r>
    </w:p>
    <w:p>
      <w:pPr>
        <w:spacing w:after="160" w:line="300"/>
        <w:jc w:val="left"/>
      </w:pPr>
      <w:r>
        <w:rPr>
          <w:rFonts w:ascii="Arial" w:cs="Arial" w:eastAsia="Arial" w:hAnsi="Arial"/>
          <w:sz w:val="21"/>
          <w:szCs w:val="21"/>
        </w:rPr>
        <w:t xml:space="preserve">Not for v1.0. The current import wizard with auto-detection is sufficient for the target audience, and adding a Variable View step creates friction without proportional benefit. TASS's data model is simpler than SPSS's: there is one text column, one optional group column, and metadata. Revisit if user feedback reveals confusion about column roles.</w:t>
      </w:r>
    </w:p>
    <w:p>
      <w:pPr>
        <w:spacing w:after="120" w:before="200"/>
      </w:pPr>
      <w:r>
        <w:rPr>
          <w:rFonts w:ascii="Arial" w:cs="Arial" w:eastAsia="Arial" w:hAnsi="Arial"/>
          <w:b/>
          <w:bCs/>
          <w:color w:val="1E2A35"/>
          <w:sz w:val="22"/>
          <w:szCs w:val="22"/>
        </w:rPr>
        <w:t xml:space="preserve">Q8: Test Selector Wizard</w:t>
      </w:r>
    </w:p>
    <w:p>
      <w:pPr>
        <w:spacing w:after="160" w:line="300"/>
        <w:jc w:val="left"/>
      </w:pPr>
      <w:r>
        <w:rPr>
          <w:rFonts w:ascii="Arial" w:cs="Arial" w:eastAsia="Arial" w:hAnsi="Arial"/>
          <w:sz w:val="21"/>
          <w:szCs w:val="21"/>
        </w:rPr>
        <w:t xml:space="preserve">Yes, add it, but as an optional guidance tool, not a mandatory step. Present it as a sidebar helper or an info button next to the test selection controls. The wizard should ask: How many groups? Is your data normally distributed? And then recommend the appropriate test. This is genuinely helpful for graduate students without patronizing experienced researchers, because it is opt-in.</w:t>
      </w:r>
    </w:p>
    <w:p>
      <w:pPr>
        <w:spacing w:after="120" w:before="200"/>
      </w:pPr>
      <w:r>
        <w:rPr>
          <w:rFonts w:ascii="Arial" w:cs="Arial" w:eastAsia="Arial" w:hAnsi="Arial"/>
          <w:b/>
          <w:bCs/>
          <w:color w:val="1E2A35"/>
          <w:sz w:val="22"/>
          <w:szCs w:val="22"/>
        </w:rPr>
        <w:t xml:space="preserve">Q9: Paired-Samples t-Test</w:t>
      </w:r>
    </w:p>
    <w:p>
      <w:pPr>
        <w:spacing w:after="160" w:line="300"/>
        <w:jc w:val="left"/>
      </w:pPr>
      <w:r>
        <w:rPr>
          <w:rFonts w:ascii="Arial" w:cs="Arial" w:eastAsia="Arial" w:hAnsi="Arial"/>
          <w:sz w:val="21"/>
          <w:szCs w:val="21"/>
        </w:rPr>
        <w:t xml:space="preserve">v1.1, not v1.0. Pre/post text analysis (measuring the same participants' language at two time points) is a legitimate use case, but it requires a more complex data model (matching entries across time points) and is less common than independent-group comparisons in the target audience's workflows.</w:t>
      </w:r>
    </w:p>
    <w:p>
      <w:pPr>
        <w:spacing w:after="120" w:before="200"/>
      </w:pPr>
      <w:r>
        <w:rPr>
          <w:rFonts w:ascii="Arial" w:cs="Arial" w:eastAsia="Arial" w:hAnsi="Arial"/>
          <w:b/>
          <w:bCs/>
          <w:color w:val="1E2A35"/>
          <w:sz w:val="22"/>
          <w:szCs w:val="22"/>
        </w:rPr>
        <w:t xml:space="preserve">Q10: TF-IDF Normalization</w:t>
      </w:r>
    </w:p>
    <w:p>
      <w:pPr>
        <w:spacing w:after="160" w:line="300"/>
        <w:jc w:val="left"/>
      </w:pPr>
      <w:r>
        <w:rPr>
          <w:rFonts w:ascii="Arial" w:cs="Arial" w:eastAsia="Arial" w:hAnsi="Arial"/>
          <w:sz w:val="21"/>
          <w:szCs w:val="21"/>
        </w:rPr>
        <w:t xml:space="preserve">Implement as a separate scoring mode alongside binary, count, and weighted, not as a preprocessing option. TF-IDF is conceptually a different way of defining what a dictionary match means, not a text-cleaning step. Label it clearly and provide in-app documentation explaining when TF-IDF normalization is appropriate (large corpora with variable document lengths where term informativeness matters).</w:t>
      </w:r>
    </w:p>
    <w:p>
      <w:r>
        <w:br w:type="page"/>
      </w:r>
    </w:p>
    <w:p>
      <w:pPr>
        <w:pStyle w:val="Heading1"/>
        <w:spacing w:after="200" w:before="360"/>
      </w:pPr>
      <w:r>
        <w:rPr>
          <w:rFonts w:ascii="Arial" w:cs="Arial" w:eastAsia="Arial" w:hAnsi="Arial"/>
          <w:b/>
          <w:bCs/>
          <w:color w:val="1E2A35"/>
          <w:sz w:val="32"/>
          <w:szCs w:val="32"/>
        </w:rPr>
        <w:t xml:space="preserve">5. Feature Roadmap</w:t>
      </w:r>
    </w:p>
    <w:p>
      <w:pPr>
        <w:pStyle w:val="Heading2"/>
        <w:spacing w:after="160" w:before="280"/>
      </w:pPr>
      <w:r>
        <w:rPr>
          <w:rFonts w:ascii="Arial" w:cs="Arial" w:eastAsia="Arial" w:hAnsi="Arial"/>
          <w:b/>
          <w:bCs/>
          <w:color w:val="2E7D5E"/>
          <w:sz w:val="26"/>
          <w:szCs w:val="26"/>
        </w:rPr>
        <w:t xml:space="preserve">5.1 v1.0 Launch Requirements (May 2026)</w:t>
      </w:r>
    </w:p>
    <w:p>
      <w:pPr>
        <w:spacing w:after="160" w:line="300"/>
        <w:jc w:val="left"/>
      </w:pPr>
      <w:r>
        <w:rPr>
          <w:rFonts w:ascii="Arial" w:cs="Arial" w:eastAsia="Arial" w:hAnsi="Arial"/>
          <w:sz w:val="21"/>
          <w:szCs w:val="21"/>
        </w:rPr>
        <w:t xml:space="preserve">Every item in this list must be complete, tested, and documented before launch. These are not aspirational; they are the minimum viable product for a tool that claims to be the professional alternative to LIWC.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6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Dunn's test post-hoc for Kruskal-Wallis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Methodological correctness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Levene's test assumption check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Reviewer expectations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Degrees of freedom in all output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 7th 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p-value formatting (no leading zero)</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 7th compliance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Effect size interpretation labels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Pedagogical value, reviewer trust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N-gram dictionary support (bigrams, trigrams)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Scoring accuracy; the biggest BoW limitation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output viewer (4 blocks)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SPSS parity, professional credibility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Spearman correlation toggle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Already implemented in engine; just needs UI exposure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FDR (Benjamini-Hochberg) correction option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for multi-comparison exploratory analysis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selector wizard (optional sidebar)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for grad students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TF-IDF scoring mode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 informativeness for large corpora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Lemon Squeezy subscription licensing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infrastructure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30-day trial (up from 14)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Adequate evaluation window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Comprehensive in-app documentation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Self-service onboarding, reduces support load</w:t>
            </w:r>
          </w:p>
        </w:tc>
      </w:tr>
    </w:tbl>
    <w:p>
      <w:pPr>
        <w:spacing w:after="120"/>
      </w:pPr>
    </w:p>
    <w:p>
      <w:pPr>
        <w:pStyle w:val="Heading2"/>
        <w:spacing w:after="160" w:before="280"/>
      </w:pPr>
      <w:r>
        <w:rPr>
          <w:rFonts w:ascii="Arial" w:cs="Arial" w:eastAsia="Arial" w:hAnsi="Arial"/>
          <w:b/>
          <w:bCs/>
          <w:color w:val="2E7D5E"/>
          <w:sz w:val="26"/>
          <w:szCs w:val="26"/>
        </w:rPr>
        <w:t xml:space="preserve">5.2 v1.1 (Q3 2026)</w:t>
      </w:r>
    </w:p>
    <w:p>
      <w:pPr>
        <w:pStyle w:val="ListParagraph"/>
        <w:numPr>
          <w:ilvl w:val="0"/>
          <w:numId w:val="2"/>
        </w:numPr>
        <w:spacing w:after="80" w:line="300"/>
      </w:pPr>
      <w:r>
        <w:rPr>
          <w:rFonts w:ascii="Arial" w:cs="Arial" w:eastAsia="Arial" w:hAnsi="Arial"/>
          <w:sz w:val="21"/>
          <w:szCs w:val="21"/>
        </w:rPr>
        <w:t xml:space="preserve">Paired-samples t-test and Wilcoxon signed-rank test</w:t>
      </w:r>
    </w:p>
    <w:p>
      <w:pPr>
        <w:pStyle w:val="ListParagraph"/>
        <w:numPr>
          <w:ilvl w:val="0"/>
          <w:numId w:val="2"/>
        </w:numPr>
        <w:spacing w:after="80" w:line="300"/>
      </w:pPr>
      <w:r>
        <w:rPr>
          <w:rFonts w:ascii="Arial" w:cs="Arial" w:eastAsia="Arial" w:hAnsi="Arial"/>
          <w:sz w:val="21"/>
          <w:szCs w:val="21"/>
        </w:rPr>
        <w:t xml:space="preserve">Factorial (two-way) ANOVA with interaction effects</w:t>
      </w:r>
    </w:p>
    <w:p>
      <w:pPr>
        <w:pStyle w:val="ListParagraph"/>
        <w:numPr>
          <w:ilvl w:val="0"/>
          <w:numId w:val="2"/>
        </w:numPr>
        <w:spacing w:after="80" w:line="300"/>
      </w:pPr>
      <w:r>
        <w:rPr>
          <w:rFonts w:ascii="Arial" w:cs="Arial" w:eastAsia="Arial" w:hAnsi="Arial"/>
          <w:sz w:val="21"/>
          <w:szCs w:val="21"/>
        </w:rPr>
        <w:t xml:space="preserve">macOS build and notarization</w:t>
      </w:r>
    </w:p>
    <w:p>
      <w:pPr>
        <w:pStyle w:val="ListParagraph"/>
        <w:numPr>
          <w:ilvl w:val="0"/>
          <w:numId w:val="2"/>
        </w:numPr>
        <w:spacing w:after="80" w:line="300"/>
      </w:pPr>
      <w:r>
        <w:rPr>
          <w:rFonts w:ascii="Arial" w:cs="Arial" w:eastAsia="Arial" w:hAnsi="Arial"/>
          <w:sz w:val="21"/>
          <w:szCs w:val="21"/>
        </w:rPr>
        <w:t xml:space="preserve">LIWC .dic format import (for users with existing custom dictionaries)</w:t>
      </w:r>
    </w:p>
    <w:p>
      <w:pPr>
        <w:pStyle w:val="ListParagraph"/>
        <w:numPr>
          <w:ilvl w:val="0"/>
          <w:numId w:val="2"/>
        </w:numPr>
        <w:spacing w:after="80" w:line="300"/>
      </w:pPr>
      <w:r>
        <w:rPr>
          <w:rFonts w:ascii="Arial" w:cs="Arial" w:eastAsia="Arial" w:hAnsi="Arial"/>
          <w:sz w:val="21"/>
          <w:szCs w:val="21"/>
        </w:rPr>
        <w:t xml:space="preserve">Concordance plot (positional hit visualization)</w:t>
      </w:r>
    </w:p>
    <w:p>
      <w:pPr>
        <w:pStyle w:val="ListParagraph"/>
        <w:numPr>
          <w:ilvl w:val="0"/>
          <w:numId w:val="2"/>
        </w:numPr>
        <w:spacing w:after="80" w:line="300"/>
      </w:pPr>
      <w:r>
        <w:rPr>
          <w:rFonts w:ascii="Arial" w:cs="Arial" w:eastAsia="Arial" w:hAnsi="Arial"/>
          <w:sz w:val="21"/>
          <w:szCs w:val="21"/>
        </w:rPr>
        <w:t xml:space="preserve">Post-hoc test selection (Tukey vs. Bonferroni vs. Scheffe)</w:t>
      </w:r>
    </w:p>
    <w:p>
      <w:pPr>
        <w:pStyle w:val="Heading2"/>
        <w:spacing w:after="160" w:before="280"/>
      </w:pPr>
      <w:r>
        <w:rPr>
          <w:rFonts w:ascii="Arial" w:cs="Arial" w:eastAsia="Arial" w:hAnsi="Arial"/>
          <w:b/>
          <w:bCs/>
          <w:color w:val="2E7D5E"/>
          <w:sz w:val="26"/>
          <w:szCs w:val="26"/>
        </w:rPr>
        <w:t xml:space="preserve">5.3 v1.2 (Q4 2026)</w:t>
      </w:r>
    </w:p>
    <w:p>
      <w:pPr>
        <w:pStyle w:val="ListParagraph"/>
        <w:numPr>
          <w:ilvl w:val="0"/>
          <w:numId w:val="2"/>
        </w:numPr>
        <w:spacing w:after="80" w:line="300"/>
      </w:pPr>
      <w:r>
        <w:rPr>
          <w:rFonts w:ascii="Arial" w:cs="Arial" w:eastAsia="Arial" w:hAnsi="Arial"/>
          <w:sz w:val="21"/>
          <w:szCs w:val="21"/>
        </w:rPr>
        <w:t xml:space="preserve">Linear and multiple regression (dictionary scores as predictors)</w:t>
      </w:r>
    </w:p>
    <w:p>
      <w:pPr>
        <w:pStyle w:val="ListParagraph"/>
        <w:numPr>
          <w:ilvl w:val="0"/>
          <w:numId w:val="2"/>
        </w:numPr>
        <w:spacing w:after="80" w:line="300"/>
      </w:pPr>
      <w:r>
        <w:rPr>
          <w:rFonts w:ascii="Arial" w:cs="Arial" w:eastAsia="Arial" w:hAnsi="Arial"/>
          <w:sz w:val="21"/>
          <w:szCs w:val="21"/>
        </w:rPr>
        <w:t xml:space="preserve">Chi-square tests for categorical dictionary classifications</w:t>
      </w:r>
    </w:p>
    <w:p>
      <w:pPr>
        <w:pStyle w:val="ListParagraph"/>
        <w:numPr>
          <w:ilvl w:val="0"/>
          <w:numId w:val="2"/>
        </w:numPr>
        <w:spacing w:after="80" w:line="300"/>
      </w:pPr>
      <w:r>
        <w:rPr>
          <w:rFonts w:ascii="Arial" w:cs="Arial" w:eastAsia="Arial" w:hAnsi="Arial"/>
          <w:sz w:val="21"/>
          <w:szCs w:val="21"/>
        </w:rPr>
        <w:t xml:space="preserve">ANCOVA/MANOVA for controlling covariates</w:t>
      </w:r>
    </w:p>
    <w:p>
      <w:pPr>
        <w:pStyle w:val="ListParagraph"/>
        <w:numPr>
          <w:ilvl w:val="0"/>
          <w:numId w:val="2"/>
        </w:numPr>
        <w:spacing w:after="80" w:line="300"/>
      </w:pPr>
      <w:r>
        <w:rPr>
          <w:rFonts w:ascii="Arial" w:cs="Arial" w:eastAsia="Arial" w:hAnsi="Arial"/>
          <w:sz w:val="21"/>
          <w:szCs w:val="21"/>
        </w:rPr>
        <w:t xml:space="preserve">Variable role assignment UI (measurement level declaration)</w:t>
      </w:r>
    </w:p>
    <w:p>
      <w:pPr>
        <w:pStyle w:val="ListParagraph"/>
        <w:numPr>
          <w:ilvl w:val="0"/>
          <w:numId w:val="2"/>
        </w:numPr>
        <w:spacing w:after="80" w:line="300"/>
      </w:pPr>
      <w:r>
        <w:rPr>
          <w:rFonts w:ascii="Arial" w:cs="Arial" w:eastAsia="Arial" w:hAnsi="Arial"/>
          <w:sz w:val="21"/>
          <w:szCs w:val="21"/>
        </w:rPr>
        <w:t xml:space="preserve">Batch processing (analyze multiple files without manual import)</w:t>
      </w:r>
    </w:p>
    <w:p>
      <w:pPr>
        <w:pStyle w:val="Heading2"/>
        <w:spacing w:after="160" w:before="280"/>
      </w:pPr>
      <w:r>
        <w:rPr>
          <w:rFonts w:ascii="Arial" w:cs="Arial" w:eastAsia="Arial" w:hAnsi="Arial"/>
          <w:b/>
          <w:bCs/>
          <w:color w:val="2E7D5E"/>
          <w:sz w:val="26"/>
          <w:szCs w:val="26"/>
        </w:rPr>
        <w:t xml:space="preserve">5.4 v2.0 (2027)</w:t>
      </w:r>
    </w:p>
    <w:p>
      <w:pPr>
        <w:pStyle w:val="ListParagraph"/>
        <w:numPr>
          <w:ilvl w:val="0"/>
          <w:numId w:val="2"/>
        </w:numPr>
        <w:spacing w:after="80" w:line="300"/>
      </w:pPr>
      <w:r>
        <w:rPr>
          <w:rFonts w:ascii="Arial" w:cs="Arial" w:eastAsia="Arial" w:hAnsi="Arial"/>
          <w:sz w:val="21"/>
          <w:szCs w:val="21"/>
        </w:rPr>
        <w:t xml:space="preserve">Multilingual dictionary support (Spanish, German, French, Portuguese)</w:t>
      </w:r>
    </w:p>
    <w:p>
      <w:pPr>
        <w:pStyle w:val="ListParagraph"/>
        <w:numPr>
          <w:ilvl w:val="0"/>
          <w:numId w:val="2"/>
        </w:numPr>
        <w:spacing w:after="80" w:line="300"/>
      </w:pPr>
      <w:r>
        <w:rPr>
          <w:rFonts w:ascii="Arial" w:cs="Arial" w:eastAsia="Arial" w:hAnsi="Arial"/>
          <w:sz w:val="21"/>
          <w:szCs w:val="21"/>
        </w:rPr>
        <w:t xml:space="preserve">Topic modeling module (LDA) as a companion to dictionary methods</w:t>
      </w:r>
    </w:p>
    <w:p>
      <w:pPr>
        <w:pStyle w:val="ListParagraph"/>
        <w:numPr>
          <w:ilvl w:val="0"/>
          <w:numId w:val="2"/>
        </w:numPr>
        <w:spacing w:after="80" w:line="300"/>
      </w:pPr>
      <w:r>
        <w:rPr>
          <w:rFonts w:ascii="Arial" w:cs="Arial" w:eastAsia="Arial" w:hAnsi="Arial"/>
          <w:sz w:val="21"/>
          <w:szCs w:val="21"/>
        </w:rPr>
        <w:t xml:space="preserve">Readability metrics (Flesch-Kincaid, Gunning Fog, SMOG)</w:t>
      </w:r>
    </w:p>
    <w:p>
      <w:pPr>
        <w:pStyle w:val="ListParagraph"/>
        <w:numPr>
          <w:ilvl w:val="0"/>
          <w:numId w:val="2"/>
        </w:numPr>
        <w:spacing w:after="80" w:line="300"/>
      </w:pPr>
      <w:r>
        <w:rPr>
          <w:rFonts w:ascii="Arial" w:cs="Arial" w:eastAsia="Arial" w:hAnsi="Arial"/>
          <w:sz w:val="21"/>
          <w:szCs w:val="21"/>
        </w:rPr>
        <w:t xml:space="preserve">Inter-rater reliability module for human-coded validation studies</w:t>
      </w:r>
    </w:p>
    <w:p>
      <w:pPr>
        <w:pStyle w:val="ListParagraph"/>
        <w:numPr>
          <w:ilvl w:val="0"/>
          <w:numId w:val="2"/>
        </w:numPr>
        <w:spacing w:after="80" w:line="300"/>
      </w:pPr>
      <w:r>
        <w:rPr>
          <w:rFonts w:ascii="Arial" w:cs="Arial" w:eastAsia="Arial" w:hAnsi="Arial"/>
          <w:sz w:val="21"/>
          <w:szCs w:val="21"/>
        </w:rPr>
        <w:t xml:space="preserve">API/CLI for pipeline integration (matching LIWC-22 CLI functionality)</w:t>
      </w:r>
    </w:p>
    <w:p>
      <w:r>
        <w:br w:type="page"/>
      </w:r>
    </w:p>
    <w:p>
      <w:pPr>
        <w:pStyle w:val="Heading1"/>
        <w:spacing w:after="200" w:before="360"/>
      </w:pPr>
      <w:r>
        <w:rPr>
          <w:rFonts w:ascii="Arial" w:cs="Arial" w:eastAsia="Arial" w:hAnsi="Arial"/>
          <w:b/>
          <w:bCs/>
          <w:color w:val="1E2A35"/>
          <w:sz w:val="32"/>
          <w:szCs w:val="32"/>
        </w:rPr>
        <w:t xml:space="preserve">6. UX &amp; Design Philosophy</w:t>
      </w:r>
    </w:p>
    <w:p>
      <w:pPr>
        <w:pStyle w:val="Heading2"/>
        <w:spacing w:after="160" w:before="280"/>
      </w:pPr>
      <w:r>
        <w:rPr>
          <w:rFonts w:ascii="Arial" w:cs="Arial" w:eastAsia="Arial" w:hAnsi="Arial"/>
          <w:b/>
          <w:bCs/>
          <w:color w:val="2E7D5E"/>
          <w:sz w:val="26"/>
          <w:szCs w:val="26"/>
        </w:rPr>
        <w:t xml:space="preserve">6.1 The SPSS Mental Model</w:t>
      </w:r>
    </w:p>
    <w:p>
      <w:pPr>
        <w:spacing w:after="160" w:line="300"/>
        <w:jc w:val="left"/>
      </w:pPr>
      <w:r>
        <w:rPr>
          <w:rFonts w:ascii="Arial" w:cs="Arial" w:eastAsia="Arial" w:hAnsi="Arial"/>
          <w:sz w:val="21"/>
          <w:szCs w:val="21"/>
        </w:rPr>
        <w:t xml:space="preserve">When you say TASS should be "the SPSS of textual analysis," you are describing something more specific than a feature list. You are describing a posture toward the user. SPSS succeeded because it let social scientists think in the language of their discipline rather than the language of the software. A researcher using SPSS thinks: "I want to compare these groups." They do not think: "I need to configure a parametric testing module." The software maps its interface to the researcher's conceptual workflow.</w:t>
      </w:r>
    </w:p>
    <w:p>
      <w:pPr>
        <w:spacing w:after="160" w:line="300"/>
        <w:jc w:val="left"/>
      </w:pPr>
      <w:r>
        <w:rPr>
          <w:rFonts w:ascii="Arial" w:cs="Arial" w:eastAsia="Arial" w:hAnsi="Arial"/>
          <w:sz w:val="21"/>
          <w:szCs w:val="21"/>
        </w:rPr>
        <w:t xml:space="preserve">TASS should do the same. The navigation model (Import, Analyze, Results, Visualize, Compare) already follows the research workflow. The design team's job is to ensure that every interaction within those panels speaks the researcher's language, not the developer's.</w:t>
      </w:r>
    </w:p>
    <w:p>
      <w:pPr>
        <w:pStyle w:val="Heading2"/>
        <w:spacing w:after="160" w:before="280"/>
      </w:pPr>
      <w:r>
        <w:rPr>
          <w:rFonts w:ascii="Arial" w:cs="Arial" w:eastAsia="Arial" w:hAnsi="Arial"/>
          <w:b/>
          <w:bCs/>
          <w:color w:val="2E7D5E"/>
          <w:sz w:val="26"/>
          <w:szCs w:val="26"/>
        </w:rPr>
        <w:t xml:space="preserve">6.2 Critical UX Recommendations</w:t>
      </w:r>
    </w:p>
    <w:p>
      <w:pPr>
        <w:spacing w:after="120" w:before="200"/>
      </w:pPr>
      <w:r>
        <w:rPr>
          <w:rFonts w:ascii="Arial" w:cs="Arial" w:eastAsia="Arial" w:hAnsi="Arial"/>
          <w:b/>
          <w:bCs/>
          <w:color w:val="1E2A35"/>
          <w:sz w:val="22"/>
          <w:szCs w:val="22"/>
        </w:rPr>
        <w:t xml:space="preserve">6.2.1 Results Should Feel Like Output, Not Data</w:t>
      </w:r>
    </w:p>
    <w:p>
      <w:pPr>
        <w:spacing w:after="160" w:line="300"/>
        <w:jc w:val="left"/>
      </w:pPr>
      <w:r>
        <w:rPr>
          <w:rFonts w:ascii="Arial" w:cs="Arial" w:eastAsia="Arial" w:hAnsi="Arial"/>
          <w:sz w:val="21"/>
          <w:szCs w:val="21"/>
        </w:rPr>
        <w:t xml:space="preserve">SPSS users are accustomed to reading output as a document: titled sections, labeled tables, annotation notes. TASS's results panels should feel the same way. Every table should have a descriptive title (e.g., "Group Comparison: Welch's t-test for AFINN-165 Sentiment"). Every significance result should have an interpretive note (e.g., "The difference between groups was statistically significant, t(42.3) = 2.87, p = .006, d = 0.74 [medium]."). These notes should be auto-generated, not decorative. They should mirror the sentence a researcher would write in their results section.</w:t>
      </w:r>
    </w:p>
    <w:p>
      <w:pPr>
        <w:spacing w:after="120" w:before="200"/>
      </w:pPr>
      <w:r>
        <w:rPr>
          <w:rFonts w:ascii="Arial" w:cs="Arial" w:eastAsia="Arial" w:hAnsi="Arial"/>
          <w:b/>
          <w:bCs/>
          <w:color w:val="1E2A35"/>
          <w:sz w:val="22"/>
          <w:szCs w:val="22"/>
        </w:rPr>
        <w:t xml:space="preserve">6.2.2 Defaults Should Be Conservative</w:t>
      </w:r>
    </w:p>
    <w:p>
      <w:pPr>
        <w:spacing w:after="160" w:line="300"/>
        <w:jc w:val="left"/>
      </w:pPr>
      <w:r>
        <w:rPr>
          <w:rFonts w:ascii="Arial" w:cs="Arial" w:eastAsia="Arial" w:hAnsi="Arial"/>
          <w:sz w:val="21"/>
          <w:szCs w:val="21"/>
        </w:rPr>
        <w:t xml:space="preserve">Every default setting should produce the most defensible output. Bonferroni correction on by default. Parametric tests as the default (with a clear nonparametric toggle). Pearson correlation as the default (with a Spearman toggle). The principle is: a researcher who clicks through without changing any settings should get output that no reviewer can object to on methodological grounds.</w:t>
      </w:r>
    </w:p>
    <w:p>
      <w:pPr>
        <w:spacing w:after="120" w:before="200"/>
      </w:pPr>
      <w:r>
        <w:rPr>
          <w:rFonts w:ascii="Arial" w:cs="Arial" w:eastAsia="Arial" w:hAnsi="Arial"/>
          <w:b/>
          <w:bCs/>
          <w:color w:val="1E2A35"/>
          <w:sz w:val="22"/>
          <w:szCs w:val="22"/>
        </w:rPr>
        <w:t xml:space="preserve">6.2.3 The Dictionary Cards Are the Brand</w:t>
      </w:r>
    </w:p>
    <w:p>
      <w:pPr>
        <w:spacing w:after="160" w:line="300"/>
        <w:jc w:val="left"/>
      </w:pPr>
      <w:r>
        <w:rPr>
          <w:rFonts w:ascii="Arial" w:cs="Arial" w:eastAsia="Arial" w:hAnsi="Arial"/>
          <w:sz w:val="21"/>
          <w:szCs w:val="21"/>
        </w:rPr>
        <w:t xml:space="preserve">The dictionary selection interface (cards with name, citation, license badge, category tags) is one of the most distinctive design elements in the application. Invest in these. Each card should also display the dictionary's word count, its scoring mode, and a one-sentence description of its validation history. When a researcher hovers over a dictionary, they should feel that they are selecting a validated measurement instrument, not just a word list.</w:t>
      </w:r>
    </w:p>
    <w:p>
      <w:pPr>
        <w:spacing w:after="120" w:before="200"/>
      </w:pPr>
      <w:r>
        <w:rPr>
          <w:rFonts w:ascii="Arial" w:cs="Arial" w:eastAsia="Arial" w:hAnsi="Arial"/>
          <w:b/>
          <w:bCs/>
          <w:color w:val="1E2A35"/>
          <w:sz w:val="22"/>
          <w:szCs w:val="22"/>
        </w:rPr>
        <w:t xml:space="preserve">6.2.4 Export Should Be a First-Class Experience</w:t>
      </w:r>
    </w:p>
    <w:p>
      <w:pPr>
        <w:spacing w:after="160" w:line="300"/>
        <w:jc w:val="left"/>
      </w:pPr>
      <w:r>
        <w:rPr>
          <w:rFonts w:ascii="Arial" w:cs="Arial" w:eastAsia="Arial" w:hAnsi="Arial"/>
          <w:sz w:val="21"/>
          <w:szCs w:val="21"/>
        </w:rPr>
        <w:t xml:space="preserve">The citation block appended to every export is an excellent design decision. Extend it. Every Excel export should include a "Method" sheet that documents the complete analysis configuration: preprocessing options, dictionaries used with versions and citations, statistical tests performed, correction method applied. This sheet is the researcher's audit trail, and it dramatically reduces the burden of writing a methods section.</w:t>
      </w:r>
    </w:p>
    <w:p>
      <w:pPr>
        <w:spacing w:after="120" w:before="200"/>
      </w:pPr>
      <w:r>
        <w:rPr>
          <w:rFonts w:ascii="Arial" w:cs="Arial" w:eastAsia="Arial" w:hAnsi="Arial"/>
          <w:b/>
          <w:bCs/>
          <w:color w:val="1E2A35"/>
          <w:sz w:val="22"/>
          <w:szCs w:val="22"/>
        </w:rPr>
        <w:t xml:space="preserve">6.2.5 Empty States Should Teach</w:t>
      </w:r>
    </w:p>
    <w:p>
      <w:pPr>
        <w:spacing w:after="160" w:line="300"/>
        <w:jc w:val="left"/>
      </w:pPr>
      <w:r>
        <w:rPr>
          <w:rFonts w:ascii="Arial" w:cs="Arial" w:eastAsia="Arial" w:hAnsi="Arial"/>
          <w:sz w:val="21"/>
          <w:szCs w:val="21"/>
        </w:rPr>
        <w:t xml:space="preserve">When a researcher first opens the Results panel before running an analysis, they should not see a blank screen. They should see a guided walkthrough: "To see results here, first import your data (Step 1), select your dictionaries (Step 2), and run your analysis (Step 3)." Empty states are teaching opportunities. Use them.</w:t>
      </w:r>
    </w:p>
    <w:p>
      <w:pPr>
        <w:pStyle w:val="Heading2"/>
        <w:spacing w:after="160" w:before="280"/>
      </w:pPr>
      <w:r>
        <w:rPr>
          <w:rFonts w:ascii="Arial" w:cs="Arial" w:eastAsia="Arial" w:hAnsi="Arial"/>
          <w:b/>
          <w:bCs/>
          <w:color w:val="2E7D5E"/>
          <w:sz w:val="26"/>
          <w:szCs w:val="26"/>
        </w:rPr>
        <w:t xml:space="preserve">6.3 Design System Refinements</w:t>
      </w:r>
    </w:p>
    <w:p>
      <w:pPr>
        <w:spacing w:after="160" w:line="300"/>
        <w:jc w:val="left"/>
      </w:pPr>
      <w:r>
        <w:rPr>
          <w:rFonts w:ascii="Arial" w:cs="Arial" w:eastAsia="Arial" w:hAnsi="Arial"/>
          <w:sz w:val="21"/>
          <w:szCs w:val="21"/>
        </w:rPr>
        <w:t xml:space="preserve">The existing design system is solid. A few refinements for the subscription-era product:</w:t>
      </w:r>
    </w:p>
    <w:p>
      <w:pPr>
        <w:pStyle w:val="ListParagraph"/>
        <w:numPr>
          <w:ilvl w:val="0"/>
          <w:numId w:val="2"/>
        </w:numPr>
        <w:spacing w:after="80" w:line="300"/>
      </w:pPr>
      <w:r>
        <w:rPr>
          <w:rFonts w:ascii="Arial" w:cs="Arial" w:eastAsia="Arial" w:hAnsi="Arial"/>
          <w:b/>
          <w:bCs/>
          <w:sz w:val="21"/>
          <w:szCs w:val="21"/>
        </w:rPr>
        <w:t xml:space="preserve">Brand color migration. </w:t>
      </w:r>
      <w:r>
        <w:rPr>
          <w:rFonts w:ascii="Arial" w:cs="Arial" w:eastAsia="Arial" w:hAnsi="Arial"/>
          <w:sz w:val="21"/>
          <w:szCs w:val="21"/>
        </w:rPr>
        <w:t xml:space="preserve">The current primary blue (#2563EB) should be replaced with the established TASS brand green (#2E7D5E) for primary actions and navigation highlights. Blue can remain for informational elements.</w:t>
      </w:r>
    </w:p>
    <w:p>
      <w:pPr>
        <w:pStyle w:val="ListParagraph"/>
        <w:numPr>
          <w:ilvl w:val="0"/>
          <w:numId w:val="2"/>
        </w:numPr>
        <w:spacing w:after="80" w:line="300"/>
      </w:pPr>
      <w:r>
        <w:rPr>
          <w:rFonts w:ascii="Arial" w:cs="Arial" w:eastAsia="Arial" w:hAnsi="Arial"/>
          <w:b/>
          <w:bCs/>
          <w:sz w:val="21"/>
          <w:szCs w:val="21"/>
        </w:rPr>
        <w:t xml:space="preserve">Typography scaling. </w:t>
      </w:r>
      <w:r>
        <w:rPr>
          <w:rFonts w:ascii="Arial" w:cs="Arial" w:eastAsia="Arial" w:hAnsi="Arial"/>
          <w:sz w:val="21"/>
          <w:szCs w:val="21"/>
        </w:rPr>
        <w:t xml:space="preserve">The 8pt/9pt small text sizes are too small for accessibility. Minimum body text should be 10pt; labels and secondary text should be 9pt minimum.</w:t>
      </w:r>
    </w:p>
    <w:p>
      <w:pPr>
        <w:pStyle w:val="ListParagraph"/>
        <w:numPr>
          <w:ilvl w:val="0"/>
          <w:numId w:val="2"/>
        </w:numPr>
        <w:spacing w:after="80" w:line="300"/>
      </w:pPr>
      <w:r>
        <w:rPr>
          <w:rFonts w:ascii="Arial" w:cs="Arial" w:eastAsia="Arial" w:hAnsi="Arial"/>
          <w:b/>
          <w:bCs/>
          <w:sz w:val="21"/>
          <w:szCs w:val="21"/>
        </w:rPr>
        <w:t xml:space="preserve">Dark mode. </w:t>
      </w:r>
      <w:r>
        <w:rPr>
          <w:rFonts w:ascii="Arial" w:cs="Arial" w:eastAsia="Arial" w:hAnsi="Arial"/>
          <w:sz w:val="21"/>
          <w:szCs w:val="21"/>
        </w:rPr>
        <w:t xml:space="preserve">Not for v1.0, but plan the color token system so that dark mode is a matter of swapping a palette file rather than reworking individual component styles.</w:t>
      </w:r>
    </w:p>
    <w:p>
      <w:r>
        <w:br w:type="page"/>
      </w:r>
    </w:p>
    <w:p>
      <w:pPr>
        <w:pStyle w:val="Heading1"/>
        <w:spacing w:after="200" w:before="360"/>
      </w:pPr>
      <w:r>
        <w:rPr>
          <w:rFonts w:ascii="Arial" w:cs="Arial" w:eastAsia="Arial" w:hAnsi="Arial"/>
          <w:b/>
          <w:bCs/>
          <w:color w:val="1E2A35"/>
          <w:sz w:val="32"/>
          <w:szCs w:val="32"/>
        </w:rPr>
        <w:t xml:space="preserve">7. Dictionary Library Strategy (T-Lex)</w:t>
      </w:r>
    </w:p>
    <w:p>
      <w:pPr>
        <w:pStyle w:val="Heading2"/>
        <w:spacing w:after="160" w:before="280"/>
      </w:pPr>
      <w:r>
        <w:rPr>
          <w:rFonts w:ascii="Arial" w:cs="Arial" w:eastAsia="Arial" w:hAnsi="Arial"/>
          <w:b/>
          <w:bCs/>
          <w:color w:val="2E7D5E"/>
          <w:sz w:val="26"/>
          <w:szCs w:val="26"/>
        </w:rPr>
        <w:t xml:space="preserve">7.1 The T-Lex Value Proposition</w:t>
      </w:r>
    </w:p>
    <w:p>
      <w:pPr>
        <w:spacing w:after="160" w:line="300"/>
        <w:jc w:val="left"/>
      </w:pPr>
      <w:r>
        <w:rPr>
          <w:rFonts w:ascii="Arial" w:cs="Arial" w:eastAsia="Arial" w:hAnsi="Arial"/>
          <w:sz w:val="21"/>
          <w:szCs w:val="21"/>
        </w:rPr>
        <w:t xml:space="preserve">The T-Lex dictionary library is TASS's most important long-term competitive asset. LIWC's dictionary is proprietary, opaque, and locked inside the application. T-Lex is open, inspectable, citable, and versioned. For a discipline moving toward open-science norms, this is a structural advantage that compounds over time.</w:t>
      </w:r>
    </w:p>
    <w:p>
      <w:pPr>
        <w:spacing w:after="160" w:line="300"/>
        <w:jc w:val="left"/>
      </w:pPr>
      <w:r>
        <w:rPr>
          <w:rFonts w:ascii="Arial" w:cs="Arial" w:eastAsia="Arial" w:hAnsi="Arial"/>
          <w:sz w:val="21"/>
          <w:szCs w:val="21"/>
        </w:rPr>
        <w:t xml:space="preserve">The current plan includes 18 original dictionaries plus adopted open-source resources. The development team should think about T-Lex not as a collection of word lists but as a curated measurement instrument library, more analogous to a collection of validated survey scales than to a folder of text files.</w:t>
      </w:r>
    </w:p>
    <w:p>
      <w:pPr>
        <w:pStyle w:val="Heading2"/>
        <w:spacing w:after="160" w:before="280"/>
      </w:pPr>
      <w:r>
        <w:rPr>
          <w:rFonts w:ascii="Arial" w:cs="Arial" w:eastAsia="Arial" w:hAnsi="Arial"/>
          <w:b/>
          <w:bCs/>
          <w:color w:val="2E7D5E"/>
          <w:sz w:val="26"/>
          <w:szCs w:val="26"/>
        </w:rPr>
        <w:t xml:space="preserve">7.2 Dictionary Quality Standard</w:t>
      </w:r>
    </w:p>
    <w:p>
      <w:pPr>
        <w:spacing w:after="160" w:line="300"/>
        <w:jc w:val="left"/>
      </w:pPr>
      <w:r>
        <w:rPr>
          <w:rFonts w:ascii="Arial" w:cs="Arial" w:eastAsia="Arial" w:hAnsi="Arial"/>
          <w:sz w:val="21"/>
          <w:szCs w:val="21"/>
        </w:rPr>
        <w:t xml:space="preserve">Every T-Lex dictionary, whether adopted or original, should meet the following quality bar before inclusion:</w:t>
      </w:r>
    </w:p>
    <w:p>
      <w:pPr>
        <w:pStyle w:val="ListParagraph"/>
        <w:numPr>
          <w:ilvl w:val="0"/>
          <w:numId w:val="3"/>
        </w:numPr>
        <w:spacing w:after="80" w:line="300"/>
      </w:pPr>
      <w:r>
        <w:rPr>
          <w:rFonts w:ascii="Arial" w:cs="Arial" w:eastAsia="Arial" w:hAnsi="Arial"/>
          <w:b/>
          <w:bCs/>
          <w:sz w:val="21"/>
          <w:szCs w:val="21"/>
        </w:rPr>
        <w:t xml:space="preserve">Citation. </w:t>
      </w:r>
      <w:r>
        <w:rPr>
          <w:rFonts w:ascii="Arial" w:cs="Arial" w:eastAsia="Arial" w:hAnsi="Arial"/>
          <w:sz w:val="21"/>
          <w:szCs w:val="21"/>
        </w:rPr>
        <w:t xml:space="preserve">A peer-reviewed publication or technical report describing the dictionary's construction and initial validation.</w:t>
      </w:r>
    </w:p>
    <w:p>
      <w:pPr>
        <w:pStyle w:val="ListParagraph"/>
        <w:numPr>
          <w:ilvl w:val="0"/>
          <w:numId w:val="3"/>
        </w:numPr>
        <w:spacing w:after="80" w:line="300"/>
      </w:pPr>
      <w:r>
        <w:rPr>
          <w:rFonts w:ascii="Arial" w:cs="Arial" w:eastAsia="Arial" w:hAnsi="Arial"/>
          <w:b/>
          <w:bCs/>
          <w:sz w:val="21"/>
          <w:szCs w:val="21"/>
        </w:rPr>
        <w:t xml:space="preserve">License verification. </w:t>
      </w:r>
      <w:r>
        <w:rPr>
          <w:rFonts w:ascii="Arial" w:cs="Arial" w:eastAsia="Arial" w:hAnsi="Arial"/>
          <w:sz w:val="21"/>
          <w:szCs w:val="21"/>
        </w:rPr>
        <w:t xml:space="preserve">Confirmed compatibility with commercial distribution. No CC-BY-SA, no non-commercial restrictions, no ambiguous "research use only" clauses.</w:t>
      </w:r>
    </w:p>
    <w:p>
      <w:pPr>
        <w:pStyle w:val="ListParagraph"/>
        <w:numPr>
          <w:ilvl w:val="0"/>
          <w:numId w:val="3"/>
        </w:numPr>
        <w:spacing w:after="80" w:line="300"/>
      </w:pPr>
      <w:r>
        <w:rPr>
          <w:rFonts w:ascii="Arial" w:cs="Arial" w:eastAsia="Arial" w:hAnsi="Arial"/>
          <w:b/>
          <w:bCs/>
          <w:sz w:val="21"/>
          <w:szCs w:val="21"/>
        </w:rPr>
        <w:t xml:space="preserve">Category documentation. </w:t>
      </w:r>
      <w:r>
        <w:rPr>
          <w:rFonts w:ascii="Arial" w:cs="Arial" w:eastAsia="Arial" w:hAnsi="Arial"/>
          <w:sz w:val="21"/>
          <w:szCs w:val="21"/>
        </w:rPr>
        <w:t xml:space="preserve">Each category should have a plain-language description of what it measures, with examples of high-scoring and low-scoring texts.</w:t>
      </w:r>
    </w:p>
    <w:p>
      <w:pPr>
        <w:pStyle w:val="ListParagraph"/>
        <w:numPr>
          <w:ilvl w:val="0"/>
          <w:numId w:val="3"/>
        </w:numPr>
        <w:spacing w:after="80" w:line="300"/>
      </w:pPr>
      <w:r>
        <w:rPr>
          <w:rFonts w:ascii="Arial" w:cs="Arial" w:eastAsia="Arial" w:hAnsi="Arial"/>
          <w:b/>
          <w:bCs/>
          <w:sz w:val="21"/>
          <w:szCs w:val="21"/>
        </w:rPr>
        <w:t xml:space="preserve">Version control. </w:t>
      </w:r>
      <w:r>
        <w:rPr>
          <w:rFonts w:ascii="Arial" w:cs="Arial" w:eastAsia="Arial" w:hAnsi="Arial"/>
          <w:sz w:val="21"/>
          <w:szCs w:val="21"/>
        </w:rPr>
        <w:t xml:space="preserve">Semantic versioning (1.0.0, 1.1.0, 2.0.0) with a changelog. When a dictionary is updated, users should know exactly what changed and why.</w:t>
      </w:r>
    </w:p>
    <w:p>
      <w:pPr>
        <w:pStyle w:val="ListParagraph"/>
        <w:numPr>
          <w:ilvl w:val="0"/>
          <w:numId w:val="3"/>
        </w:numPr>
        <w:spacing w:after="80" w:line="300"/>
      </w:pPr>
      <w:r>
        <w:rPr>
          <w:rFonts w:ascii="Arial" w:cs="Arial" w:eastAsia="Arial" w:hAnsi="Arial"/>
          <w:b/>
          <w:bCs/>
          <w:sz w:val="21"/>
          <w:szCs w:val="21"/>
        </w:rPr>
        <w:t xml:space="preserve">Coverage statistics. </w:t>
      </w:r>
      <w:r>
        <w:rPr>
          <w:rFonts w:ascii="Arial" w:cs="Arial" w:eastAsia="Arial" w:hAnsi="Arial"/>
          <w:sz w:val="21"/>
          <w:szCs w:val="21"/>
        </w:rPr>
        <w:t xml:space="preserve">Benchmark coverage on at least one reference corpus (e.g., what percentage of a typical Twitter dataset does this dictionary touch?).</w:t>
      </w:r>
    </w:p>
    <w:p>
      <w:pPr>
        <w:pStyle w:val="Heading2"/>
        <w:spacing w:after="160" w:before="280"/>
      </w:pPr>
      <w:r>
        <w:rPr>
          <w:rFonts w:ascii="Arial" w:cs="Arial" w:eastAsia="Arial" w:hAnsi="Arial"/>
          <w:b/>
          <w:bCs/>
          <w:color w:val="2E7D5E"/>
          <w:sz w:val="26"/>
          <w:szCs w:val="26"/>
        </w:rPr>
        <w:t xml:space="preserve">7.3 Priority Dictionaries for v1.0</w:t>
      </w:r>
    </w:p>
    <w:p>
      <w:pPr>
        <w:spacing w:after="160" w:line="300"/>
        <w:jc w:val="left"/>
      </w:pPr>
      <w:r>
        <w:rPr>
          <w:rFonts w:ascii="Arial" w:cs="Arial" w:eastAsia="Arial" w:hAnsi="Arial"/>
          <w:sz w:val="21"/>
          <w:szCs w:val="21"/>
        </w:rPr>
        <w:t xml:space="preserve">The six currently included dictionaries (AFINN-165, VADER, MFD 2.0, Brysbaert Concreteness, WordNet POS, NLTK Function Words) provide a reasonable starting library. For v1.0, add:</w:t>
      </w:r>
    </w:p>
    <w:p>
      <w:pPr>
        <w:pStyle w:val="ListParagraph"/>
        <w:numPr>
          <w:ilvl w:val="0"/>
          <w:numId w:val="2"/>
        </w:numPr>
        <w:spacing w:after="80" w:line="300"/>
      </w:pPr>
      <w:r>
        <w:rPr>
          <w:rFonts w:ascii="Arial" w:cs="Arial" w:eastAsia="Arial" w:hAnsi="Arial"/>
          <w:b/>
          <w:bCs/>
          <w:sz w:val="21"/>
          <w:szCs w:val="21"/>
        </w:rPr>
        <w:t xml:space="preserve">A T-Lex Emotion dictionary </w:t>
      </w:r>
      <w:r>
        <w:rPr>
          <w:rFonts w:ascii="Arial" w:cs="Arial" w:eastAsia="Arial" w:hAnsi="Arial"/>
          <w:sz w:val="21"/>
          <w:szCs w:val="21"/>
        </w:rPr>
        <w:t xml:space="preserve">(original construction via LLM-plus-Prolific annotation pipeline). This is the most directly competitive category with LIWC and the one researchers ask for most.</w:t>
      </w:r>
    </w:p>
    <w:p>
      <w:pPr>
        <w:pStyle w:val="ListParagraph"/>
        <w:numPr>
          <w:ilvl w:val="0"/>
          <w:numId w:val="2"/>
        </w:numPr>
        <w:spacing w:after="80" w:line="300"/>
      </w:pPr>
      <w:r>
        <w:rPr>
          <w:rFonts w:ascii="Arial" w:cs="Arial" w:eastAsia="Arial" w:hAnsi="Arial"/>
          <w:b/>
          <w:bCs/>
          <w:sz w:val="21"/>
          <w:szCs w:val="21"/>
        </w:rPr>
        <w:t xml:space="preserve">A T-Lex Formality/Informality dictionary </w:t>
      </w:r>
      <w:r>
        <w:rPr>
          <w:rFonts w:ascii="Arial" w:cs="Arial" w:eastAsia="Arial" w:hAnsi="Arial"/>
          <w:sz w:val="21"/>
          <w:szCs w:val="21"/>
        </w:rPr>
        <w:t xml:space="preserve">for register analysis. Useful for journalism research, political communication, and social media studies.</w:t>
      </w:r>
    </w:p>
    <w:p>
      <w:pPr>
        <w:pStyle w:val="ListParagraph"/>
        <w:numPr>
          <w:ilvl w:val="0"/>
          <w:numId w:val="2"/>
        </w:numPr>
        <w:spacing w:after="80" w:line="300"/>
      </w:pPr>
      <w:r>
        <w:rPr>
          <w:rFonts w:ascii="Arial" w:cs="Arial" w:eastAsia="Arial" w:hAnsi="Arial"/>
          <w:b/>
          <w:bCs/>
          <w:sz w:val="21"/>
          <w:szCs w:val="21"/>
        </w:rPr>
        <w:t xml:space="preserve">SentiWordNet 3.0 </w:t>
      </w:r>
      <w:r>
        <w:rPr>
          <w:rFonts w:ascii="Arial" w:cs="Arial" w:eastAsia="Arial" w:hAnsi="Arial"/>
          <w:sz w:val="21"/>
          <w:szCs w:val="21"/>
        </w:rPr>
        <w:t xml:space="preserve">(confirmed commercially clean). Adds fine-grained sentiment polarity as a complement to AFINN and VADER.</w:t>
      </w:r>
    </w:p>
    <w:p>
      <w:pPr>
        <w:pStyle w:val="ListParagraph"/>
        <w:numPr>
          <w:ilvl w:val="0"/>
          <w:numId w:val="2"/>
        </w:numPr>
        <w:spacing w:after="80" w:line="300"/>
      </w:pPr>
      <w:r>
        <w:rPr>
          <w:rFonts w:ascii="Arial" w:cs="Arial" w:eastAsia="Arial" w:hAnsi="Arial"/>
          <w:b/>
          <w:bCs/>
          <w:sz w:val="21"/>
          <w:szCs w:val="21"/>
        </w:rPr>
        <w:t xml:space="preserve">HurtLex </w:t>
      </w:r>
      <w:r>
        <w:rPr>
          <w:rFonts w:ascii="Arial" w:cs="Arial" w:eastAsia="Arial" w:hAnsi="Arial"/>
          <w:sz w:val="21"/>
          <w:szCs w:val="21"/>
        </w:rPr>
        <w:t xml:space="preserve">(hate speech and offensive language). Note: the capabilities document states HurtLex was removed due to CC-BY-SA licensing. Verify the current license status; the original paper lists CC-BY-NC, which is also incompatible. If non-commercial, build an original hate speech dictionary via the T-Lex pipeline.</w:t>
      </w:r>
    </w:p>
    <w:p>
      <w:pPr>
        <w:pStyle w:val="Heading2"/>
        <w:spacing w:after="160" w:before="280"/>
      </w:pPr>
      <w:r>
        <w:rPr>
          <w:rFonts w:ascii="Arial" w:cs="Arial" w:eastAsia="Arial" w:hAnsi="Arial"/>
          <w:b/>
          <w:bCs/>
          <w:color w:val="2E7D5E"/>
          <w:sz w:val="26"/>
          <w:szCs w:val="26"/>
        </w:rPr>
        <w:t xml:space="preserve">7.4 Dictionary Update Mechanism</w:t>
      </w:r>
    </w:p>
    <w:p>
      <w:pPr>
        <w:spacing w:after="160" w:line="300"/>
        <w:jc w:val="left"/>
      </w:pPr>
      <w:r>
        <w:rPr>
          <w:rFonts w:ascii="Arial" w:cs="Arial" w:eastAsia="Arial" w:hAnsi="Arial"/>
          <w:sz w:val="21"/>
          <w:szCs w:val="21"/>
        </w:rPr>
        <w:t xml:space="preserve">When TASS ships as a subscription product, dictionaries can be updated independently of the application binary. Implement a dictionary update check on application launch (once per week, non-blocking). When updates are available, display a notification badge on the Analyze panel. Dictionary updates should never require a full application update. This decouples the dictionary release cadence from the software release cadence and allows T-Lex to evolve continuously.</w:t>
      </w:r>
    </w:p>
    <w:p>
      <w:r>
        <w:br w:type="page"/>
      </w:r>
    </w:p>
    <w:p>
      <w:pPr>
        <w:pStyle w:val="Heading1"/>
        <w:spacing w:after="200" w:before="360"/>
      </w:pPr>
      <w:r>
        <w:rPr>
          <w:rFonts w:ascii="Arial" w:cs="Arial" w:eastAsia="Arial" w:hAnsi="Arial"/>
          <w:b/>
          <w:bCs/>
          <w:color w:val="1E2A35"/>
          <w:sz w:val="32"/>
          <w:szCs w:val="32"/>
        </w:rPr>
        <w:t xml:space="preserve">8. Validation &amp; Reproducibility Framework</w:t>
      </w:r>
    </w:p>
    <w:p>
      <w:pPr>
        <w:pStyle w:val="Heading2"/>
        <w:spacing w:after="160" w:before="280"/>
      </w:pPr>
      <w:r>
        <w:rPr>
          <w:rFonts w:ascii="Arial" w:cs="Arial" w:eastAsia="Arial" w:hAnsi="Arial"/>
          <w:b/>
          <w:bCs/>
          <w:color w:val="2E7D5E"/>
          <w:sz w:val="26"/>
          <w:szCs w:val="26"/>
        </w:rPr>
        <w:t xml:space="preserve">8.1 Why This Matters More Than Features</w:t>
      </w:r>
    </w:p>
    <w:p>
      <w:pPr>
        <w:spacing w:after="160" w:line="300"/>
        <w:jc w:val="left"/>
      </w:pPr>
      <w:r>
        <w:rPr>
          <w:rFonts w:ascii="Arial" w:cs="Arial" w:eastAsia="Arial" w:hAnsi="Arial"/>
          <w:sz w:val="21"/>
          <w:szCs w:val="21"/>
        </w:rPr>
        <w:t xml:space="preserve">The methodological literature on dictionary-based text analysis is increasingly critical of tools that produce measures without validation. As recent scholarship has emphasized, measures from dictionaries are rarely validated against human gold standards, and the properties of these measures in relation to the constructs they claim to measure are often left unexamined. TASS cannot solve the epistemological limitations of dictionary-based analysis, but it can provide the infrastructure that makes validation tractable.</w:t>
      </w:r>
    </w:p>
    <w:p>
      <w:pPr>
        <w:pStyle w:val="Heading2"/>
        <w:spacing w:after="160" w:before="280"/>
      </w:pPr>
      <w:r>
        <w:rPr>
          <w:rFonts w:ascii="Arial" w:cs="Arial" w:eastAsia="Arial" w:hAnsi="Arial"/>
          <w:b/>
          <w:bCs/>
          <w:color w:val="2E7D5E"/>
          <w:sz w:val="26"/>
          <w:szCs w:val="26"/>
        </w:rPr>
        <w:t xml:space="preserve">8.2 Built-In Validation Support</w:t>
      </w:r>
    </w:p>
    <w:p>
      <w:pPr>
        <w:spacing w:after="120" w:before="200"/>
      </w:pPr>
      <w:r>
        <w:rPr>
          <w:rFonts w:ascii="Arial" w:cs="Arial" w:eastAsia="Arial" w:hAnsi="Arial"/>
          <w:b/>
          <w:bCs/>
          <w:color w:val="1E2A35"/>
          <w:sz w:val="22"/>
          <w:szCs w:val="22"/>
        </w:rPr>
        <w:t xml:space="preserve">8.2.1 Coverage Diagnostics</w:t>
      </w:r>
    </w:p>
    <w:p>
      <w:pPr>
        <w:spacing w:after="160" w:line="300"/>
        <w:jc w:val="left"/>
      </w:pPr>
      <w:r>
        <w:rPr>
          <w:rFonts w:ascii="Arial" w:cs="Arial" w:eastAsia="Arial" w:hAnsi="Arial"/>
          <w:sz w:val="21"/>
          <w:szCs w:val="21"/>
        </w:rPr>
        <w:t xml:space="preserve">The existing Coverage tab is a strong start. Extend it with a "Dictionary Health" report that answers: What percentage of my corpus did each dictionary touch? What is the distribution of scores? Are there floor or ceiling effects? Highlight categories where coverage falls below 5% of entries, as low-coverage categories may produce unstable statistics.</w:t>
      </w:r>
    </w:p>
    <w:p>
      <w:pPr>
        <w:spacing w:after="120" w:before="200"/>
      </w:pPr>
      <w:r>
        <w:rPr>
          <w:rFonts w:ascii="Arial" w:cs="Arial" w:eastAsia="Arial" w:hAnsi="Arial"/>
          <w:b/>
          <w:bCs/>
          <w:color w:val="1E2A35"/>
          <w:sz w:val="22"/>
          <w:szCs w:val="22"/>
        </w:rPr>
        <w:t xml:space="preserve">8.2.2 Reproducibility Metadata</w:t>
      </w:r>
    </w:p>
    <w:p>
      <w:pPr>
        <w:spacing w:after="160" w:line="300"/>
        <w:jc w:val="left"/>
      </w:pPr>
      <w:r>
        <w:rPr>
          <w:rFonts w:ascii="Arial" w:cs="Arial" w:eastAsia="Arial" w:hAnsi="Arial"/>
          <w:sz w:val="21"/>
          <w:szCs w:val="21"/>
        </w:rPr>
        <w:t xml:space="preserve">Every TASS export should include a machine-readable metadata block documenting: TASS version, dictionary versions used, preprocessing configuration, statistical tests performed, and correction methods applied. This metadata should be embedded in the .tass project file, in the Excel export's Method sheet, and as a JSON sidecar file alongside CSV exports. The goal: any researcher should be able to replicate the analysis by loading the project file into the same version of TASS and clicking "Run."</w:t>
      </w:r>
    </w:p>
    <w:p>
      <w:pPr>
        <w:spacing w:after="120" w:before="200"/>
      </w:pPr>
      <w:r>
        <w:rPr>
          <w:rFonts w:ascii="Arial" w:cs="Arial" w:eastAsia="Arial" w:hAnsi="Arial"/>
          <w:b/>
          <w:bCs/>
          <w:color w:val="1E2A35"/>
          <w:sz w:val="22"/>
          <w:szCs w:val="22"/>
        </w:rPr>
        <w:t xml:space="preserve">8.2.3 Analysis Log</w:t>
      </w:r>
    </w:p>
    <w:p>
      <w:pPr>
        <w:spacing w:after="160" w:line="300"/>
        <w:jc w:val="left"/>
      </w:pPr>
      <w:r>
        <w:rPr>
          <w:rFonts w:ascii="Arial" w:cs="Arial" w:eastAsia="Arial" w:hAnsi="Arial"/>
          <w:sz w:val="21"/>
          <w:szCs w:val="21"/>
        </w:rPr>
        <w:t xml:space="preserve">Implement an internal analysis log that records every analytical decision with timestamps: which dictionaries were selected, which preprocessing options were toggled, which statistical tests were run, and which groups were compared. This log should be exportable as a plain-text file and should serve as the basis for the Method sheet in exports.</w:t>
      </w:r>
    </w:p>
    <w:p>
      <w:pPr>
        <w:pStyle w:val="Heading2"/>
        <w:spacing w:after="160" w:before="280"/>
      </w:pPr>
      <w:r>
        <w:rPr>
          <w:rFonts w:ascii="Arial" w:cs="Arial" w:eastAsia="Arial" w:hAnsi="Arial"/>
          <w:b/>
          <w:bCs/>
          <w:color w:val="2E7D5E"/>
          <w:sz w:val="26"/>
          <w:szCs w:val="26"/>
        </w:rPr>
        <w:t xml:space="preserve">8.3 Benchmark Corpus</w:t>
      </w:r>
    </w:p>
    <w:p>
      <w:pPr>
        <w:spacing w:after="160" w:line="300"/>
        <w:jc w:val="left"/>
      </w:pPr>
      <w:r>
        <w:rPr>
          <w:rFonts w:ascii="Arial" w:cs="Arial" w:eastAsia="Arial" w:hAnsi="Arial"/>
          <w:sz w:val="21"/>
          <w:szCs w:val="21"/>
        </w:rPr>
        <w:t xml:space="preserve">Before launch, create a small benchmark corpus (500 to 1,000 entries of known-sentiment text) with human-coded gold-standard labels. Run every built-in dictionary against this corpus and publish the accuracy, precision, recall, and F1 scores on the TASS documentation site. This is the single most powerful credibility signal for reviewers: it demonstrates that the developer has done the validation work that most tools skip.</w:t>
      </w:r>
    </w:p>
    <w:p>
      <w:r>
        <w:br w:type="page"/>
      </w:r>
    </w:p>
    <w:p>
      <w:pPr>
        <w:pStyle w:val="Heading1"/>
        <w:spacing w:after="200" w:before="360"/>
      </w:pPr>
      <w:r>
        <w:rPr>
          <w:rFonts w:ascii="Arial" w:cs="Arial" w:eastAsia="Arial" w:hAnsi="Arial"/>
          <w:b/>
          <w:bCs/>
          <w:color w:val="1E2A35"/>
          <w:sz w:val="32"/>
          <w:szCs w:val="32"/>
        </w:rPr>
        <w:t xml:space="preserve">9. Testing &amp; Quality Assurance</w:t>
      </w:r>
    </w:p>
    <w:p>
      <w:pPr>
        <w:pStyle w:val="Heading2"/>
        <w:spacing w:after="160" w:before="280"/>
      </w:pPr>
      <w:r>
        <w:rPr>
          <w:rFonts w:ascii="Arial" w:cs="Arial" w:eastAsia="Arial" w:hAnsi="Arial"/>
          <w:b/>
          <w:bCs/>
          <w:color w:val="2E7D5E"/>
          <w:sz w:val="26"/>
          <w:szCs w:val="26"/>
        </w:rPr>
        <w:t xml:space="preserve">9.1 Current State</w:t>
      </w:r>
    </w:p>
    <w:p>
      <w:pPr>
        <w:spacing w:after="160" w:line="300"/>
        <w:jc w:val="left"/>
      </w:pPr>
      <w:r>
        <w:rPr>
          <w:rFonts w:ascii="Arial" w:cs="Arial" w:eastAsia="Arial" w:hAnsi="Arial"/>
          <w:sz w:val="21"/>
          <w:szCs w:val="21"/>
        </w:rPr>
        <w:t xml:space="preserve">134 tests passing across dictionary engine, statistics engine, preprocessor, importer, and session management. This is a reasonable foundation, but for a tool whose output will appear in peer-reviewed publications, the test suite needs to cover statistical correctness with particular rigor.</w:t>
      </w:r>
    </w:p>
    <w:p>
      <w:pPr>
        <w:pStyle w:val="Heading2"/>
        <w:spacing w:after="160" w:before="280"/>
      </w:pPr>
      <w:r>
        <w:rPr>
          <w:rFonts w:ascii="Arial" w:cs="Arial" w:eastAsia="Arial" w:hAnsi="Arial"/>
          <w:b/>
          <w:bCs/>
          <w:color w:val="2E7D5E"/>
          <w:sz w:val="26"/>
          <w:szCs w:val="26"/>
        </w:rPr>
        <w:t xml:space="preserve">9.2 Required Test Expansion</w:t>
      </w:r>
    </w:p>
    <w:p>
      <w:pPr>
        <w:spacing w:after="120" w:before="200"/>
      </w:pPr>
      <w:r>
        <w:rPr>
          <w:rFonts w:ascii="Arial" w:cs="Arial" w:eastAsia="Arial" w:hAnsi="Arial"/>
          <w:b/>
          <w:bCs/>
          <w:color w:val="1E2A35"/>
          <w:sz w:val="22"/>
          <w:szCs w:val="22"/>
        </w:rPr>
        <w:t xml:space="preserve">9.2.1 Statistical Correctness Tests</w:t>
      </w:r>
    </w:p>
    <w:p>
      <w:pPr>
        <w:spacing w:after="160" w:line="300"/>
        <w:jc w:val="left"/>
      </w:pPr>
      <w:r>
        <w:rPr>
          <w:rFonts w:ascii="Arial" w:cs="Arial" w:eastAsia="Arial" w:hAnsi="Arial"/>
          <w:sz w:val="21"/>
          <w:szCs w:val="21"/>
        </w:rPr>
        <w:t xml:space="preserve">For every statistical test TASS implements, create a test case using a dataset where the expected result is computed independently (in R or by hand). The test should verify: test statistic value (to 4 decimal places), degrees of freedom, p-value, effect size, and confidence interval bounds. These tests are the application's methodological insurance policy.</w:t>
      </w:r>
    </w:p>
    <w:p>
      <w:pPr>
        <w:spacing w:after="120" w:before="200"/>
      </w:pPr>
      <w:r>
        <w:rPr>
          <w:rFonts w:ascii="Arial" w:cs="Arial" w:eastAsia="Arial" w:hAnsi="Arial"/>
          <w:b/>
          <w:bCs/>
          <w:color w:val="1E2A35"/>
          <w:sz w:val="22"/>
          <w:szCs w:val="22"/>
        </w:rPr>
        <w:t xml:space="preserve">9.2.2 APA Formatting Tests</w:t>
      </w:r>
    </w:p>
    <w:p>
      <w:pPr>
        <w:spacing w:after="160" w:line="300"/>
        <w:jc w:val="left"/>
      </w:pPr>
      <w:r>
        <w:rPr>
          <w:rFonts w:ascii="Arial" w:cs="Arial" w:eastAsia="Arial" w:hAnsi="Arial"/>
          <w:sz w:val="21"/>
          <w:szCs w:val="21"/>
        </w:rPr>
        <w:t xml:space="preserve">Create test cases for every APA-formatted output string. Verify: no leading zeros on p-values, correct df formatting, correct significance markers, correct effect size labels. A malformatted APA table is a credibility-destroying bug.</w:t>
      </w:r>
    </w:p>
    <w:p>
      <w:pPr>
        <w:spacing w:after="120" w:before="200"/>
      </w:pPr>
      <w:r>
        <w:rPr>
          <w:rFonts w:ascii="Arial" w:cs="Arial" w:eastAsia="Arial" w:hAnsi="Arial"/>
          <w:b/>
          <w:bCs/>
          <w:color w:val="1E2A35"/>
          <w:sz w:val="22"/>
          <w:szCs w:val="22"/>
        </w:rPr>
        <w:t xml:space="preserve">9.2.3 N-Gram Matching Tests</w:t>
      </w:r>
    </w:p>
    <w:p>
      <w:pPr>
        <w:spacing w:after="160" w:line="300"/>
        <w:jc w:val="left"/>
      </w:pPr>
      <w:r>
        <w:rPr>
          <w:rFonts w:ascii="Arial" w:cs="Arial" w:eastAsia="Arial" w:hAnsi="Arial"/>
          <w:sz w:val="21"/>
          <w:szCs w:val="21"/>
        </w:rPr>
        <w:t xml:space="preserve">Create test cases for negation handling ("not happy" should match a negation-aware dictionary entry), phrase matching ("climate change" as a single unit), and double-counting prevention (matched n-grams should suppress constituent unigram matches).</w:t>
      </w:r>
    </w:p>
    <w:p>
      <w:pPr>
        <w:spacing w:after="120" w:before="200"/>
      </w:pPr>
      <w:r>
        <w:rPr>
          <w:rFonts w:ascii="Arial" w:cs="Arial" w:eastAsia="Arial" w:hAnsi="Arial"/>
          <w:b/>
          <w:bCs/>
          <w:color w:val="1E2A35"/>
          <w:sz w:val="22"/>
          <w:szCs w:val="22"/>
        </w:rPr>
        <w:t xml:space="preserve">9.2.4 Edge Case Tests</w:t>
      </w:r>
    </w:p>
    <w:p>
      <w:pPr>
        <w:spacing w:after="160" w:line="300"/>
        <w:jc w:val="left"/>
      </w:pPr>
      <w:r>
        <w:rPr>
          <w:rFonts w:ascii="Arial" w:cs="Arial" w:eastAsia="Arial" w:hAnsi="Arial"/>
          <w:sz w:val="21"/>
          <w:szCs w:val="21"/>
        </w:rPr>
        <w:t xml:space="preserve">Empty text entries, single-word entries, entries with only stopwords, entries with only punctuation, datasets with a single group, datasets with unequal group sizes, datasets where all values are identical (zero variance), datasets where normality passes for all groups, datasets where normality fails for all groups.</w:t>
      </w:r>
    </w:p>
    <w:p>
      <w:pPr>
        <w:pStyle w:val="Heading2"/>
        <w:spacing w:after="160" w:before="280"/>
      </w:pPr>
      <w:r>
        <w:rPr>
          <w:rFonts w:ascii="Arial" w:cs="Arial" w:eastAsia="Arial" w:hAnsi="Arial"/>
          <w:b/>
          <w:bCs/>
          <w:color w:val="2E7D5E"/>
          <w:sz w:val="26"/>
          <w:szCs w:val="26"/>
        </w:rPr>
        <w:t xml:space="preserve">9.3 CI/CD Pipeline</w:t>
      </w:r>
    </w:p>
    <w:p>
      <w:pPr>
        <w:spacing w:after="160" w:line="300"/>
        <w:jc w:val="left"/>
      </w:pPr>
      <w:r>
        <w:rPr>
          <w:rFonts w:ascii="Arial" w:cs="Arial" w:eastAsia="Arial" w:hAnsi="Arial"/>
          <w:sz w:val="21"/>
          <w:szCs w:val="21"/>
        </w:rPr>
        <w:t xml:space="preserve">The planned GitHub Actions matrix (windows-latest + macos-14) should be implemented before launch. Every pull request should run the full test suite on both platforms. Add a step that runs the statistical correctness tests and fails the build if any test statistic deviates from the expected value by more than 0.0001.</w:t>
      </w:r>
    </w:p>
    <w:p>
      <w:r>
        <w:br w:type="page"/>
      </w:r>
    </w:p>
    <w:p>
      <w:pPr>
        <w:pStyle w:val="Heading1"/>
        <w:spacing w:after="200" w:before="360"/>
      </w:pPr>
      <w:r>
        <w:rPr>
          <w:rFonts w:ascii="Arial" w:cs="Arial" w:eastAsia="Arial" w:hAnsi="Arial"/>
          <w:b/>
          <w:bCs/>
          <w:color w:val="1E2A35"/>
          <w:sz w:val="32"/>
          <w:szCs w:val="32"/>
        </w:rPr>
        <w:t xml:space="preserve">10. Technical Architecture Decisions</w:t>
      </w:r>
    </w:p>
    <w:p>
      <w:pPr>
        <w:pStyle w:val="Heading2"/>
        <w:spacing w:after="160" w:before="280"/>
      </w:pPr>
      <w:r>
        <w:rPr>
          <w:rFonts w:ascii="Arial" w:cs="Arial" w:eastAsia="Arial" w:hAnsi="Arial"/>
          <w:b/>
          <w:bCs/>
          <w:color w:val="2E7D5E"/>
          <w:sz w:val="26"/>
          <w:szCs w:val="26"/>
        </w:rPr>
        <w:t xml:space="preserve">10.1 Dependency Upgrades</w:t>
      </w:r>
    </w:p>
    <w:p>
      <w:pPr>
        <w:spacing w:after="160" w:line="300"/>
        <w:jc w:val="left"/>
      </w:pPr>
      <w:r>
        <w:rPr>
          <w:rFonts w:ascii="Arial" w:cs="Arial" w:eastAsia="Arial" w:hAnsi="Arial"/>
          <w:sz w:val="21"/>
          <w:szCs w:val="21"/>
        </w:rPr>
        <w:t xml:space="preserve">The planned migration to Python 3.12, PySide6 6.11.0, and PyInstaller 6.19.0 should be completed before launch. Additionally:</w:t>
      </w:r>
    </w:p>
    <w:p>
      <w:pPr>
        <w:pStyle w:val="ListParagraph"/>
        <w:numPr>
          <w:ilvl w:val="0"/>
          <w:numId w:val="2"/>
        </w:numPr>
        <w:spacing w:after="80" w:line="300"/>
      </w:pPr>
      <w:r>
        <w:rPr>
          <w:rFonts w:ascii="Arial" w:cs="Arial" w:eastAsia="Arial" w:hAnsi="Arial"/>
          <w:b/>
          <w:bCs/>
          <w:sz w:val="21"/>
          <w:szCs w:val="21"/>
        </w:rPr>
        <w:t xml:space="preserve">Add scikit-posthocs </w:t>
      </w:r>
      <w:r>
        <w:rPr>
          <w:rFonts w:ascii="Arial" w:cs="Arial" w:eastAsia="Arial" w:hAnsi="Arial"/>
          <w:sz w:val="21"/>
          <w:szCs w:val="21"/>
        </w:rPr>
        <w:t xml:space="preserve">for Dunn's test implementation.</w:t>
      </w:r>
    </w:p>
    <w:p>
      <w:pPr>
        <w:pStyle w:val="ListParagraph"/>
        <w:numPr>
          <w:ilvl w:val="0"/>
          <w:numId w:val="2"/>
        </w:numPr>
        <w:spacing w:after="80" w:line="300"/>
      </w:pPr>
      <w:r>
        <w:rPr>
          <w:rFonts w:ascii="Arial" w:cs="Arial" w:eastAsia="Arial" w:hAnsi="Arial"/>
          <w:b/>
          <w:bCs/>
          <w:sz w:val="21"/>
          <w:szCs w:val="21"/>
        </w:rPr>
        <w:t xml:space="preserve">Add desktop-notifier &gt;= 6.2.0 </w:t>
      </w:r>
      <w:r>
        <w:rPr>
          <w:rFonts w:ascii="Arial" w:cs="Arial" w:eastAsia="Arial" w:hAnsi="Arial"/>
          <w:sz w:val="21"/>
          <w:szCs w:val="21"/>
        </w:rPr>
        <w:t xml:space="preserve">for cross-platform notifications (dictionary updates, analysis completion).</w:t>
      </w:r>
    </w:p>
    <w:p>
      <w:pPr>
        <w:pStyle w:val="ListParagraph"/>
        <w:numPr>
          <w:ilvl w:val="0"/>
          <w:numId w:val="2"/>
        </w:numPr>
        <w:spacing w:after="80" w:line="300"/>
      </w:pPr>
      <w:r>
        <w:rPr>
          <w:rFonts w:ascii="Arial" w:cs="Arial" w:eastAsia="Arial" w:hAnsi="Arial"/>
          <w:b/>
          <w:bCs/>
          <w:sz w:val="21"/>
          <w:szCs w:val="21"/>
        </w:rPr>
        <w:t xml:space="preserve">Remove python-dotenv and requests </w:t>
      </w:r>
      <w:r>
        <w:rPr>
          <w:rFonts w:ascii="Arial" w:cs="Arial" w:eastAsia="Arial" w:hAnsi="Arial"/>
          <w:sz w:val="21"/>
          <w:szCs w:val="21"/>
        </w:rPr>
        <w:t xml:space="preserve">as planned.</w:t>
      </w:r>
    </w:p>
    <w:p>
      <w:pPr>
        <w:pStyle w:val="ListParagraph"/>
        <w:numPr>
          <w:ilvl w:val="0"/>
          <w:numId w:val="2"/>
        </w:numPr>
        <w:spacing w:after="80" w:line="300"/>
      </w:pPr>
      <w:r>
        <w:rPr>
          <w:rFonts w:ascii="Arial" w:cs="Arial" w:eastAsia="Arial" w:hAnsi="Arial"/>
          <w:b/>
          <w:bCs/>
          <w:sz w:val="21"/>
          <w:szCs w:val="21"/>
        </w:rPr>
        <w:t xml:space="preserve">Pin all dependencies to exact versions </w:t>
      </w:r>
      <w:r>
        <w:rPr>
          <w:rFonts w:ascii="Arial" w:cs="Arial" w:eastAsia="Arial" w:hAnsi="Arial"/>
          <w:sz w:val="21"/>
          <w:szCs w:val="21"/>
        </w:rPr>
        <w:t xml:space="preserve">in requirements.txt. A statistical tool should never have its behavior change because a dependency auto-updated.</w:t>
      </w:r>
    </w:p>
    <w:p>
      <w:pPr>
        <w:pStyle w:val="Heading2"/>
        <w:spacing w:after="160" w:before="280"/>
      </w:pPr>
      <w:r>
        <w:rPr>
          <w:rFonts w:ascii="Arial" w:cs="Arial" w:eastAsia="Arial" w:hAnsi="Arial"/>
          <w:b/>
          <w:bCs/>
          <w:color w:val="2E7D5E"/>
          <w:sz w:val="26"/>
          <w:szCs w:val="26"/>
        </w:rPr>
        <w:t xml:space="preserve">10.2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68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80"/>
            <w:tcBorders>
              <w:top w:val="single" w:color="CCCCCC" w:sz="1"/>
              <w:left w:val="single" w:color="CCCCCC" w:sz="1"/>
              <w:bottom w:val="single" w:color="CCCCCC" w:sz="1"/>
              <w:right w:val="single" w:color="CCCCCC" w:sz="1"/>
            </w:tcBorders>
            <w:shd w:fill="2E7D5E"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Import 50,000 rows CSV</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8GB RAM machine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Score 50,000 entries, 3 dictionaries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ThreadPoolExecutor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Group comparison, 5 groups, 10 categories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Including post-hoc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Chart render (any type)</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second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Matplotlib canvas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cold start</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seconds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usable Home screen</w:t>
            </w:r>
          </w:p>
        </w:tc>
      </w:tr>
    </w:tbl>
    <w:p>
      <w:pPr>
        <w:spacing w:after="120"/>
      </w:pPr>
    </w:p>
    <w:p>
      <w:pPr>
        <w:pStyle w:val="Heading2"/>
        <w:spacing w:after="160" w:before="280"/>
      </w:pPr>
      <w:r>
        <w:rPr>
          <w:rFonts w:ascii="Arial" w:cs="Arial" w:eastAsia="Arial" w:hAnsi="Arial"/>
          <w:b/>
          <w:bCs/>
          <w:color w:val="2E7D5E"/>
          <w:sz w:val="26"/>
          <w:szCs w:val="26"/>
        </w:rPr>
        <w:t xml:space="preserve">10.3 Data Integrity</w:t>
      </w:r>
    </w:p>
    <w:p>
      <w:pPr>
        <w:spacing w:after="160" w:line="300"/>
        <w:jc w:val="left"/>
      </w:pPr>
      <w:r>
        <w:rPr>
          <w:rFonts w:ascii="Arial" w:cs="Arial" w:eastAsia="Arial" w:hAnsi="Arial"/>
          <w:sz w:val="21"/>
          <w:szCs w:val="21"/>
        </w:rPr>
        <w:t xml:space="preserve">The .tass project file format (ZIP with parquet data, JSON config) is well-designed. Add a SHA-256 checksum to the manifest.json that covers the data.parquet file. On project open, verify the checksum. If it fails, warn the user that the data may have been modified outside TASS. This is a small addition that signals seriousness about data integrity to institutional adopters.</w:t>
      </w:r>
    </w:p>
    <w:p>
      <w:r>
        <w:br w:type="page"/>
      </w:r>
    </w:p>
    <w:p>
      <w:pPr>
        <w:pStyle w:val="Heading1"/>
        <w:spacing w:after="200" w:before="360"/>
      </w:pPr>
      <w:r>
        <w:rPr>
          <w:rFonts w:ascii="Arial" w:cs="Arial" w:eastAsia="Arial" w:hAnsi="Arial"/>
          <w:b/>
          <w:bCs/>
          <w:color w:val="1E2A35"/>
          <w:sz w:val="32"/>
          <w:szCs w:val="32"/>
        </w:rPr>
        <w:t xml:space="preserve">11. Launch &amp; Go-to-Market Strategy</w:t>
      </w:r>
    </w:p>
    <w:p>
      <w:pPr>
        <w:pStyle w:val="Heading2"/>
        <w:spacing w:after="160" w:before="280"/>
      </w:pPr>
      <w:r>
        <w:rPr>
          <w:rFonts w:ascii="Arial" w:cs="Arial" w:eastAsia="Arial" w:hAnsi="Arial"/>
          <w:b/>
          <w:bCs/>
          <w:color w:val="2E7D5E"/>
          <w:sz w:val="26"/>
          <w:szCs w:val="26"/>
        </w:rPr>
        <w:t xml:space="preserve">11.1 Pre-Launch Checklist</w:t>
      </w:r>
    </w:p>
    <w:p>
      <w:pPr>
        <w:pStyle w:val="ListParagraph"/>
        <w:numPr>
          <w:ilvl w:val="0"/>
          <w:numId w:val="3"/>
        </w:numPr>
        <w:spacing w:after="80" w:line="300"/>
      </w:pPr>
      <w:r>
        <w:rPr>
          <w:rFonts w:ascii="Arial" w:cs="Arial" w:eastAsia="Arial" w:hAnsi="Arial"/>
          <w:sz w:val="21"/>
          <w:szCs w:val="21"/>
        </w:rPr>
        <w:t xml:space="preserve">Clean-VM installer testing on both Windows 10 and Windows 11.</w:t>
      </w:r>
    </w:p>
    <w:p>
      <w:pPr>
        <w:pStyle w:val="ListParagraph"/>
        <w:numPr>
          <w:ilvl w:val="0"/>
          <w:numId w:val="3"/>
        </w:numPr>
        <w:spacing w:after="80" w:line="300"/>
      </w:pPr>
      <w:r>
        <w:rPr>
          <w:rFonts w:ascii="Arial" w:cs="Arial" w:eastAsia="Arial" w:hAnsi="Arial"/>
          <w:sz w:val="21"/>
          <w:szCs w:val="21"/>
        </w:rPr>
        <w:t xml:space="preserve">All 14 v1.0 features implemented and tested.</w:t>
      </w:r>
    </w:p>
    <w:p>
      <w:pPr>
        <w:pStyle w:val="ListParagraph"/>
        <w:numPr>
          <w:ilvl w:val="0"/>
          <w:numId w:val="3"/>
        </w:numPr>
        <w:spacing w:after="80" w:line="300"/>
      </w:pPr>
      <w:r>
        <w:rPr>
          <w:rFonts w:ascii="Arial" w:cs="Arial" w:eastAsia="Arial" w:hAnsi="Arial"/>
          <w:sz w:val="21"/>
          <w:szCs w:val="21"/>
        </w:rPr>
        <w:t xml:space="preserve">Statistical correctness test suite passing against R-verified baselines.</w:t>
      </w:r>
    </w:p>
    <w:p>
      <w:pPr>
        <w:pStyle w:val="ListParagraph"/>
        <w:numPr>
          <w:ilvl w:val="0"/>
          <w:numId w:val="3"/>
        </w:numPr>
        <w:spacing w:after="80" w:line="300"/>
      </w:pPr>
      <w:r>
        <w:rPr>
          <w:rFonts w:ascii="Arial" w:cs="Arial" w:eastAsia="Arial" w:hAnsi="Arial"/>
          <w:sz w:val="21"/>
          <w:szCs w:val="21"/>
        </w:rPr>
        <w:t xml:space="preserve">Benchmark corpus analysis published on documentation site.</w:t>
      </w:r>
    </w:p>
    <w:p>
      <w:pPr>
        <w:pStyle w:val="ListParagraph"/>
        <w:numPr>
          <w:ilvl w:val="0"/>
          <w:numId w:val="3"/>
        </w:numPr>
        <w:spacing w:after="80" w:line="300"/>
      </w:pPr>
      <w:r>
        <w:rPr>
          <w:rFonts w:ascii="Arial" w:cs="Arial" w:eastAsia="Arial" w:hAnsi="Arial"/>
          <w:sz w:val="21"/>
          <w:szCs w:val="21"/>
        </w:rPr>
        <w:t xml:space="preserve">Lemon Squeezy subscription tiers configured and tested.</w:t>
      </w:r>
    </w:p>
    <w:p>
      <w:pPr>
        <w:pStyle w:val="ListParagraph"/>
        <w:numPr>
          <w:ilvl w:val="0"/>
          <w:numId w:val="3"/>
        </w:numPr>
        <w:spacing w:after="80" w:line="300"/>
      </w:pPr>
      <w:r>
        <w:rPr>
          <w:rFonts w:ascii="Arial" w:cs="Arial" w:eastAsia="Arial" w:hAnsi="Arial"/>
          <w:sz w:val="21"/>
          <w:szCs w:val="21"/>
        </w:rPr>
        <w:t xml:space="preserve">Zenodo DOI registered for TASS citation.</w:t>
      </w:r>
    </w:p>
    <w:p>
      <w:pPr>
        <w:pStyle w:val="ListParagraph"/>
        <w:numPr>
          <w:ilvl w:val="0"/>
          <w:numId w:val="3"/>
        </w:numPr>
        <w:spacing w:after="80" w:line="300"/>
      </w:pPr>
      <w:r>
        <w:rPr>
          <w:rFonts w:ascii="Arial" w:cs="Arial" w:eastAsia="Arial" w:hAnsi="Arial"/>
          <w:sz w:val="21"/>
          <w:szCs w:val="21"/>
        </w:rPr>
        <w:t xml:space="preserve">In-app documentation complete for all features.</w:t>
      </w:r>
    </w:p>
    <w:p>
      <w:pPr>
        <w:pStyle w:val="ListParagraph"/>
        <w:numPr>
          <w:ilvl w:val="0"/>
          <w:numId w:val="3"/>
        </w:numPr>
        <w:spacing w:after="80" w:line="300"/>
      </w:pPr>
      <w:r>
        <w:rPr>
          <w:rFonts w:ascii="Arial" w:cs="Arial" w:eastAsia="Arial" w:hAnsi="Arial"/>
          <w:sz w:val="21"/>
          <w:szCs w:val="21"/>
        </w:rPr>
        <w:t xml:space="preserve">Product Hunt launch page drafted.</w:t>
      </w:r>
    </w:p>
    <w:p>
      <w:pPr>
        <w:pStyle w:val="ListParagraph"/>
        <w:numPr>
          <w:ilvl w:val="0"/>
          <w:numId w:val="3"/>
        </w:numPr>
        <w:spacing w:after="80" w:line="300"/>
      </w:pPr>
      <w:r>
        <w:rPr>
          <w:rFonts w:ascii="Arial" w:cs="Arial" w:eastAsia="Arial" w:hAnsi="Arial"/>
          <w:sz w:val="21"/>
          <w:szCs w:val="21"/>
        </w:rPr>
        <w:t xml:space="preserve">Brevo email sequence configured for launch announcement.</w:t>
      </w:r>
    </w:p>
    <w:p>
      <w:pPr>
        <w:pStyle w:val="ListParagraph"/>
        <w:numPr>
          <w:ilvl w:val="0"/>
          <w:numId w:val="3"/>
        </w:numPr>
        <w:spacing w:after="80" w:line="300"/>
      </w:pPr>
      <w:r>
        <w:rPr>
          <w:rFonts w:ascii="Arial" w:cs="Arial" w:eastAsia="Arial" w:hAnsi="Arial"/>
          <w:sz w:val="21"/>
          <w:szCs w:val="21"/>
        </w:rPr>
        <w:t xml:space="preserve">usetass.app website with product page, pricing, documentation, and benchmark results.</w:t>
      </w:r>
    </w:p>
    <w:p>
      <w:pPr>
        <w:pStyle w:val="Heading2"/>
        <w:spacing w:after="160" w:before="280"/>
      </w:pPr>
      <w:r>
        <w:rPr>
          <w:rFonts w:ascii="Arial" w:cs="Arial" w:eastAsia="Arial" w:hAnsi="Arial"/>
          <w:b/>
          <w:bCs/>
          <w:color w:val="2E7D5E"/>
          <w:sz w:val="26"/>
          <w:szCs w:val="26"/>
        </w:rPr>
        <w:t xml:space="preserve">11.2 Launch Channels</w:t>
      </w:r>
    </w:p>
    <w:p>
      <w:pPr>
        <w:spacing w:after="160" w:line="300"/>
        <w:jc w:val="left"/>
      </w:pPr>
      <w:r>
        <w:rPr>
          <w:rFonts w:ascii="Arial" w:cs="Arial" w:eastAsia="Arial" w:hAnsi="Arial"/>
          <w:sz w:val="21"/>
          <w:szCs w:val="21"/>
        </w:rPr>
        <w:t xml:space="preserve">The distribution strategy should layer academic credibility channels first, then broaden:</w:t>
      </w:r>
    </w:p>
    <w:p>
      <w:pPr>
        <w:spacing w:after="120" w:before="200"/>
      </w:pPr>
      <w:r>
        <w:rPr>
          <w:rFonts w:ascii="Arial" w:cs="Arial" w:eastAsia="Arial" w:hAnsi="Arial"/>
          <w:b/>
          <w:bCs/>
          <w:color w:val="1E2A35"/>
          <w:sz w:val="22"/>
          <w:szCs w:val="22"/>
        </w:rPr>
        <w:t xml:space="preserve">Week 1: Academic Credibility</w:t>
      </w:r>
    </w:p>
    <w:p>
      <w:pPr>
        <w:pStyle w:val="ListParagraph"/>
        <w:numPr>
          <w:ilvl w:val="0"/>
          <w:numId w:val="2"/>
        </w:numPr>
        <w:spacing w:after="80" w:line="300"/>
      </w:pPr>
      <w:r>
        <w:rPr>
          <w:rFonts w:ascii="Arial" w:cs="Arial" w:eastAsia="Arial" w:hAnsi="Arial"/>
          <w:sz w:val="21"/>
          <w:szCs w:val="21"/>
        </w:rPr>
        <w:t xml:space="preserve">CRTNET, AAPOR, and POLCOMM listserv announcements. Frame as: new open-dictionary text analysis tool for social scientists, with integrated statistics and publication-ready export.</w:t>
      </w:r>
    </w:p>
    <w:p>
      <w:pPr>
        <w:pStyle w:val="ListParagraph"/>
        <w:numPr>
          <w:ilvl w:val="0"/>
          <w:numId w:val="2"/>
        </w:numPr>
        <w:spacing w:after="80" w:line="300"/>
      </w:pPr>
      <w:r>
        <w:rPr>
          <w:rFonts w:ascii="Arial" w:cs="Arial" w:eastAsia="Arial" w:hAnsi="Arial"/>
          <w:sz w:val="21"/>
          <w:szCs w:val="21"/>
        </w:rPr>
        <w:t xml:space="preserve">Direct outreach to 10 to 15 methods-focused faculty at R1 institutions. Offer complimentary Researcher subscriptions for the first year in exchange for feedback.</w:t>
      </w:r>
    </w:p>
    <w:p>
      <w:pPr>
        <w:pStyle w:val="ListParagraph"/>
        <w:numPr>
          <w:ilvl w:val="0"/>
          <w:numId w:val="2"/>
        </w:numPr>
        <w:spacing w:after="80" w:line="300"/>
      </w:pPr>
      <w:r>
        <w:rPr>
          <w:rFonts w:ascii="Arial" w:cs="Arial" w:eastAsia="Arial" w:hAnsi="Arial"/>
          <w:sz w:val="21"/>
          <w:szCs w:val="21"/>
        </w:rPr>
        <w:t xml:space="preserve">Submit the benchmark validation analysis as a brief methods paper to a relevant outlet (Communication Methods and Measures, or Behavior Research Methods).</w:t>
      </w:r>
    </w:p>
    <w:p>
      <w:pPr>
        <w:spacing w:after="120" w:before="200"/>
      </w:pPr>
      <w:r>
        <w:rPr>
          <w:rFonts w:ascii="Arial" w:cs="Arial" w:eastAsia="Arial" w:hAnsi="Arial"/>
          <w:b/>
          <w:bCs/>
          <w:color w:val="1E2A35"/>
          <w:sz w:val="22"/>
          <w:szCs w:val="22"/>
        </w:rPr>
        <w:t xml:space="preserve">Week 2: Practitioner Channels</w:t>
      </w:r>
    </w:p>
    <w:p>
      <w:pPr>
        <w:pStyle w:val="ListParagraph"/>
        <w:numPr>
          <w:ilvl w:val="0"/>
          <w:numId w:val="2"/>
        </w:numPr>
        <w:spacing w:after="80" w:line="300"/>
      </w:pPr>
      <w:r>
        <w:rPr>
          <w:rFonts w:ascii="Arial" w:cs="Arial" w:eastAsia="Arial" w:hAnsi="Arial"/>
          <w:sz w:val="21"/>
          <w:szCs w:val="21"/>
        </w:rPr>
        <w:t xml:space="preserve">NICAR-L and IRE (journalism research community).</w:t>
      </w:r>
    </w:p>
    <w:p>
      <w:pPr>
        <w:pStyle w:val="ListParagraph"/>
        <w:numPr>
          <w:ilvl w:val="0"/>
          <w:numId w:val="2"/>
        </w:numPr>
        <w:spacing w:after="80" w:line="300"/>
      </w:pPr>
      <w:r>
        <w:rPr>
          <w:rFonts w:ascii="Arial" w:cs="Arial" w:eastAsia="Arial" w:hAnsi="Arial"/>
          <w:sz w:val="21"/>
          <w:szCs w:val="21"/>
        </w:rPr>
        <w:t xml:space="preserve">Reddit communities: r/AcademicPsychology, r/compsci, r/PhD, r/linguistics, r/DigitalHumanities.</w:t>
      </w:r>
    </w:p>
    <w:p>
      <w:pPr>
        <w:pStyle w:val="ListParagraph"/>
        <w:numPr>
          <w:ilvl w:val="0"/>
          <w:numId w:val="2"/>
        </w:numPr>
        <w:spacing w:after="80" w:line="300"/>
      </w:pPr>
      <w:r>
        <w:rPr>
          <w:rFonts w:ascii="Arial" w:cs="Arial" w:eastAsia="Arial" w:hAnsi="Arial"/>
          <w:sz w:val="21"/>
          <w:szCs w:val="21"/>
        </w:rPr>
        <w:t xml:space="preserve">Product Hunt launch.</w:t>
      </w:r>
    </w:p>
    <w:p>
      <w:pPr>
        <w:spacing w:after="120" w:before="200"/>
      </w:pPr>
      <w:r>
        <w:rPr>
          <w:rFonts w:ascii="Arial" w:cs="Arial" w:eastAsia="Arial" w:hAnsi="Arial"/>
          <w:b/>
          <w:bCs/>
          <w:color w:val="1E2A35"/>
          <w:sz w:val="22"/>
          <w:szCs w:val="22"/>
        </w:rPr>
        <w:t xml:space="preserve">Week 3+: Content Marketing</w:t>
      </w:r>
    </w:p>
    <w:p>
      <w:pPr>
        <w:pStyle w:val="ListParagraph"/>
        <w:numPr>
          <w:ilvl w:val="0"/>
          <w:numId w:val="2"/>
        </w:numPr>
        <w:spacing w:after="80" w:line="300"/>
      </w:pPr>
      <w:r>
        <w:rPr>
          <w:rFonts w:ascii="Arial" w:cs="Arial" w:eastAsia="Arial" w:hAnsi="Arial"/>
          <w:sz w:val="21"/>
          <w:szCs w:val="21"/>
        </w:rPr>
        <w:t xml:space="preserve">Tutorial video: "From Raw Survey Data to APA Table in 5 Minutes with TASS."</w:t>
      </w:r>
    </w:p>
    <w:p>
      <w:pPr>
        <w:pStyle w:val="ListParagraph"/>
        <w:numPr>
          <w:ilvl w:val="0"/>
          <w:numId w:val="2"/>
        </w:numPr>
        <w:spacing w:after="80" w:line="300"/>
      </w:pPr>
      <w:r>
        <w:rPr>
          <w:rFonts w:ascii="Arial" w:cs="Arial" w:eastAsia="Arial" w:hAnsi="Arial"/>
          <w:sz w:val="21"/>
          <w:szCs w:val="21"/>
        </w:rPr>
        <w:t xml:space="preserve">Blog post: "Why Dictionary-Based Text Analysis Needs Better Tools" (positioned as thought leadership, not product marketing).</w:t>
      </w:r>
    </w:p>
    <w:p>
      <w:pPr>
        <w:pStyle w:val="ListParagraph"/>
        <w:numPr>
          <w:ilvl w:val="0"/>
          <w:numId w:val="2"/>
        </w:numPr>
        <w:spacing w:after="80" w:line="300"/>
      </w:pPr>
      <w:r>
        <w:rPr>
          <w:rFonts w:ascii="Arial" w:cs="Arial" w:eastAsia="Arial" w:hAnsi="Arial"/>
          <w:sz w:val="21"/>
          <w:szCs w:val="21"/>
        </w:rPr>
        <w:t xml:space="preserve">Comparison page: "TASS vs. LIWC-22: Feature-by-Feature Comparison" on usetass.app.</w:t>
      </w:r>
    </w:p>
    <w:p>
      <w:pPr>
        <w:pStyle w:val="Heading2"/>
        <w:spacing w:after="160" w:before="280"/>
      </w:pPr>
      <w:r>
        <w:rPr>
          <w:rFonts w:ascii="Arial" w:cs="Arial" w:eastAsia="Arial" w:hAnsi="Arial"/>
          <w:b/>
          <w:bCs/>
          <w:color w:val="2E7D5E"/>
          <w:sz w:val="26"/>
          <w:szCs w:val="26"/>
        </w:rPr>
        <w:t xml:space="preserve">11.3 The Academic Adoption Flywheel</w:t>
      </w:r>
    </w:p>
    <w:p>
      <w:pPr>
        <w:spacing w:after="160" w:line="300"/>
        <w:jc w:val="left"/>
      </w:pPr>
      <w:r>
        <w:rPr>
          <w:rFonts w:ascii="Arial" w:cs="Arial" w:eastAsia="Arial" w:hAnsi="Arial"/>
          <w:sz w:val="21"/>
          <w:szCs w:val="21"/>
        </w:rPr>
        <w:t xml:space="preserve">The long-term adoption strategy is a flywheel that looks like this: a methods faculty member adopts TASS for a course, students learn to use it, those students become researchers who cite TASS in their publications, those citations generate awareness among other researchers, and those researchers adopt TASS for their own labs. The Student tier at $49/year is the flywheel's entry point. The lab and department tiers are where the revenue compounds.</w:t>
      </w:r>
    </w:p>
    <w:p>
      <w:pPr>
        <w:spacing w:after="160" w:line="300"/>
        <w:jc w:val="left"/>
      </w:pPr>
      <w:r>
        <w:rPr>
          <w:rFonts w:ascii="Arial" w:cs="Arial" w:eastAsia="Arial" w:hAnsi="Arial"/>
          <w:sz w:val="21"/>
          <w:szCs w:val="21"/>
        </w:rPr>
        <w:t xml:space="preserve">To accelerate the flywheel, create a free "TASS for Teaching" resource kit: a sample dataset, a step-by-step lab exercise (import, analyze, compare, export), and a slide deck that a professor can drop into a methods course. Distribute through the SIUE faculty working group first, then through listserv announcements.</w:t>
      </w:r>
    </w:p>
    <w:p>
      <w:r>
        <w:br w:type="page"/>
      </w:r>
    </w:p>
    <w:p>
      <w:pPr>
        <w:pStyle w:val="Heading1"/>
        <w:spacing w:after="200" w:before="360"/>
      </w:pPr>
      <w:r>
        <w:rPr>
          <w:rFonts w:ascii="Arial" w:cs="Arial" w:eastAsia="Arial" w:hAnsi="Arial"/>
          <w:b/>
          <w:bCs/>
          <w:color w:val="1E2A35"/>
          <w:sz w:val="32"/>
          <w:szCs w:val="32"/>
        </w:rPr>
        <w:t xml:space="preserve">12. Summary of Priorities</w:t>
      </w:r>
    </w:p>
    <w:p>
      <w:pPr>
        <w:spacing w:after="160" w:line="300"/>
        <w:jc w:val="left"/>
      </w:pPr>
      <w:r>
        <w:rPr>
          <w:rFonts w:ascii="Arial" w:cs="Arial" w:eastAsia="Arial" w:hAnsi="Arial"/>
          <w:sz w:val="21"/>
          <w:szCs w:val="21"/>
        </w:rPr>
        <w:t xml:space="preserve">If the development team takes one thing from this document, it should be this: methodological credibility is not a feature. It is the product. Every design decision, every default setting, every label in the interface should be evaluated against a single question: Would a reviewer accept this output in a methods section?</w:t>
      </w:r>
    </w:p>
    <w:p>
      <w:pPr>
        <w:spacing w:after="160" w:line="300"/>
        <w:jc w:val="left"/>
      </w:pPr>
      <w:r>
        <w:rPr>
          <w:rFonts w:ascii="Arial" w:cs="Arial" w:eastAsia="Arial" w:hAnsi="Arial"/>
          <w:sz w:val="21"/>
          <w:szCs w:val="21"/>
        </w:rPr>
        <w:t xml:space="preserve">The three highest-priority workstreams, in order:</w:t>
      </w:r>
    </w:p>
    <w:p>
      <w:pPr>
        <w:pStyle w:val="ListParagraph"/>
        <w:numPr>
          <w:ilvl w:val="0"/>
          <w:numId w:val="3"/>
        </w:numPr>
        <w:spacing w:after="120" w:line="300"/>
      </w:pPr>
      <w:r>
        <w:rPr>
          <w:rFonts w:ascii="Arial" w:cs="Arial" w:eastAsia="Arial" w:hAnsi="Arial"/>
          <w:b/>
          <w:bCs/>
          <w:sz w:val="21"/>
          <w:szCs w:val="21"/>
        </w:rPr>
        <w:t xml:space="preserve">Methodological correctness. </w:t>
      </w:r>
      <w:r>
        <w:rPr>
          <w:rFonts w:ascii="Arial" w:cs="Arial" w:eastAsia="Arial" w:hAnsi="Arial"/>
          <w:sz w:val="21"/>
          <w:szCs w:val="21"/>
        </w:rPr>
        <w:t xml:space="preserve">Fix Dunn's test, add Levene's, implement degrees of freedom, fix p-value formatting, add effect size labels, implement n-gram support. These are bugs in the application's credibility, not features on a wishlist.</w:t>
      </w:r>
    </w:p>
    <w:p>
      <w:pPr>
        <w:pStyle w:val="ListParagraph"/>
        <w:numPr>
          <w:ilvl w:val="0"/>
          <w:numId w:val="3"/>
        </w:numPr>
        <w:spacing w:after="120" w:line="300"/>
      </w:pPr>
      <w:r>
        <w:rPr>
          <w:rFonts w:ascii="Arial" w:cs="Arial" w:eastAsia="Arial" w:hAnsi="Arial"/>
          <w:b/>
          <w:bCs/>
          <w:sz w:val="21"/>
          <w:szCs w:val="21"/>
        </w:rPr>
        <w:t xml:space="preserve">Structured output. </w:t>
      </w:r>
      <w:r>
        <w:rPr>
          <w:rFonts w:ascii="Arial" w:cs="Arial" w:eastAsia="Arial" w:hAnsi="Arial"/>
          <w:sz w:val="21"/>
          <w:szCs w:val="21"/>
        </w:rPr>
        <w:t xml:space="preserve">Rebuild the Compare panel results display as a 4-block structured output viewer. This is the architectural change that makes TASS feel like professional software rather than a prototype.</w:t>
      </w:r>
    </w:p>
    <w:p>
      <w:pPr>
        <w:pStyle w:val="ListParagraph"/>
        <w:numPr>
          <w:ilvl w:val="0"/>
          <w:numId w:val="3"/>
        </w:numPr>
        <w:spacing w:after="120" w:line="300"/>
      </w:pPr>
      <w:r>
        <w:rPr>
          <w:rFonts w:ascii="Arial" w:cs="Arial" w:eastAsia="Arial" w:hAnsi="Arial"/>
          <w:b/>
          <w:bCs/>
          <w:sz w:val="21"/>
          <w:szCs w:val="21"/>
        </w:rPr>
        <w:t xml:space="preserve">Subscription infrastructure. </w:t>
      </w:r>
      <w:r>
        <w:rPr>
          <w:rFonts w:ascii="Arial" w:cs="Arial" w:eastAsia="Arial" w:hAnsi="Arial"/>
          <w:sz w:val="21"/>
          <w:szCs w:val="21"/>
        </w:rPr>
        <w:t xml:space="preserve">Migrate to Lemon Squeezy, implement the four-tier pricing model, extend the trial to 30 days. The pricing model is the mechanism that makes everything else sustainable.</w:t>
      </w:r>
    </w:p>
    <w:p>
      <w:pPr>
        <w:spacing w:after="160" w:line="300"/>
        <w:jc w:val="left"/>
      </w:pPr>
      <w:r>
        <w:rPr>
          <w:rFonts w:ascii="Arial" w:cs="Arial" w:eastAsia="Arial" w:hAnsi="Arial"/>
          <w:sz w:val="21"/>
          <w:szCs w:val="21"/>
        </w:rPr>
        <w:t xml:space="preserve">Everything else, the v1.1 and v1.2 features, the macOS build, the marketing strategy, follows from getting these three right.</w:t>
      </w:r>
    </w:p>
    <w:p>
      <w:pPr>
        <w:spacing w:after="400"/>
      </w:pPr>
    </w:p>
    <w:p>
      <w:pPr>
        <w:pBdr>
          <w:top w:val="single" w:color="2E7D5E" w:sz="4" w:space="8"/>
        </w:pBdr>
        <w:spacing w:before="200"/>
      </w:pPr>
      <w:r>
        <w:rPr>
          <w:rFonts w:ascii="Arial" w:cs="Arial" w:eastAsia="Arial" w:hAnsi="Arial"/>
          <w:i/>
          <w:iCs/>
          <w:color w:val="999999"/>
          <w:sz w:val="18"/>
          <w:szCs w:val="18"/>
        </w:rPr>
        <w:t xml:space="preserve">Prepared by SIM DAD LLC for internal use. All recommendations are based on competitive analysis, methodological literature review, and direct assessment of the TASS capabilities document dated March 31,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5E" w:sz="4" w:space="4"/>
      </w:pBdr>
      <w:jc w:val="center"/>
    </w:pPr>
    <w:r>
      <w:rPr>
        <w:rFonts w:ascii="Arial" w:cs="Arial" w:eastAsia="Arial" w:hAnsi="Arial"/>
        <w:color w:val="999999"/>
        <w:sz w:val="16"/>
        <w:szCs w:val="16"/>
      </w:rPr>
      <w:t xml:space="preserve">March 2026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5E" w:sz="4" w:space="4"/>
      </w:pBdr>
      <w:tabs>
        <w:tab w:val="right" w:pos="9026"/>
      </w:tabs>
    </w:pPr>
    <w:r>
      <w:rPr>
        <w:rFonts w:ascii="Arial" w:cs="Arial" w:eastAsia="Arial" w:hAnsi="Arial"/>
        <w:color w:val="999999"/>
        <w:sz w:val="18"/>
        <w:szCs w:val="18"/>
      </w:rPr>
      <w:t xml:space="preserve">TASS Development Plan	SIM DAD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A3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2026-04-01T04:30:22.901Z</dcterms:created>
  <dcterms:modified xsi:type="dcterms:W3CDTF">2026-04-01T04:30:22.902Z</dcterms:modified>
</cp:coreProperties>
</file>

<file path=docProps/custom.xml><?xml version="1.0" encoding="utf-8"?>
<Properties xmlns="http://schemas.openxmlformats.org/officeDocument/2006/custom-properties" xmlns:vt="http://schemas.openxmlformats.org/officeDocument/2006/docPropsVTypes"/>
</file>