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sz w:val="26"/>
          <w:szCs w:val="26"/>
        </w:rPr>
        <w:t xml:space="preserve">ESGI — École Supérieure de Génie Informatique</w:t>
      </w:r>
    </w:p>
    <w:p>
      <w:pPr>
        <w:spacing w:after="600"/>
        <w:jc w:val="center"/>
      </w:pPr>
      <w:r>
        <w:rPr>
          <w:rFonts w:ascii="Arial" w:cs="Arial" w:eastAsia="Arial" w:hAnsi="Arial"/>
          <w:sz w:val="22"/>
          <w:szCs w:val="22"/>
        </w:rPr>
        <w:t xml:space="preserve">Projet Annuel — Intelligence Artificielle &amp; Machine Learning</w:t>
      </w:r>
    </w:p>
    <w:p>
      <w:pPr>
        <w:spacing w:after="120"/>
        <w:jc w:val="center"/>
      </w:pPr>
      <w:r>
        <w:rPr>
          <w:rFonts w:ascii="Arial" w:cs="Arial" w:eastAsia="Arial" w:hAnsi="Arial"/>
          <w:b/>
          <w:bCs/>
          <w:color w:val="1F4E79"/>
          <w:sz w:val="64"/>
          <w:szCs w:val="64"/>
        </w:rPr>
        <w:t xml:space="preserve">VisionAI</w:t>
      </w:r>
    </w:p>
    <w:p>
      <w:pPr>
        <w:spacing w:after="60"/>
        <w:jc w:val="center"/>
      </w:pPr>
      <w:r>
        <w:rPr>
          <w:rFonts w:ascii="Arial" w:cs="Arial" w:eastAsia="Arial" w:hAnsi="Arial"/>
          <w:sz w:val="28"/>
          <w:szCs w:val="28"/>
        </w:rPr>
        <w:t xml:space="preserve">Framework de Machine Learning en Rust</w:t>
      </w:r>
    </w:p>
    <w:p>
      <w:pPr>
        <w:spacing w:after="500"/>
        <w:jc w:val="center"/>
      </w:pPr>
      <w:r>
        <w:rPr>
          <w:rFonts w:ascii="Arial" w:cs="Arial" w:eastAsia="Arial" w:hAnsi="Arial"/>
          <w:sz w:val="24"/>
          <w:szCs w:val="24"/>
        </w:rPr>
        <w:t xml:space="preserve">avec bindings Python, API REST et application client/serveur</w:t>
      </w:r>
    </w:p>
    <w:p>
      <w:pPr>
        <w:spacing w:after="700"/>
        <w:jc w:val="center"/>
      </w:pPr>
      <w:r>
        <w:rPr>
          <w:rFonts w:ascii="Arial" w:cs="Arial" w:eastAsia="Arial" w:hAnsi="Arial"/>
          <w:b/>
          <w:bCs/>
          <w:sz w:val="24"/>
          <w:szCs w:val="24"/>
        </w:rPr>
        <w:t xml:space="preserve">Rapport de projet</w:t>
      </w:r>
    </w:p>
    <w:p>
      <w:pPr>
        <w:spacing w:after="60"/>
        <w:jc w:val="center"/>
      </w:pPr>
      <w:r>
        <w:rPr>
          <w:rFonts w:ascii="Arial" w:cs="Arial" w:eastAsia="Arial" w:hAnsi="Arial"/>
          <w:sz w:val="24"/>
          <w:szCs w:val="24"/>
        </w:rPr>
        <w:t xml:space="preserve">Valentin Brouc</w:t>
      </w:r>
    </w:p>
    <w:p>
      <w:pPr>
        <w:spacing w:after="60"/>
        <w:jc w:val="center"/>
      </w:pPr>
      <w:r>
        <w:rPr>
          <w:rFonts w:ascii="Arial" w:cs="Arial" w:eastAsia="Arial" w:hAnsi="Arial"/>
          <w:sz w:val="24"/>
          <w:szCs w:val="24"/>
        </w:rPr>
        <w:t xml:space="preserve">Ali Sincer</w:t>
      </w:r>
    </w:p>
    <w:p>
      <w:pPr>
        <w:spacing w:after="400"/>
        <w:jc w:val="center"/>
      </w:pPr>
      <w:r>
        <w:rPr>
          <w:rFonts w:ascii="Arial" w:cs="Arial" w:eastAsia="Arial" w:hAnsi="Arial"/>
          <w:sz w:val="24"/>
          <w:szCs w:val="24"/>
        </w:rPr>
        <w:t xml:space="preserve">Thinina Haddad</w:t>
      </w:r>
    </w:p>
    <w:p>
      <w:pPr>
        <w:spacing w:after="120"/>
        <w:jc w:val="center"/>
      </w:pPr>
      <w:r>
        <w:rPr>
          <w:rFonts w:ascii="Arial" w:cs="Arial" w:eastAsia="Arial" w:hAnsi="Arial"/>
          <w:sz w:val="22"/>
          <w:szCs w:val="22"/>
        </w:rPr>
        <w:t xml:space="preserve">Année 2025-2026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jc w:val="both"/>
      </w:pPr>
      <w:r>
        <w:t xml:space="preserve">Ce rapport présente VisionAI, notre projet annuel : un framework de Machine Learning développé entièrement en Rust, accompagné de bindings Python, d'une API REST et d'une application cliente web. L'objectif n'était pas seulement de faire fonctionner des algorithmes de ML, mais d'en comprendre les mécanismes internes en les implémentant nous-mêmes.</w:t>
      </w:r>
    </w:p>
    <w:p>
      <w:pPr>
        <w:spacing w:after="120" w:line="276"/>
        <w:jc w:val="both"/>
      </w:pPr>
      <w:r>
        <w:t xml:space="preserve">Avant ce projet, notre expérience du ML se limitait à l'utilisation de bibliothèques existantes en Python, telles que scikit-learn, sans réelle maîtrise de leur fonctionnement interne. Notre connaissance de Rust était également limitée. Ce rapport rend donc compte à la fois de ce que nous avons construit et des notions que nous avons assimilées au cours du développement : nous présentons les concepts au fur et à mesure, conformément à l'objectif pédagogique du projet.</w:t>
      </w:r>
    </w:p>
    <w:p>
      <w:pPr>
        <w:spacing w:after="120" w:line="276"/>
        <w:jc w:val="both"/>
      </w:pPr>
      <w:r>
        <w:t xml:space="preserve">Le projet est aujourd'hui fonctionnel de bout en bout. Le cœur ML implémente quatre familles de modèles (linéaire, perceptron multi-couches, réseau RBF et SVM), trois optimiseurs, une suite complète de métriques et la sérialisation des modèles ; l'ensemble est validé par 123 tests automatisés. Les modèles sont exposés en Python et via une API REST, et une application cliente web permet de les exploiter sur de nouvelles données. Cette chaîne complète est démontrée sur les cas de test classiques ainsi que sur un jeu de données d'images constitué pour le projet.</w:t>
      </w:r>
    </w:p>
    <w:p>
      <w:pPr>
        <w:spacing w:after="120" w:line="276"/>
        <w:jc w:val="both"/>
      </w:pPr>
      <w:r>
        <w:rPr>
          <w:b/>
          <w:bCs/>
        </w:rPr>
        <w:t xml:space="preserve">Répartition de l'équipe. </w:t>
      </w:r>
      <w:r>
        <w:t xml:space="preserve">Valentin a pris en charge le cœur ML (les mathématiques, le MLP, la rétropropagation, les optimiseurs, les métriques et les tests). Thinina a réalisé l'API serveur, les bindings Python, la construction du jeu de données ainsi que le modèle linéaire et le type Vector. Ali assure la partie données et expérimentation en Python (prétraitement, notebooks d'analyse). La répartition détaillée figure en annexe.</w:t>
      </w:r>
    </w:p>
    <w:p>
      <w:pPr>
        <w:pStyle w:val="Heading1"/>
      </w:pPr>
      <w:r>
        <w:t xml:space="preserve">2. Le projet : objectifs et état d'avancement</w:t>
      </w:r>
    </w:p>
    <w:p>
      <w:pPr>
        <w:spacing w:after="120" w:line="276"/>
        <w:jc w:val="both"/>
      </w:pPr>
      <w:r>
        <w:t xml:space="preserve">Le cahier des charges demande de concevoir une bibliothèque de Machine Learning dans un langage système (C, C++ ou Rust), assortie de plusieurs interfaces d'utilisation. Les livrables attendus sont les suivants :</w:t>
      </w:r>
    </w:p>
    <w:p>
      <w:pPr>
        <w:pStyle w:val="ListParagraph"/>
        <w:numPr>
          <w:ilvl w:val="0"/>
          <w:numId w:val="2"/>
        </w:numPr>
        <w:spacing w:after="60" w:line="276"/>
      </w:pPr>
      <w:r>
        <w:t xml:space="preserve">un cœur ML en Rust comprenant les outils mathématiques de base et plusieurs types de modèles (linéaire, réseau de neurones, RBF, SVM) ;</w:t>
      </w:r>
    </w:p>
    <w:p>
      <w:pPr>
        <w:pStyle w:val="ListParagraph"/>
        <w:numPr>
          <w:ilvl w:val="0"/>
          <w:numId w:val="2"/>
        </w:numPr>
        <w:spacing w:after="60" w:line="276"/>
      </w:pPr>
      <w:r>
        <w:t xml:space="preserve">la démonstration de l'ensemble des algorithmes et modèles sur les cas de test ainsi que sur un jeu de données constitué ;</w:t>
      </w:r>
    </w:p>
    <w:p>
      <w:pPr>
        <w:pStyle w:val="ListParagraph"/>
        <w:numPr>
          <w:ilvl w:val="0"/>
          <w:numId w:val="2"/>
        </w:numPr>
        <w:spacing w:after="60" w:line="276"/>
      </w:pPr>
      <w:r>
        <w:t xml:space="preserve">la possibilité de sauvegarder et de recharger des modèles entraînés, et de les utiliser via un système client/serveur sur de nouvelles données ;</w:t>
      </w:r>
    </w:p>
    <w:p>
      <w:pPr>
        <w:pStyle w:val="ListParagraph"/>
        <w:numPr>
          <w:ilvl w:val="0"/>
          <w:numId w:val="2"/>
        </w:numPr>
        <w:spacing w:after="60" w:line="276"/>
      </w:pPr>
      <w:r>
        <w:t xml:space="preserve">des bindings Python permettant d'exploiter les modèles depuis des notebooks Jupyter ;</w:t>
      </w:r>
    </w:p>
    <w:p>
      <w:pPr>
        <w:pStyle w:val="ListParagraph"/>
        <w:numPr>
          <w:ilvl w:val="0"/>
          <w:numId w:val="2"/>
        </w:numPr>
        <w:spacing w:after="60" w:line="276"/>
      </w:pPr>
      <w:r>
        <w:t xml:space="preserve">une application cliente offrant un test visuel de la chaîne complète ;</w:t>
      </w:r>
    </w:p>
    <w:p>
      <w:pPr>
        <w:pStyle w:val="ListParagraph"/>
        <w:numPr>
          <w:ilvl w:val="0"/>
          <w:numId w:val="2"/>
        </w:numPr>
        <w:spacing w:after="60" w:line="276"/>
      </w:pPr>
      <w:r>
        <w:t xml:space="preserve">des tests démontrant que les modèles apprennent correctement, un projet de démonstration accompagné de ses sources, et un rapport.</w:t>
      </w:r>
    </w:p>
    <w:p>
      <w:pPr>
        <w:spacing w:after="80"/>
      </w:pPr>
    </w:p>
    <w:p>
      <w:pPr>
        <w:pStyle w:val="Heading2"/>
      </w:pPr>
      <w:r>
        <w:t xml:space="preserve">2.1. État d'avancement</w:t>
      </w:r>
    </w:p>
    <w:p>
      <w:pPr>
        <w:spacing w:after="120" w:line="276"/>
        <w:jc w:val="both"/>
      </w:pPr>
      <w:r>
        <w:t xml:space="preserve">La quasi-totalité du périmètre technique est réalisée. Le tableau ci-dessous récapitule l'état de chaque livrable.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Élément</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Statut</w:t>
            </w:r>
          </w:p>
        </w:tc>
        <w:tc>
          <w:tcPr>
            <w:tcW w:type="dxa" w:w="4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Commentaire</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Cœur ML (maths, modèles)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Vector, Matrix, activations, Linéaire, MLP, RBF, SVM</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Optimiseurs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Descente de gradient, SGD momentum (+ Nesterov), Adam</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Métriques d'évaluation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Accuracy, confusion, précision/rappel/F1, MSE/MAE/R², k-fold</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Sérialisation des modèles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JSON et binaire, pour les quatre modèles</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Tests (123 au total)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54 unitaires et 69 d'intégration</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API REST (client/serveur)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/predict, /train, /models, /reload-models, /health</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Bindings Python (PyO3)</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PyMLP, PyRBF, PySVM, modèle linéaire, save/load</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Application cliente web</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Upload d'image, glisser-déposer, prédiction</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Jeu de données constitué</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Réalisé</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Trois classes (aucun / humain / animal), images 64×64×3</w:t>
            </w:r>
          </w:p>
        </w:tc>
      </w:tr>
      <w:tr>
        <w:trPr>
          <w:tblHeader w:val="false"/>
        </w:trP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Notebooks d'expérimentation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En cours</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Analyse du jeu de données, hyperparamètres, comparaison des modèles</w:t>
            </w:r>
          </w:p>
        </w:tc>
      </w:tr>
    </w:tbl>
    <w:p>
      <w:pPr>
        <w:pStyle w:val="Heading1"/>
      </w:pPr>
      <w:r>
        <w:t xml:space="preserve">3. Le choix de Rust</w:t>
      </w:r>
    </w:p>
    <w:p>
      <w:pPr>
        <w:spacing w:after="120" w:line="276"/>
        <w:jc w:val="both"/>
      </w:pPr>
      <w:r>
        <w:t xml:space="preserve">Aucun membre de l'équipe ne maîtrisait Rust avant ce projet. Notre expérience portait sur le C, étudié en première année, et sur Python. Nous avons retenu Rust parce que l'enseignant l'avait présenté comme une option pertinente et que nous souhaitions découvrir un langage différent de ceux que nous connaissions.</w:t>
      </w:r>
    </w:p>
    <w:p>
      <w:pPr>
        <w:pStyle w:val="Heading2"/>
      </w:pPr>
      <w:r>
        <w:t xml:space="preserve">3.1. Les principes du langage</w:t>
      </w:r>
    </w:p>
    <w:p>
      <w:pPr>
        <w:spacing w:after="120" w:line="276"/>
        <w:jc w:val="both"/>
      </w:pPr>
      <w:r>
        <w:rPr>
          <w:b/>
          <w:bCs/>
        </w:rPr>
        <w:t xml:space="preserve">Le borrow checker. </w:t>
      </w:r>
      <w:r>
        <w:t xml:space="preserve">Il s'agit du système de Rust qui vérifie la gestion de la mémoire à la compilation. Chaque donnée possède un unique « propriétaire » à un instant donné ; une fonction qui souhaite lire une donnée l'« emprunte » temporairement, et Rust interdit qu'une donnée soit modifiée pendant qu'une autre partie du programme la lit. Cette contrainte, exigeante au départ, permet d'éviter une large catégorie d'erreurs mémoire difficiles à diagnostiquer.</w:t>
      </w:r>
    </w:p>
    <w:p>
      <w:pPr>
        <w:spacing w:after="120" w:line="276"/>
        <w:jc w:val="both"/>
      </w:pPr>
      <w:r>
        <w:rPr>
          <w:b/>
          <w:bCs/>
        </w:rPr>
        <w:t xml:space="preserve">L'absence de ramasse-miettes. </w:t>
      </w:r>
      <w:r>
        <w:t xml:space="preserve">Contrairement à Python ou Java, Rust ne dispose pas de ramasse-miettes (garbage collector) s'exécutant en arrière-plan : il détermine à la compilation le moment de libération de la mémoire, sans surcoût à l'exécution. C'est ce qui lui permet d'atteindre des performances comparables à celles du C.</w:t>
      </w:r>
    </w:p>
    <w:p>
      <w:pPr>
        <w:spacing w:after="120" w:line="276"/>
        <w:jc w:val="both"/>
      </w:pPr>
      <w:r>
        <w:rPr>
          <w:b/>
          <w:bCs/>
        </w:rPr>
        <w:t xml:space="preserve">Cargo. </w:t>
      </w:r>
      <w:r>
        <w:t xml:space="preserve">Cargo est l'outil de gestion de la compilation et des dépendances de Rust, comparable à pip mais intégré au langage. Les dépendances sont déclarées dans un fichier Cargo.toml ; la commande cargo build télécharge et compile l'ensemble. La gestion des dépendances s'en trouve nettement simplifiée par rapport aux Makefiles du C.</w:t>
      </w:r>
    </w:p>
    <w:p>
      <w:pPr>
        <w:pStyle w:val="Heading2"/>
      </w:pPr>
      <w:r>
        <w:t xml:space="preserve">3.2. La pertinence de Rust pour le ML</w:t>
      </w:r>
    </w:p>
    <w:p>
      <w:pPr>
        <w:spacing w:after="120" w:line="276"/>
        <w:jc w:val="both"/>
      </w:pPr>
      <w:r>
        <w:t xml:space="preserve">Le Machine Learning repose sur un volume important de calculs : l'entraînement d'un réseau nécessite des milliers de multiplications matricielles successives. En Python pur, ces opérations seraient très lentes ; c'est la raison pour laquelle des bibliothèques comme TensorFlow ou PyTorch sont implémentées en C++, Python ne servant que d'interface. Rust offre des performances proches du C++ tout en écartant les risques d'erreurs mémoire. Grâce à PyO3, nos modèles restent par ailleurs pilotables depuis Python pour la phase d'expérimentation.</w:t>
      </w:r>
    </w:p>
    <w:p>
      <w:pPr>
        <w:pStyle w:val="Heading2"/>
      </w:pPr>
      <w:r>
        <w:t xml:space="preserve">3.3. Les difficultés d'apprentissage</w:t>
      </w:r>
    </w:p>
    <w:p>
      <w:pPr>
        <w:spacing w:after="120" w:line="276"/>
        <w:jc w:val="both"/>
      </w:pPr>
      <w:r>
        <w:t xml:space="preserve">Apprendre Rust en parallèle du Machine Learning a constitué un défi notable. Lors des premières semaines, une part importante du temps était consacrée à la compréhension des messages du compilateur. Le borrow checker rejetait notamment notre première implémentation de la rétropropagation, qui tentait de lire et de modifier simultanément le même tableau. Cette contrainte nous a conduits à revoir la structure du code, ce qui en a finalement amélioré la lisibilité.</w:t>
      </w:r>
    </w:p>
    <w:p>
      <w:pPr>
        <w:pStyle w:val="Heading1"/>
      </w:pPr>
      <w:r>
        <w:t xml:space="preserve">4. Architecture du projet</w:t>
      </w:r>
    </w:p>
    <w:p>
      <w:pPr>
        <w:spacing w:after="120" w:line="276"/>
        <w:jc w:val="both"/>
      </w:pPr>
      <w:r>
        <w:t xml:space="preserve">Le projet est organisé en trois « crates » Rust (l'équivalent d'un package), regroupées au sein d'un workspace Cargo permettant une compilation unifiée. À ces crates s'ajoutent un dossier client/ pour l'application web et un dossier notebooks/ pour les scripts d'expérimentation en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Crate</w:t>
            </w:r>
          </w:p>
        </w:tc>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Rôle</w:t>
            </w:r>
          </w:p>
        </w:tc>
        <w:tc>
          <w:tcPr>
            <w:tcW w:type="dxa" w:w="3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Contenu</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core_lib</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Cœur : mathématiques, modèles, optimiseurs, métriques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Vector, Matrix, activations ; Linéaire, MLP, RBF, SVM ; gradient/momentum/Adam ; métriques ; sérialisation</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api_server</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Serveur web pour l'utilisation des modèles à distance</w:t>
            </w:r>
          </w:p>
        </w:tc>
        <w:tc>
          <w:tcPr>
            <w:tcW w:type="dxa" w:w="3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Endpoints /predict, /train, /models (framework Axum)</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python_binding</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Pont d'appel du code Rust depuis Python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PyVector, PyMatrix, PyMLP, PyRBF, PySVM (PyO3)</w:t>
            </w:r>
          </w:p>
        </w:tc>
      </w:tr>
    </w:tbl>
    <w:p>
      <w:pPr>
        <w:spacing w:after="80"/>
      </w:pPr>
    </w:p>
    <w:p>
      <w:pPr>
        <w:spacing w:after="120" w:line="276"/>
        <w:jc w:val="both"/>
      </w:pPr>
      <w:r>
        <w:t xml:space="preserve">Cette organisation n'a pas été établie d'emblée : le code était initialement regroupé dans un dossier unique, difficile à maintenir. C'est la lecture de la documentation Rust consacrée aux workspaces qui nous a permis de structurer correctement le projet.</w:t>
      </w:r>
    </w:p>
    <w:p>
      <w:pPr>
        <w:pStyle w:val="Heading1"/>
      </w:pPr>
      <w:r>
        <w:t xml:space="preserve">5. Algèbre linéaire : Vector et Matrix</w:t>
      </w:r>
    </w:p>
    <w:p>
      <w:pPr>
        <w:spacing w:after="120" w:line="276"/>
        <w:jc w:val="both"/>
      </w:pPr>
      <w:r>
        <w:t xml:space="preserve">Les vecteurs et les matrices, jusque-là abordés de manière théorique, constituent le fondement de tout le Machine Learning : les données sont des vecteurs, les poids du modèle sont des matrices, et l'entraînement consiste essentiellement en des multiplications matricielles répétées.</w:t>
      </w:r>
    </w:p>
    <w:p>
      <w:pPr>
        <w:pStyle w:val="Heading2"/>
      </w:pPr>
      <w:r>
        <w:t xml:space="preserve">5.1. Le type Vector</w:t>
      </w:r>
    </w:p>
    <w:p>
      <w:pPr>
        <w:spacing w:after="120" w:line="276"/>
        <w:jc w:val="both"/>
      </w:pPr>
      <w:r>
        <w:t xml:space="preserve">Le type Vector représente un tableau de nombres à virgule flottante (des f64, codés sur 64 bits) muni d'opérations mathématiques. Le produit scalaire entre [1, 2, 3] et [4, 5, 6] vaut 1×4 + 2×5 + 3×6 = 32 ; c'est l'opération par laquelle un neurone calcule sa sortie. Le type fournit également le produit de Hadamard (multiplication terme à terme, utilisée en rétropropagation) et l'argmax (l'indice de l'élément maximal, qui permet de déterminer la classe prédite).</w:t>
      </w:r>
    </w:p>
    <w:p>
      <w:pPr>
        <w:pStyle w:val="Heading2"/>
      </w:pPr>
      <w:r>
        <w:t xml:space="preserve">5.2. Le type Matrix</w:t>
      </w:r>
    </w:p>
    <w:p>
      <w:pPr>
        <w:spacing w:after="120" w:line="276"/>
        <w:jc w:val="both"/>
      </w:pPr>
      <w:r>
        <w:t xml:space="preserve">La matrice est un tableau à deux dimensions, stocké de façon contiguë dans un Vec&lt;f64&gt; selon la convention « row-major » (l'ensemble de la première ligne, puis de la deuxième, etc.). L'élément situé en ligne i et colonne j est accessible via data[i × nb_colonnes + j].</w:t>
      </w:r>
    </w:p>
    <w:p>
      <w:pPr>
        <w:spacing w:after="120" w:line="276"/>
        <w:jc w:val="both"/>
      </w:pPr>
      <w:r>
        <w:t xml:space="preserve">La multiplication matricielle est l'opération centrale. Nous avons retenu l'algorithme classique à trois boucles imbriquées : il n'est pas le plus performant existant (l'algorithme de Strassen est plus rapide), mais il suffit largement pour nos dimensions et reste plus simple à comprendre. Des vérifications de dimensions (assert!) ont été ajoutées de manière systématique : elles interrompent immédiatement l'exécution avec un message explicite en cas d'incompatibilité, ce qui a sensiblement facilité le débogage.</w:t>
      </w:r>
    </w:p>
    <w:p>
      <w:pPr>
        <w:pStyle w:val="Heading1"/>
      </w:pPr>
      <w:r>
        <w:t xml:space="preserve">6. Les fonctions d'activation</w:t>
      </w:r>
    </w:p>
    <w:p>
      <w:pPr>
        <w:spacing w:after="120" w:line="276"/>
        <w:jc w:val="both"/>
      </w:pPr>
      <w:r>
        <w:t xml:space="preserve">En l'absence de fonction d'activation, un réseau de neurones, même profond, ne pourrait apprendre que des relations linéaires. C'est la fonction d'activation, appliquée à la somme pondérée des entrées de chaque neurone, qui confère au réseau la capacité d'apprendre des relations complexes. Quatre fonctions principales ont été implémentées au sein d'un enum Activation.</w:t>
      </w:r>
    </w:p>
    <w:p>
      <w:pPr>
        <w:pStyle w:val="Heading2"/>
      </w:pPr>
      <w:r>
        <w:t xml:space="preserve">6.1. Sigmoid</w:t>
      </w:r>
    </w:p>
    <w:p>
      <w:pPr>
        <w:spacing w:after="120" w:line="276"/>
        <w:jc w:val="both"/>
      </w:pPr>
      <w:r>
        <w:t xml:space="preserve">σ(x) = 1 / (1 + e^(-x)). Quelle que soit la valeur fournie, cette fonction renvoie un résultat compris entre 0 et 1, ce qui permet d'interpréter la sortie comme une probabilité. Sa dérivée présente une propriété avantageuse : σ'(x) = σ(x) × (1 − σ(x)) ; une fois σ(x) calculé, sa dérivée s'obtient à coût négligeable, ce qui est utile pour la rétropropagation.</w:t>
      </w:r>
    </w:p>
    <w:p>
      <w:pPr>
        <w:pStyle w:val="Heading2"/>
      </w:pPr>
      <w:r>
        <w:t xml:space="preserve">6.2. Tanh</w:t>
      </w:r>
    </w:p>
    <w:p>
      <w:pPr>
        <w:spacing w:after="120" w:line="276"/>
        <w:jc w:val="both"/>
      </w:pPr>
      <w:r>
        <w:t xml:space="preserve">La tangente hyperbolique est analogue à la sigmoïde, mais produit des valeurs comprises entre −1 et +1. Son avantage réside dans le fait qu'un neurone inactif renvoie une valeur négative plutôt que nulle, ce qui répartit mieux les gradients autour de zéro et favorise l'entraînement.</w:t>
      </w:r>
    </w:p>
    <w:p>
      <w:pPr>
        <w:pStyle w:val="Heading2"/>
      </w:pPr>
      <w:r>
        <w:t xml:space="preserve">6.3. ReLU</w:t>
      </w:r>
    </w:p>
    <w:p>
      <w:pPr>
        <w:spacing w:after="120" w:line="276"/>
        <w:jc w:val="both"/>
      </w:pPr>
      <w:r>
        <w:t xml:space="preserve">ReLU est la plus simple : elle conserve x s'il est positif, et renvoie 0 sinon. Rapide et efficace sur les grands réseaux, elle souffre toutefois du problème des « neurones morts » : un neurone recevant systématiquement des valeurs négatives présente une sortie et un gradient nuls, et cesse d'apprendre. Ce phénomène étant fréquent sur nos petits réseaux dédiés au XOR, nous privilégions Sigmoid pour ces problèmes de faible dimension.</w:t>
      </w:r>
    </w:p>
    <w:p>
      <w:pPr>
        <w:pStyle w:val="Heading2"/>
      </w:pPr>
      <w:r>
        <w:t xml:space="preserve">6.4. Softmax</w:t>
      </w:r>
    </w:p>
    <w:p>
      <w:pPr>
        <w:spacing w:after="120" w:line="276"/>
        <w:jc w:val="both"/>
      </w:pPr>
      <w:r>
        <w:t xml:space="preserve">Softmax est appliquée en sortie du réseau pour la classification : elle transforme un vecteur de scores (par exemple [2.0, 1.0, 0.5]) en probabilités sommant à 1 (par exemple [0.59, 0.24, 0.17]). Un point technique important relevé lors de son implémentation : il convient de soustraire le maximum avant de calculer les exponentielles, faute de quoi des scores élevés (exp(500), par exemple) produisent un dépassement de capacité. Il s'agit d'un mécanisme classique de stabilité numérique.</w:t>
      </w:r>
    </w:p>
    <w:p>
      <w:pPr>
        <w:pStyle w:val="Heading1"/>
      </w:pPr>
      <w:r>
        <w:t xml:space="preserve">7. Le modèle linéaire</w:t>
      </w:r>
    </w:p>
    <w:p>
      <w:pPr>
        <w:spacing w:after="120" w:line="276"/>
        <w:jc w:val="both"/>
      </w:pPr>
      <w:r>
        <w:t xml:space="preserve">Le modèle linéaire, premier modèle implémenté, est également le plus simple : il recherche une relation de la forme y = w1·x1 + w2·x2 + … + b. Pour des données vérifiant y = 3x + 1, il apprend w = 3 et b = 1. Pour la classification multi-classes, il est employé selon une stratégie « un-contre-tous » (un classifieur par classe).</w:t>
      </w:r>
    </w:p>
    <w:p>
      <w:pPr>
        <w:pStyle w:val="Heading2"/>
      </w:pPr>
      <w:r>
        <w:t xml:space="preserve">7.1. L'apprentissage par descente de gradient</w:t>
      </w:r>
    </w:p>
    <w:p>
      <w:pPr>
        <w:spacing w:after="120" w:line="276"/>
        <w:jc w:val="both"/>
      </w:pPr>
      <w:r>
        <w:t xml:space="preserve">Le principe de l'apprentissage est le suivant : le modèle émet une prédiction, l'erreur correspondante est mesurée, puis les poids sont ajustés d'une faible quantité dans la direction réduisant cette erreur ; l'opération est répétée un grand nombre de fois. L'erreur est mesurée par la MSE (Mean Squared Error) : la différence entre la prédiction et la valeur réelle, élevée au carré, puis moyennée. L'élévation au carré pénalise davantage les erreurs importantes.</w:t>
      </w:r>
    </w:p>
    <w:p>
      <w:pPr>
        <w:spacing w:after="120" w:line="276"/>
        <w:jc w:val="both"/>
      </w:pPr>
      <w:r>
        <w:t xml:space="preserve">La direction d'ajustement est donnée par le gradient, c'est-à-dire la dérivée de l'erreur par rapport à chaque poids. Chaque poids est ensuite modifié dans la direction opposée au gradient, d'où l'appellation « descente de gradient ». Le taux d'apprentissage (learning rate) détermine l'amplitude du pas : trop élevé, le modèle oscille ; trop faible, la convergence devient excessivement lente.</w:t>
      </w:r>
    </w:p>
    <w:p>
      <w:pPr>
        <w:pStyle w:val="Heading2"/>
      </w:pPr>
      <w:r>
        <w:t xml:space="preserve">7.2. Les limites du modèle linéaire</w:t>
      </w:r>
    </w:p>
    <w:p>
      <w:pPr>
        <w:spacing w:after="120" w:line="276"/>
        <w:jc w:val="both"/>
      </w:pPr>
      <w:r>
        <w:t xml:space="preserve">Un modèle linéaire ne peut tracer que des droites (ou des hyperplans en dimension supérieure). Lorsque les classes ne sont pas séparables linéairement, il est inopérant. L'exemple de référence est le XOR : les points (0,0) et (1,1) appartiennent à une classe, (0,1) et (1,0) à l'autre, et aucune droite ne peut les séparer. Cette limite justifie le recours au MLP, au réseau RBF ou au SVM à noyau.</w:t>
      </w:r>
    </w:p>
    <w:p>
      <w:pPr>
        <w:pStyle w:val="Heading1"/>
      </w:pPr>
      <w:r>
        <w:t xml:space="preserve">8. Le perceptron multi-couches (MLP)</w:t>
      </w:r>
    </w:p>
    <w:p>
      <w:pPr>
        <w:spacing w:after="120" w:line="276"/>
        <w:jc w:val="both"/>
      </w:pPr>
      <w:r>
        <w:t xml:space="preserve">Le MLP (Multi-Layer Perceptron) est un réseau de neurones à plusieurs couches, capable de résoudre des problèmes hors de portée du modèle linéaire, tels que le XOR. Son implémentation à partir de zéro constitue probablement la partie la plus formatrice du projet.</w:t>
      </w:r>
    </w:p>
    <w:p>
      <w:pPr>
        <w:pStyle w:val="Heading2"/>
      </w:pPr>
      <w:r>
        <w:t xml:space="preserve">8.1. Définition</w:t>
      </w:r>
    </w:p>
    <w:p>
      <w:pPr>
        <w:spacing w:after="120" w:line="276"/>
        <w:jc w:val="both"/>
      </w:pPr>
      <w:r>
        <w:t xml:space="preserve">Un MLP est défini par la taille de ses couches. La configuration [2, 8, 2] désigne ainsi 2 entrées, une couche cachée de 8 neurones et 2 sorties. Chaque neurone d'une couche est connecté à l'ensemble des neurones de la couche suivante ; chaque connexion possède un poids et chaque neurone un biais. La dernière valeur correspond au nombre de classes, le softmax final convertissant les scores en probabilités.</w:t>
      </w:r>
    </w:p>
    <w:p>
      <w:pPr>
        <w:pStyle w:val="Heading2"/>
      </w:pPr>
      <w:r>
        <w:t xml:space="preserve">8.2. La propagation avant (forward pass)</w:t>
      </w:r>
    </w:p>
    <w:p>
      <w:pPr>
        <w:spacing w:after="120" w:line="276"/>
        <w:jc w:val="both"/>
      </w:pPr>
      <w:r>
        <w:t xml:space="preserve">La propagation avant correspond au cheminement de l'entrée à travers les couches. À chaque couche, chaque neurone calcule le produit scalaire de ses poids avec les sorties de la couche précédente, ajoute son biais, puis applique la fonction d'activation ; la dernière couche utilise softmax. En pratique, il s'agit d'une boucle sur les couches. La principale difficulté réside dans la gestion des dimensions : une couche reliant 8 entrées à 4 sorties requiert 8×4 = 32 poids et 4 biais, et la moindre erreur d'indice compromet l'ensemble.</w:t>
      </w:r>
    </w:p>
    <w:p>
      <w:pPr>
        <w:pStyle w:val="Heading2"/>
      </w:pPr>
      <w:r>
        <w:t xml:space="preserve">8.3. L'initialisation des poids</w:t>
      </w:r>
    </w:p>
    <w:p>
      <w:pPr>
        <w:spacing w:after="120" w:line="276"/>
        <w:jc w:val="both"/>
      </w:pPr>
      <w:r>
        <w:t xml:space="preserve">L'initialisation des poids s'est révélée déterminante. Une initialisation à zéro conduit tous les neurones à effectuer le même calcul, empêchant tout apprentissage : il est nécessaire de « briser la symétrie ». Les poids sont donc initialisés aléatoirement dans l'intervalle [−0.5, 0.5]. Des poids trop grands provoquent une divergence des calculs ; des poids trop petits entraînent la disparition des gradients.</w:t>
      </w:r>
    </w:p>
    <w:p>
      <w:pPr>
        <w:pStyle w:val="Heading1"/>
      </w:pPr>
      <w:r>
        <w:t xml:space="preserve">9. La rétropropagation</w:t>
      </w:r>
    </w:p>
    <w:p>
      <w:pPr>
        <w:spacing w:after="120" w:line="276"/>
        <w:jc w:val="both"/>
      </w:pPr>
      <w:r>
        <w:t xml:space="preserve">La rétropropagation (backpropagation) est l'algorithme d'entraînement des réseaux de neurones. Il s'agit sans doute du concept le plus important du projet, et du plus délicat à implémenter correctement.</w:t>
      </w:r>
    </w:p>
    <w:p>
      <w:pPr>
        <w:pStyle w:val="Heading2"/>
      </w:pPr>
      <w:r>
        <w:t xml:space="preserve">9.1. Principe</w:t>
      </w:r>
    </w:p>
    <w:p>
      <w:pPr>
        <w:spacing w:after="120" w:line="276"/>
        <w:jc w:val="both"/>
      </w:pPr>
      <w:r>
        <w:t xml:space="preserve">Lorsque le réseau commet une erreur, la question est de déterminer comment ajuster chacun de ses poids pour la réduire. La difficulté tient au fait que, dans un réseau à plusieurs couches, les poids des premières couches influencent la sortie de manière indirecte, à travers toutes les couches suivantes. La rétropropagation répond à ce problème au moyen de la règle de dérivation en chaîne : l'erreur est calculée en sortie, puis propagée « vers l'arrière », couche par couche, afin d'attribuer à chaque poids sa part de responsabilité.</w:t>
      </w:r>
    </w:p>
    <w:p>
      <w:pPr>
        <w:pStyle w:val="Heading2"/>
      </w:pPr>
      <w:r>
        <w:t xml:space="preserve">9.2. Mise en œuvre</w:t>
      </w:r>
    </w:p>
    <w:p>
      <w:pPr>
        <w:spacing w:after="120" w:line="276"/>
        <w:jc w:val="both"/>
      </w:pPr>
      <w:r>
        <w:t xml:space="preserve">Une propagation avant est d'abord effectuée en conservant en mémoire l'ensemble des valeurs intermédiaires (avant et après chaque activation). À la dernière couche, l'écart entre la prédiction et la cible — le « delta » — est calculé. Le réseau est ensuite remonté couche par couche : pour chaque couche, le delta sert à mettre à jour les poids et les biais, et à calculer le delta de la couche précédente. Un résultat remarquable est que, pour la combinaison softmax et classification, le delta initial se réduit à la différence entre la sortie et la cible. Notre première approche, fondée sur la dérivation directe du softmax, aboutissait à des formules nettement plus complexes.</w:t>
      </w:r>
    </w:p>
    <w:p>
      <w:pPr>
        <w:pStyle w:val="Heading2"/>
      </w:pPr>
      <w:r>
        <w:t xml:space="preserve">9.3. Débogage et validation</w:t>
      </w:r>
    </w:p>
    <w:p>
      <w:pPr>
        <w:spacing w:after="120" w:line="276"/>
        <w:jc w:val="both"/>
      </w:pPr>
      <w:r>
        <w:t xml:space="preserve">La mise au point de la rétropropagation s'est étalée sur plusieurs jours. Sa principale difficulté réside dans le fait qu'une implémentation erronée n'entraîne pas d'erreur d'exécution : le réseau n'apprend pas, mais produit des prédictions apparemment aléatoires, ce qui complique la localisation du défaut. Notre méthode a consisté à valider d'abord un réseau à une seule couche (dont le comportement doit être équivalent à celui d'un modèle linéaire), à vérifier manuellement les gradients sur un exemple simple, puis à ajouter les couches une à une. Cette démarche a permis d'identifier une inversion d'indice dans la propagation du delta.</w:t>
      </w:r>
    </w:p>
    <w:p>
      <w:pPr>
        <w:pStyle w:val="Heading1"/>
      </w:pPr>
      <w:r>
        <w:t xml:space="preserve">10. Le réseau RBF (Radial Basis Function)</w:t>
      </w:r>
    </w:p>
    <w:p>
      <w:pPr>
        <w:spacing w:after="120" w:line="276"/>
        <w:jc w:val="both"/>
      </w:pPr>
      <w:r>
        <w:t xml:space="preserve">Le réseau RBF constitue un second type de modèle non linéaire, reposant sur une logique différente de celle du MLP. Plutôt que d'empiler des couches de neurones, il évalue la similarité d'une entrée avec un ensemble de points de référence appelés « centres ».</w:t>
      </w:r>
    </w:p>
    <w:p>
      <w:pPr>
        <w:pStyle w:val="Heading2"/>
      </w:pPr>
      <w:r>
        <w:t xml:space="preserve">10.1. Principe</w:t>
      </w:r>
    </w:p>
    <w:p>
      <w:pPr>
        <w:spacing w:after="120" w:line="276"/>
        <w:jc w:val="both"/>
      </w:pPr>
      <w:r>
        <w:t xml:space="preserve">Le réseau comporte une couche cachée de n centres. Pour une entrée x, chaque neurone caché calcule un noyau gaussien φ(x) = exp(−γ · ||x − c||²), dont la valeur vaut 1 lorsque x coïncide avec le centre c et décroît vers 0 à mesure que x s'en éloigne. Le paramètre γ (gamma) règle la largeur de la gaussienne. La couche de sortie réalise alors une combinaison linéaire de ces activations, suivie d'un softmax pour la classification.</w:t>
      </w:r>
    </w:p>
    <w:p>
      <w:pPr>
        <w:pStyle w:val="Heading2"/>
      </w:pPr>
      <w:r>
        <w:t xml:space="preserve">10.2. Entraînement</w:t>
      </w:r>
    </w:p>
    <w:p>
      <w:pPr>
        <w:spacing w:after="120" w:line="276"/>
        <w:jc w:val="both"/>
      </w:pPr>
      <w:r>
        <w:t xml:space="preserve">L'entraînement se déroule en trois étapes. Les centres sont d'abord sélectionnés par échantillonnage aléatoire d'exemples du jeu de données (au moyen d'un mélange de Fisher-Yates). Les poids de sortie sont ensuite déterminés directement par moindres carrés régularisés — c'est la différence essentielle avec le MLP : nous résolvons le système (ΦᵀΦ + λI)·W = ΦᵀY par élimination de Gauss-Jordan avec pivot partiel, où Φ désigne la matrice des activations. Le terme de régularisation λI (régularisation de Tikhonov) garantit l'inversibilité de la matrice. Enfin, les poids peuvent être affinés par quelques étapes de descente de gradient.</w:t>
      </w:r>
    </w:p>
    <w:p>
      <w:pPr>
        <w:spacing w:after="120" w:line="276"/>
        <w:jc w:val="both"/>
      </w:pPr>
      <w:r>
        <w:t xml:space="preserve">Une caractéristique intéressante du réseau RBF est qu'une part importante de son entraînement n'est pas itérative comme celui du MLP, mais repose sur la résolution directe d'un système linéaire. L'implémentation de l'élimination de Gauss-Jordan nous a conduits à approfondir la résolution des systèmes d'équations, jusque-là traitée de manière automatisée.</w:t>
      </w:r>
    </w:p>
    <w:p>
      <w:pPr>
        <w:pStyle w:val="Heading1"/>
      </w:pPr>
      <w:r>
        <w:t xml:space="preserve">11. Le SVM (Support Vector Machine)</w:t>
      </w:r>
    </w:p>
    <w:p>
      <w:pPr>
        <w:spacing w:after="120" w:line="276"/>
        <w:jc w:val="both"/>
      </w:pPr>
      <w:r>
        <w:t xml:space="preserve">Le SVM recherche la frontière séparant deux classes en maximisant la marge de part et d'autre de cette frontière. Cette approche, fondée sur l'optimisation sous contraintes, diffère sensiblement de celle des réseaux de neurones.</w:t>
      </w:r>
    </w:p>
    <w:p>
      <w:pPr>
        <w:pStyle w:val="Heading2"/>
      </w:pPr>
      <w:r>
        <w:t xml:space="preserve">11.1. Le SVM linéaire</w:t>
      </w:r>
    </w:p>
    <w:p>
      <w:pPr>
        <w:spacing w:after="120" w:line="276"/>
        <w:jc w:val="both"/>
      </w:pPr>
      <w:r>
        <w:t xml:space="preserve">Dans le cas linéaire, l'objectif est de minimiser (1/2)·||w||² + C·Σ max(0, 1 − y·(w·x + b)). Le second terme correspond à la fonction de coût « hinge », qui ne pénalise un point que lorsqu'il se situe du mauvais côté de la marge. Le paramètre C règle le compromis entre l'ampleur de la marge et le respect des exemples d'entraînement. L'entraînement s'effectue par descente de gradient stochastique de type Pegasos, avec un taux d'apprentissage décroissant au fil des époques.</w:t>
      </w:r>
    </w:p>
    <w:p>
      <w:pPr>
        <w:pStyle w:val="Heading2"/>
      </w:pPr>
      <w:r>
        <w:t xml:space="preserve">11.2. L'astuce du noyau et les noyaux disponibles</w:t>
      </w:r>
    </w:p>
    <w:p>
      <w:pPr>
        <w:spacing w:after="120" w:line="276"/>
        <w:jc w:val="both"/>
      </w:pPr>
      <w:r>
        <w:t xml:space="preserve">Pour les données non séparables linéairement, nous recourons à l'astuce du noyau (kernel trick) : au lieu de transformer explicitement les données dans un espace de dimension supérieure, le SVM calcule directement des produits scalaires dans cet espace au moyen d'une fonction noyau. Trois noyaux ont été implémentés : linéaire (a·b), RBF ou gaussien (exp(−γ·||a−b||²)) et polynomial ((a·b + coef0) élevé au degré). Le SVM à noyau est entraîné par une version simplifiée de l'algorithme SMO (Sequential Minimal Optimization), qui optimise les multiplicateurs de Lagrange α deux par deux, sous les contraintes 0 ≤ αᵢ ≤ C et Σ αᵢyᵢ = 0. Seuls les exemples associés à un α non nul — les « vecteurs de support » — sont conservés pour la prédiction.</w:t>
      </w:r>
    </w:p>
    <w:p>
      <w:pPr>
        <w:pStyle w:val="Heading2"/>
      </w:pPr>
      <w:r>
        <w:t xml:space="preserve">11.3. La classification multi-classes</w:t>
      </w:r>
    </w:p>
    <w:p>
      <w:pPr>
        <w:spacing w:after="120" w:line="276"/>
        <w:jc w:val="both"/>
      </w:pPr>
      <w:r>
        <w:t xml:space="preserve">Un SVM est binaire par nature. Pour traiter nos trois classes, un classifieur par classe est entraîné selon une stratégie « un-contre-tous » (One-vs-Rest), puis un softmax est appliqué aux scores de décision afin de retenir la classe la plus probable. Ce principe est identique à celui adopté pour le modèle linéaire multi-classes.</w:t>
      </w:r>
    </w:p>
    <w:p>
      <w:pPr>
        <w:pStyle w:val="Heading1"/>
      </w:pPr>
      <w:r>
        <w:t xml:space="preserve">12. Les optimiseurs</w:t>
      </w:r>
    </w:p>
    <w:p>
      <w:pPr>
        <w:spacing w:after="120" w:line="276"/>
        <w:jc w:val="both"/>
      </w:pPr>
      <w:r>
        <w:t xml:space="preserve">La descente de gradient élémentaire est fonctionnelle, mais sa convergence est lente et sujette à des oscillations. Nous avons donc implémenté des optimiseurs plus évolués, réunis derrière un trait commun Optimizer : chaque paramètre est identifié par un index stable, et l'optimiseur met à jour sa valeur à partir de son gradient. Cette abstraction permet de changer d'optimiseur sans modifier le code des modèles.</w:t>
      </w:r>
    </w:p>
    <w:p>
      <w:pPr>
        <w:pStyle w:val="Heading2"/>
      </w:pPr>
      <w:r>
        <w:t xml:space="preserve">12.1. La descente de gradient</w:t>
      </w:r>
    </w:p>
    <w:p>
      <w:pPr>
        <w:spacing w:after="120" w:line="276"/>
        <w:jc w:val="both"/>
      </w:pPr>
      <w:r>
        <w:t xml:space="preserve">Dans sa version de base, chaque poids est déplacé d'un pas proportionnel au gradient (poids ← poids − lr · gradient). Simple et fiable, cette méthode demeure sensible au choix du taux d'apprentissage.</w:t>
      </w:r>
    </w:p>
    <w:p>
      <w:pPr>
        <w:pStyle w:val="Heading2"/>
      </w:pPr>
      <w:r>
        <w:t xml:space="preserve">12.2. Le SGD avec momentum (et Nesterov)</w:t>
      </w:r>
    </w:p>
    <w:p>
      <w:pPr>
        <w:spacing w:after="120" w:line="276"/>
        <w:jc w:val="both"/>
      </w:pPr>
      <w:r>
        <w:t xml:space="preserve">Le momentum introduit une forme d'inertie : une vitesse v = momentum·v − lr·gradient est accumulée, et le poids est déplacé de cette vitesse. Le modèle conserve ainsi une partie de sa dynamique, ce qui accélère la convergence et atténue les oscillations dans les vallées étroites de la fonction de coût. La variante de Nesterov évalue le gradient légèrement en avant, en anticipant le pas de momentum, ce qui améliore généralement la précision de la convergence.</w:t>
      </w:r>
    </w:p>
    <w:p>
      <w:pPr>
        <w:pStyle w:val="Heading2"/>
      </w:pPr>
      <w:r>
        <w:t xml:space="preserve">12.3. Adam</w:t>
      </w:r>
    </w:p>
    <w:p>
      <w:pPr>
        <w:spacing w:after="120" w:line="276"/>
        <w:jc w:val="both"/>
      </w:pPr>
      <w:r>
        <w:t xml:space="preserve">Adam (Adaptive Moment Estimation) combine deux mécanismes : il maintient une moyenne mobile du gradient (moment d'ordre 1, comparable au momentum) et une moyenne mobile du carré du gradient (moment d'ordre 2), assorties d'une correction de biais en début d'entraînement. Chaque paramètre dispose ainsi d'un taux d'apprentissage adaptatif : les paramètres au gradient instable progressent prudemment, les autres plus rapidement. En pratique, Adam offre la convergence la plus régulière et nécessite le moindre réglage du taux d'apprentissage, ce que nous avons vérifié sur le XOR.</w:t>
      </w:r>
    </w:p>
    <w:p>
      <w:pPr>
        <w:pStyle w:val="Heading1"/>
      </w:pPr>
      <w:r>
        <w:t xml:space="preserve">13. L'évaluation : les métriques</w:t>
      </w:r>
    </w:p>
    <w:p>
      <w:pPr>
        <w:spacing w:after="120" w:line="276"/>
        <w:jc w:val="both"/>
      </w:pPr>
      <w:r>
        <w:t xml:space="preserve">L'accuracy (proportion de prédictions correctes) ne suffit pas à apprécier la qualité d'un modèle, en particulier lorsque les classes sont déséquilibrées. Nous avons donc implémenté un module de métriques complet.</w:t>
      </w:r>
    </w:p>
    <w:p>
      <w:pPr>
        <w:pStyle w:val="ListParagraph"/>
        <w:numPr>
          <w:ilvl w:val="0"/>
          <w:numId w:val="2"/>
        </w:numPr>
        <w:spacing w:after="60" w:line="276"/>
      </w:pPr>
      <w:r>
        <w:t xml:space="preserve">Matrice de confusion : tableau croisant les classes réelles et les classes prédites, qui met en évidence les confusions entre classes.</w:t>
      </w:r>
    </w:p>
    <w:p>
      <w:pPr>
        <w:pStyle w:val="ListParagraph"/>
        <w:numPr>
          <w:ilvl w:val="0"/>
          <w:numId w:val="2"/>
        </w:numPr>
        <w:spacing w:after="60" w:line="276"/>
      </w:pPr>
      <w:r>
        <w:t xml:space="preserve">Précision, rappel et F1 par classe : la précision indique, lorsque le modèle prédit une classe, la fréquence à laquelle il a raison ; le rappel indique la proportion d'exemples d'une classe effectivement retrouvés ; le F1 est leur moyenne harmonique. Le F1 macro (moyenne sur les classes) est également calculé.</w:t>
      </w:r>
    </w:p>
    <w:p>
      <w:pPr>
        <w:pStyle w:val="ListParagraph"/>
        <w:numPr>
          <w:ilvl w:val="0"/>
          <w:numId w:val="2"/>
        </w:numPr>
        <w:spacing w:after="60" w:line="276"/>
      </w:pPr>
      <w:r>
        <w:t xml:space="preserve">MSE, MAE et R² : destinées aux tâches de régression, la MSE et la MAE mesurent l'erreur moyenne (au carré ou en valeur absolue), tandis que le R² évalue la part de variance expliquée (1 correspond à un ajustement parfait, 0 à une prédiction équivalente à la moyenne, une valeur négative à un résultat inférieur à la moyenne).</w:t>
      </w:r>
    </w:p>
    <w:p>
      <w:pPr>
        <w:pStyle w:val="ListParagraph"/>
        <w:numPr>
          <w:ilvl w:val="0"/>
          <w:numId w:val="2"/>
        </w:numPr>
        <w:spacing w:after="60" w:line="276"/>
      </w:pPr>
      <w:r>
        <w:t xml:space="preserve">Validation croisée k-fold : pour une évaluation robuste, les données sont découpées en k parties ; le modèle est entraîné sur k−1 d'entre elles et testé sur la dernière, l'opération étant répétée. L'estimation obtenue est plus fiable que celle issue d'un découpage unique.</w:t>
      </w:r>
    </w:p>
    <w:p>
      <w:pPr>
        <w:spacing w:after="80"/>
      </w:pPr>
    </w:p>
    <w:p>
      <w:pPr>
        <w:spacing w:after="120" w:line="276"/>
        <w:jc w:val="both"/>
      </w:pPr>
      <w:r>
        <w:t xml:space="preserve">Disposer de ces métriques au sein même de la bibliothèque, et non uniquement via scikit-learn côté Python, nous a contraints à comprendre précisément la signification de chacune, plutôt que de nous en remettre à une valeur dont l'origine resterait opaque.</w:t>
      </w:r>
    </w:p>
    <w:p>
      <w:pPr>
        <w:pStyle w:val="Heading1"/>
      </w:pPr>
      <w:r>
        <w:t xml:space="preserve">14. La sérialisation des modèles</w:t>
      </w:r>
    </w:p>
    <w:p>
      <w:pPr>
        <w:spacing w:after="120" w:line="276"/>
        <w:jc w:val="both"/>
      </w:pPr>
      <w:r>
        <w:t xml:space="preserve">La sérialisation consiste à convertir un modèle en mémoire, avec l'ensemble de ses poids, en un fichier sauvegardable et rechargeable ultérieurement, ce qui évite tout réentraînement. Nous avons utilisé serde, la bibliothèque de référence en Rust : l'ajout de l'attribut #[derive(Serialize, Deserialize)] sur les structures suffit à générer le code de conversion. Les quatre modèles (Linéaire, MLP, RBF, SVM) prennent en charge la sauvegarde.</w:t>
      </w:r>
    </w:p>
    <w:p>
      <w:pPr>
        <w:pStyle w:val="Heading2"/>
      </w:pPr>
      <w:r>
        <w:t xml:space="preserve">14.1. Formats JSON et binaire</w:t>
      </w:r>
    </w:p>
    <w:p>
      <w:pPr>
        <w:spacing w:after="120" w:line="276"/>
        <w:jc w:val="both"/>
      </w:pPr>
      <w:r>
        <w:t xml:space="preserve">Le format JSON est un texte lisible faisant apparaître les poids, les biais et les tailles de couches, ce qui facilite la vérification et le débogage d'un modèle, au prix d'une certaine verbosité. Pour les modèles plus volumineux, le format binaire (via bincode) offre une représentation nettement plus compacte et plus rapide, mais non lisible dans un éditeur de texte. En pratique, le JSON est employé pour le débogage et le binaire pour la production.</w:t>
      </w:r>
    </w:p>
    <w:p>
      <w:pPr>
        <w:spacing w:after="120" w:line="276"/>
        <w:jc w:val="both"/>
      </w:pPr>
      <w:r>
        <w:t xml:space="preserve">Des tests vérifient qu'une sauvegarde suivie d'un rechargement restitue exactement les mêmes prédictions (à 1e-10 près), point d'autant plus important que les nombres à virgule flottante peuvent occasionner des pertes de précision.</w:t>
      </w:r>
    </w:p>
    <w:p>
      <w:pPr>
        <w:pStyle w:val="Heading1"/>
      </w:pPr>
      <w:r>
        <w:t xml:space="preserve">15. L'API REST : le système client/serveur</w:t>
      </w:r>
    </w:p>
    <w:p>
      <w:pPr>
        <w:spacing w:after="120" w:line="276"/>
        <w:jc w:val="both"/>
      </w:pPr>
      <w:r>
        <w:t xml:space="preserve">Une API REST est un serveur web répondant à des requêtes HTTP. Dans notre cas, le serveur reçoit une image et renvoie la prédiction du modèle. Ce fonctionnement correspond à celui des services de ML en production : le modèle s'exécute sur un serveur, et les clients (site web, application mobile) lui adressent des requêtes. Nous avons utilisé Axum, un framework web Rust asynchrone capable de traiter plusieurs requêtes en parallèle. Cette partie a été réalisée par Thinina.</w:t>
      </w:r>
    </w:p>
    <w:p>
      <w:pPr>
        <w:pStyle w:val="Heading2"/>
      </w:pPr>
      <w:r>
        <w:t xml:space="preserve">15.1. Les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Méthode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Route</w:t>
            </w:r>
          </w:p>
        </w:tc>
        <w:tc>
          <w:tcPr>
            <w:tcW w:type="dxa" w:w="56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Fonction</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/predict</w:t>
            </w:r>
          </w:p>
        </w:tc>
        <w:tc>
          <w:tcPr>
            <w:tcW w:type="dxa" w:w="5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Reçoit une image (base64) et renvoie la classe prédite ainsi que le score de confiance</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/train</w:t>
            </w:r>
          </w:p>
        </w:tc>
        <w:tc>
          <w:tcPr>
            <w:tcW w:type="dxa" w:w="5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Lance l'entraînement d'un nouveau modèle avec les paramètres fournis, puis le sauvegarde</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GET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/models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Renvoie la liste des modèles disponibles</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POST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/reload-models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Recharge depuis le disque les modèles entraînés</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GET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/health</w:t>
            </w:r>
          </w:p>
        </w:tc>
        <w:tc>
          <w:tcPr>
            <w:tcW w:type="dxa" w:w="5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Vérifie la disponibilité du serveur</w:t>
            </w:r>
          </w:p>
        </w:tc>
      </w:tr>
    </w:tbl>
    <w:p>
      <w:pPr>
        <w:spacing w:after="80"/>
      </w:pPr>
    </w:p>
    <w:p>
      <w:pPr>
        <w:pStyle w:val="Heading2"/>
      </w:pPr>
      <w:r>
        <w:t xml:space="preserve">15.2. Sauvegarde, rechargement et réutilisation des modèles</w:t>
      </w:r>
    </w:p>
    <w:p>
      <w:pPr>
        <w:spacing w:after="120" w:line="276"/>
        <w:jc w:val="both"/>
      </w:pPr>
      <w:r>
        <w:t xml:space="preserve">Au démarrage, le serveur charge en mémoire les modèles entraînés présents sur le disque (MLP, RBF et SVM, au format JSON). Lorsqu'un nouveau modèle est entraîné via /train, il est sauvegardé sur le disque ; l'endpoint /reload-models permet alors de le réintégrer au serveur sans redémarrage. Ce mécanisme correspond précisément au scénario attendu : un modèle est entraîné, persisté, puis réutilisé via le système client/serveur pour effectuer des prédictions sur de nouvelles données.</w:t>
      </w:r>
    </w:p>
    <w:p>
      <w:pPr>
        <w:spacing w:after="120" w:line="276"/>
        <w:jc w:val="both"/>
      </w:pPr>
      <w:r>
        <w:t xml:space="preserve">La gestion de l'accès concurrent aux modèles repose sur un verrou RwLock : plusieurs requêtes peuvent lire les modèles simultanément, tandis que toute modification suspend temporairement les autres accès. Il s'agit d'un schéma classique de programmation concurrente.</w:t>
      </w:r>
    </w:p>
    <w:p>
      <w:pPr>
        <w:pStyle w:val="Heading1"/>
      </w:pPr>
      <w:r>
        <w:t xml:space="preserve">16. Les bindings Python</w:t>
      </w:r>
    </w:p>
    <w:p>
      <w:pPr>
        <w:spacing w:after="120" w:line="276"/>
        <w:jc w:val="both"/>
      </w:pPr>
      <w:r>
        <w:t xml:space="preserve">Les bindings établissent un pont entre deux langages : ils permettent d'écrire import vision_ai en Python et d'utiliser nos modèles Rust comme des objets Python ordinaires, à l'image de NumPy (implémenté en C) ou de PyTorch (en C++). Nous avons utilisé PyO3, qui génère le code de liaison à partir d'annotations (#[pyclass], #[pymethods]). Cette partie a été réalisée par Thinina.</w:t>
      </w:r>
    </w:p>
    <w:p>
      <w:pPr>
        <w:spacing w:after="120" w:line="276"/>
        <w:jc w:val="both"/>
      </w:pPr>
      <w:r>
        <w:t xml:space="preserve">Les quatre modèles sont exposés — PyMLP, PyRBF, PySVM et le modèle linéaire — chacun disposant de ses méthodes train, predict et save/load. Un exemple d'utilisation est donné ci-dessous :</w:t>
      </w:r>
    </w:p>
    <w:p>
      <w:pPr>
        <w:shd w:fill="F2F2F2" w:val="clear"/>
        <w:spacing w:after="40" w:before="40"/>
      </w:pPr>
      <w:r>
        <w:rPr>
          <w:rFonts w:ascii="Consolas" w:cs="Consolas" w:eastAsia="Consolas" w:hAnsi="Consolas"/>
          <w:sz w:val="19"/>
          <w:szCs w:val="19"/>
        </w:rPr>
        <w:t xml:space="preserve">import vision_ai</w:t>
      </w:r>
    </w:p>
    <w:p>
      <w:pPr>
        <w:shd w:fill="F2F2F2" w:val="clear"/>
        <w:spacing w:after="40" w:before="40"/>
      </w:pPr>
      <w:r>
        <w:rPr>
          <w:rFonts w:ascii="Consolas" w:cs="Consolas" w:eastAsia="Consolas" w:hAnsi="Consolas"/>
          <w:sz w:val="19"/>
          <w:szCs w:val="19"/>
        </w:rPr>
        <w:t xml:space="preserve">model = vision_ai.PyMLP([2, 8, 2])</w:t>
      </w:r>
    </w:p>
    <w:p>
      <w:pPr>
        <w:shd w:fill="F2F2F2" w:val="clear"/>
        <w:spacing w:after="40" w:before="40"/>
      </w:pPr>
      <w:r>
        <w:rPr>
          <w:rFonts w:ascii="Consolas" w:cs="Consolas" w:eastAsia="Consolas" w:hAnsi="Consolas"/>
          <w:sz w:val="19"/>
          <w:szCs w:val="19"/>
        </w:rPr>
        <w:t xml:space="preserve">model.train(inputs, targets, epochs=1000, lr=0.5)</w:t>
      </w:r>
    </w:p>
    <w:p>
      <w:pPr>
        <w:shd w:fill="F2F2F2" w:val="clear"/>
        <w:spacing w:after="40" w:before="40"/>
      </w:pPr>
      <w:r>
        <w:rPr>
          <w:rFonts w:ascii="Consolas" w:cs="Consolas" w:eastAsia="Consolas" w:hAnsi="Consolas"/>
          <w:sz w:val="19"/>
          <w:szCs w:val="19"/>
        </w:rPr>
        <w:t xml:space="preserve">result = model.predict([1.0, 0.0])</w:t>
      </w:r>
    </w:p>
    <w:p>
      <w:pPr>
        <w:spacing w:after="80"/>
      </w:pPr>
    </w:p>
    <w:p>
      <w:pPr>
        <w:spacing w:after="120" w:line="276"/>
        <w:jc w:val="both"/>
      </w:pPr>
      <w:r>
        <w:t xml:space="preserve">La principale difficulté concernait la conversion des types : une liste Python de flottants doit être convertie en Vec&lt;f64&gt; côté Rust, et inversement pour le résultat. Ces bindings permettent l'exploitation des modèles dans les notebooks d'expérimentation Python.</w:t>
      </w:r>
    </w:p>
    <w:p>
      <w:pPr>
        <w:pStyle w:val="Heading1"/>
      </w:pPr>
      <w:r>
        <w:t xml:space="preserve">17. L'application cliente web</w:t>
      </w:r>
    </w:p>
    <w:p>
      <w:pPr>
        <w:spacing w:after="120" w:line="276"/>
        <w:jc w:val="both"/>
      </w:pPr>
      <w:r>
        <w:t xml:space="preserve">L'application cliente est une page web permettant de tester un modèle de manière visuelle : l'utilisateur charge une image (un mode glisser-déposer est proposé), puis obtient la prédiction accompagnée de la classe et d'une barre de confiance. Elle est développée en HTML, CSS et JavaScript natifs, sans framework ; pour une interface aussi simple, le recours à React ou Vue n'aurait pas été justifié.</w:t>
      </w:r>
    </w:p>
    <w:p>
      <w:pPr>
        <w:spacing w:after="120" w:line="276"/>
        <w:jc w:val="both"/>
      </w:pPr>
      <w:r>
        <w:t xml:space="preserve">L'image est convertie en base64 (un format texte représentant des données binaires) directement dans le navigateur, puis transmise au serveur API qui renvoie la prédiction. Cette application constitue la dernière brique de la chaîne client/serveur côté utilisateur.</w:t>
      </w:r>
    </w:p>
    <w:p>
      <w:pPr>
        <w:pStyle w:val="Heading1"/>
      </w:pPr>
      <w:r>
        <w:t xml:space="preserve">18. Les tests</w:t>
      </w:r>
    </w:p>
    <w:p>
      <w:pPr>
        <w:spacing w:after="120" w:line="276"/>
        <w:jc w:val="both"/>
      </w:pPr>
      <w:r>
        <w:t xml:space="preserve">Le projet comporte 123 tests : 54 tests unitaires, au plus près de chaque fonction, et 69 tests d'intégration, validant les modèles de bout en bout. Ils couvrent les mathématiques, les fonctions d'activation, les quatre modèles, les optimiseurs, les métriques et la sérialisation.</w:t>
      </w:r>
    </w:p>
    <w:p>
      <w:pPr>
        <w:pStyle w:val="Heading2"/>
      </w:pPr>
      <w:r>
        <w:t xml:space="preserve">18.1. Les cas de test logiques : XOR, AND, OR</w:t>
      </w:r>
    </w:p>
    <w:p>
      <w:pPr>
        <w:spacing w:after="120" w:line="276"/>
        <w:jc w:val="both"/>
      </w:pPr>
      <w:r>
        <w:t xml:space="preserve">Ces problèmes constituent les références pour évaluer un réseau de neurones. Le XOR (« ou exclusif ») est le plus significatif, car il n'est pas séparable linéairement : la capacité d'un modèle à l'apprendre atteste du bon fonctionnement de l'ensemble de la chaîne (propagation avant, softmax, rétropropagation, mise à jour des poids). Le XOR, le AND et le OR sont testés sur le MLP, le réseau RBF et le SVM à noyau, soit l'ensemble des modèles non linéaires sur les mêmes cas de test.</w:t>
      </w:r>
    </w:p>
    <w:p>
      <w:pPr>
        <w:pStyle w:val="Heading2"/>
      </w:pPr>
      <w:r>
        <w:t xml:space="preserve">18.2. Les autres cas de test</w:t>
      </w:r>
    </w:p>
    <w:p>
      <w:pPr>
        <w:spacing w:after="120" w:line="276"/>
        <w:jc w:val="both"/>
      </w:pPr>
      <w:r>
        <w:t xml:space="preserve">Sont également validés la classification multi-classes (trois groupes de points), une tâche de régression (apprentissage du signe d'un sinus), les différents noyaux du SVM (linéaire, RBF, polynomial), la convergence avec chaque optimiseur (momentum, Nesterov, Adam), l'exactitude des métriques, ainsi que des tests comparatifs faisant intervenir les quatre modèles sur un même problème (par exemple un jeu de données en cercles concentriques opposant le MLP et le réseau RBF).</w:t>
      </w:r>
    </w:p>
    <w:p>
      <w:pPr>
        <w:pStyle w:val="Heading2"/>
      </w:pPr>
      <w:r>
        <w:t xml:space="preserve">18.3. La gestion des tests non déterministes</w:t>
      </w:r>
    </w:p>
    <w:p>
      <w:pPr>
        <w:spacing w:after="120" w:line="276"/>
        <w:jc w:val="both"/>
      </w:pPr>
      <w:r>
        <w:t xml:space="preserve">Les tests de ML présentent une difficulté particulière : l'initialisation aléatoire des poids fait qu'un même code converge dans certains cas et non dans d'autres. Un test échouant occasionnellement est problématique. Notre solution consiste à autoriser plusieurs tentatives par test (jusqu'à cinq ou dix) ; un échec persistant au-delà constitue alors l'indice d'un défaut réel. En pratique, la majorité des tests réussissent dès la première tentative.</w:t>
      </w:r>
    </w:p>
    <w:p>
      <w:pPr>
        <w:pStyle w:val="Heading1"/>
      </w:pPr>
      <w:r>
        <w:t xml:space="preserve">19. Démonstration : cas de test et jeu de données</w:t>
      </w:r>
    </w:p>
    <w:p>
      <w:pPr>
        <w:spacing w:after="120" w:line="276"/>
        <w:jc w:val="both"/>
      </w:pPr>
      <w:r>
        <w:t xml:space="preserve">La démonstration du projet s'opère à deux niveaux : sur les cas de test classiques, intégrés à la suite de tests Rust, et sur un jeu de données d'images constitué pour le projet.</w:t>
      </w:r>
    </w:p>
    <w:p>
      <w:pPr>
        <w:pStyle w:val="Heading2"/>
      </w:pPr>
      <w:r>
        <w:t xml:space="preserve">19.1. Sur les cas de test</w:t>
      </w:r>
    </w:p>
    <w:p>
      <w:pPr>
        <w:spacing w:after="120" w:line="276"/>
        <w:jc w:val="both"/>
      </w:pPr>
      <w:r>
        <w:t xml:space="preserve">Les 69 tests d'intégration constituent une démonstration reproductible : ils établissent que chaque modèle apprend effectivement les problèmes de référence. Le tableau ci-dessous récapitule les configurations validées.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Modèle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Cas de test</w:t>
            </w:r>
          </w:p>
        </w:tc>
        <w:tc>
          <w:tcPr>
            <w:tcW w:type="dxa" w:w="4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Vérification</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XOR, AND, OR, multi-classes, régression (sinus)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Convergence ; somme du softmax à 1 ; sérialisation fidèle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RBF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XOR, AND, multi-classes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Convergence ; dimension de sortie correcte ; sérialisation fidèle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SVM linéaire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AND, OR, multi-classes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Convergence ; sortie softmax cohérente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SVM à noyau</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XOR (noyau RBF), AND (noyau polynomial)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Convergence sur données non séparables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Optimiseurs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XOR / AND avec momentum, Nesterov, Adam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Réduction de la fonction de coût ; convergence vérifiée</w:t>
            </w:r>
          </w:p>
        </w:tc>
      </w:tr>
    </w:tbl>
    <w:p>
      <w:pPr>
        <w:spacing w:after="80"/>
      </w:pPr>
    </w:p>
    <w:p>
      <w:pPr>
        <w:pStyle w:val="Heading2"/>
      </w:pPr>
      <w:r>
        <w:t xml:space="preserve">19.2. Sur le jeu de données constitué</w:t>
      </w:r>
    </w:p>
    <w:p>
      <w:pPr>
        <w:spacing w:after="120" w:line="276"/>
        <w:jc w:val="both"/>
      </w:pPr>
      <w:r>
        <w:t xml:space="preserve">Un jeu de données d'images a été constitué, réparti en trois classes : « aucun », « humain » et « animal ». Les images sont redimensionnées en 64×64 pixels en couleur, soit 64×64×3 = 12 288 valeurs d'entrée par image ; un script de prétraitement assure cette conversion et produit des tableaux au format .npy. Les modèles sont entraînés sur ce jeu de données depuis Python, via les bindings, puis évalués au moyen de nos métriques, notamment la matrice de confusion.</w:t>
      </w:r>
    </w:p>
    <w:p>
      <w:pPr>
        <w:spacing w:after="120" w:line="276"/>
        <w:jc w:val="both"/>
      </w:pPr>
      <w:r>
        <w:t xml:space="preserve">Des notebooks d'expérimentation pilotent cette démonstration : un notebook d'analyse du jeu de données (répartition des classes, aperçu des images), un notebook de comparaison des quatre modèles (Linéaire, MLP, RBF, SVM) et un notebook d'étude de l'influence des hyperparamètres (nombre de centres et valeur de gamma pour le RBF, taux d'apprentissage, etc.). La rédaction des résultats chiffrés et des courbes issus de ces notebooks constitue la dernière étape de finalisation du rendu.</w:t>
      </w:r>
    </w:p>
    <w:p>
      <w:pPr>
        <w:pStyle w:val="Heading1"/>
      </w:pPr>
      <w:r>
        <w:t xml:space="preserve">20. Difficultés rencontrées</w:t>
      </w:r>
    </w:p>
    <w:p>
      <w:pPr>
        <w:spacing w:after="120" w:line="276"/>
        <w:jc w:val="both"/>
      </w:pPr>
      <w:r>
        <w:t xml:space="preserve">Le développement a comporté plusieurs difficultés notables, qu'il nous paraît utile de présenter, car elles ont également constitué des occasions d'apprentissage.</w:t>
      </w:r>
    </w:p>
    <w:p>
      <w:pPr>
        <w:pStyle w:val="Heading2"/>
      </w:pPr>
      <w:r>
        <w:t xml:space="preserve">20.1. L'apprentissage simultané de Rust et du ML</w:t>
      </w:r>
    </w:p>
    <w:p>
      <w:pPr>
        <w:spacing w:after="120" w:line="276"/>
        <w:jc w:val="both"/>
      </w:pPr>
      <w:r>
        <w:t xml:space="preserve">Cette double progression a représenté notre principale difficulté. Face à un code défaillant, il était souvent malaisé de déterminer si la cause relevait d'une mauvaise compréhension de l'algorithme ou d'une maîtrise insuffisante de Rust, les deux facteurs étant fréquemment combinés. L'alternance entre l'étude du ML et celle de la documentation Rust a ralenti l'avancement.</w:t>
      </w:r>
    </w:p>
    <w:p>
      <w:pPr>
        <w:pStyle w:val="Heading2"/>
      </w:pPr>
      <w:r>
        <w:t xml:space="preserve">20.2. La rétropropagation</w:t>
      </w:r>
    </w:p>
    <w:p>
      <w:pPr>
        <w:spacing w:after="120" w:line="276"/>
        <w:jc w:val="both"/>
      </w:pPr>
      <w:r>
        <w:t xml:space="preserve">Si les équations de la rétropropagation sont accessibles sur le papier, leur traduction en code sans erreur d'indice, de signe ou de transposition s'avère bien plus délicate. Une part importante du débogage a été menée sur des réseaux de très petite taille (deux neurones), afin de vérifier les calculs manuellement.</w:t>
      </w:r>
    </w:p>
    <w:p>
      <w:pPr>
        <w:pStyle w:val="Heading2"/>
      </w:pPr>
      <w:r>
        <w:t xml:space="preserve">20.3. Le borrow checker</w:t>
      </w:r>
    </w:p>
    <w:p>
      <w:pPr>
        <w:spacing w:after="120" w:line="276"/>
        <w:jc w:val="both"/>
      </w:pPr>
      <w:r>
        <w:t xml:space="preserve">Le borrow checker a constitué un obstacle lors de l'implémentation de la rétropropagation : notre boucle tentait de lire les poids de la couche l+1 tout en modifiant ceux de la couche l, or ces deux ensembles appartiennent au même tableau, ce que Rust interdit. Une restructuration du code a été nécessaire pour contourner cette contrainte, ce qui en a finalement amélioré la clarté.</w:t>
      </w:r>
    </w:p>
    <w:p>
      <w:pPr>
        <w:pStyle w:val="Heading2"/>
      </w:pPr>
      <w:r>
        <w:t xml:space="preserve">20.4. Le réglage des hyperparamètres</w:t>
      </w:r>
    </w:p>
    <w:p>
      <w:pPr>
        <w:spacing w:after="120" w:line="276"/>
        <w:jc w:val="both"/>
      </w:pPr>
      <w:r>
        <w:t xml:space="preserve">Le taux d'apprentissage, le nombre de couches et de neurones, le nombre d'époques, la valeur de gamma du RBF ou le paramètre C du SVM représentent un grand nombre de paramètres à régler, sans intuition initiale. Nous avons procédé par essais successifs. Nous avons par exemple constaté qu'un taux d'apprentissage de 0.001 est trop faible pour les quatre exemples du XOR, et qu'une valeur de 0.5 à 1.0 est nécessaire. Ce constat explique également l'intérêt d'Adam, dont l'auto-régulation a sensiblement facilité ce réglage.</w:t>
      </w:r>
    </w:p>
    <w:p>
      <w:pPr>
        <w:pStyle w:val="Heading1"/>
      </w:pPr>
      <w:r>
        <w:t xml:space="preserve">21. Conclusion</w:t>
      </w:r>
    </w:p>
    <w:p>
      <w:pPr>
        <w:spacing w:after="120" w:line="276"/>
        <w:jc w:val="both"/>
      </w:pPr>
      <w:r>
        <w:t xml:space="preserve">VisionAI constitue aujourd'hui un framework de Machine Learning fonctionnel et cohérent de bout en bout : un cœur en Rust regroupant quatre familles de modèles, trois optimiseurs et une suite de métriques, validé par 123 tests, exposé en Python et via une API REST, et exploitable depuis une application cliente web sur de nouvelles données. La chaîne complète — entraînement, sauvegarde, rechargement, prédiction — fonctionne aussi bien sur les cas de test que sur le jeu de données d'images constitué pour le projet.</w:t>
      </w:r>
    </w:p>
    <w:p>
      <w:pPr>
        <w:spacing w:after="120" w:line="276"/>
        <w:jc w:val="both"/>
      </w:pPr>
      <w:r>
        <w:t xml:space="preserve">Au-delà du livrable, ce projet nous a permis de comprendre le fonctionnement réel d'un réseau de neurones, d'une descente de gradient, d'un noyau ou d'un optimiseur adaptatif, autant de notions qui seraient demeurées abstraites avec le seul recours à scikit-learn ou PyTorch. Il nous a également conduits à apprendre Rust, objectif initialement secondaire mais qui a représenté une part importante du travail et de l'apprentissage.</w:t>
      </w:r>
    </w:p>
    <w:p>
      <w:pPr>
        <w:spacing w:after="120" w:line="276"/>
        <w:jc w:val="both"/>
      </w:pPr>
      <w:r>
        <w:t xml:space="preserve">Il reste à finaliser l'exploitation chiffrée des notebooks d'expérimentation (courbes d'apprentissage, matrices de confusion, étude des phénomènes de sur-apprentissage et de sous-apprentissage) ainsi qu'à préparer la soutenance. Les fondations sont néanmoins solides, et le projet satisfait l'ensemble des attendus techniques du rendu.</w:t>
      </w:r>
    </w:p>
    <w:p>
      <w:r>
        <w:br w:type="page"/>
      </w:r>
    </w:p>
    <w:p>
      <w:pPr>
        <w:pStyle w:val="Heading1"/>
      </w:pPr>
      <w:r>
        <w:t xml:space="preserve">Annexes</w:t>
      </w:r>
    </w:p>
    <w:p>
      <w:pPr>
        <w:pStyle w:val="Heading2"/>
      </w:pPr>
      <w:r>
        <w:t xml:space="preserve">A. Répartition du travail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Membre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Responsabilités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Valentin</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Cœur ML : Matrix, fonctions d'activation, MLP (propagation avant, rétropropagation), optimiseurs (momentum, Adam), métriques, sérialisation serde, tests unitaires et d'intégration, application cliente web, rapport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Thinina</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API REST (Axum), bindings Python (PyO3), fonctions utilitaires (train/predict/save/load), construction du jeu de données, type Vector, modèle linéaire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Ali</w:t>
            </w:r>
          </w:p>
        </w:tc>
        <w:tc>
          <w:tcPr>
            <w:tcW w:type="dxa" w:w="7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Données : prétraitement des images, notebooks d'expérimentation, analyse des phénomènes d'apprentissage (en cours)</w:t>
            </w:r>
          </w:p>
        </w:tc>
      </w:tr>
    </w:tbl>
    <w:p>
      <w:pPr>
        <w:spacing w:after="80"/>
      </w:pPr>
    </w:p>
    <w:p>
      <w:pPr>
        <w:pStyle w:val="Heading2"/>
      </w:pPr>
      <w:r>
        <w:t xml:space="preserve">B. Arborescence du projet</w:t>
      </w:r>
    </w:p>
    <w:p>
      <w:pPr>
        <w:shd w:fill="F2F2F2" w:val="clear"/>
        <w:spacing w:after="40" w:before="40"/>
      </w:pPr>
      <w:r>
        <w:rPr>
          <w:rFonts w:ascii="Consolas" w:cs="Consolas" w:eastAsia="Consolas" w:hAnsi="Consolas"/>
          <w:sz w:val="19"/>
          <w:szCs w:val="19"/>
        </w:rPr>
        <w:t xml:space="preserve">VisionAI/</w:t>
      </w:r>
    </w:p>
    <w:p>
      <w:pPr>
        <w:shd w:fill="F2F2F2" w:val="clear"/>
        <w:spacing w:after="40" w:before="40"/>
      </w:pPr>
      <w:r>
        <w:rPr>
          <w:rFonts w:ascii="Consolas" w:cs="Consolas" w:eastAsia="Consolas" w:hAnsi="Consolas"/>
          <w:sz w:val="19"/>
          <w:szCs w:val="19"/>
        </w:rPr>
        <w:t xml:space="preserve">|-- Cargo.toml                 (workspace)</w:t>
      </w:r>
    </w:p>
    <w:p>
      <w:pPr>
        <w:shd w:fill="F2F2F2" w:val="clear"/>
        <w:spacing w:after="40" w:before="40"/>
      </w:pPr>
      <w:r>
        <w:rPr>
          <w:rFonts w:ascii="Consolas" w:cs="Consolas" w:eastAsia="Consolas" w:hAnsi="Consolas"/>
          <w:sz w:val="19"/>
          <w:szCs w:val="19"/>
        </w:rPr>
        <w:t xml:space="preserve">|-- core_lib/</w:t>
      </w:r>
    </w:p>
    <w:p>
      <w:pPr>
        <w:shd w:fill="F2F2F2" w:val="clear"/>
        <w:spacing w:after="40" w:before="40"/>
      </w:pPr>
      <w:r>
        <w:rPr>
          <w:rFonts w:ascii="Consolas" w:cs="Consolas" w:eastAsia="Consolas" w:hAnsi="Consolas"/>
          <w:sz w:val="19"/>
          <w:szCs w:val="19"/>
        </w:rPr>
        <w:t xml:space="preserve">|   `-- src/</w:t>
      </w:r>
    </w:p>
    <w:p>
      <w:pPr>
        <w:shd w:fill="F2F2F2" w:val="clear"/>
        <w:spacing w:after="40" w:before="40"/>
      </w:pPr>
      <w:r>
        <w:rPr>
          <w:rFonts w:ascii="Consolas" w:cs="Consolas" w:eastAsia="Consolas" w:hAnsi="Consolas"/>
          <w:sz w:val="19"/>
          <w:szCs w:val="19"/>
        </w:rPr>
        <w:t xml:space="preserve">|       |-- math/             vector.rs, matrix.rs, activations.rs</w:t>
      </w:r>
    </w:p>
    <w:p>
      <w:pPr>
        <w:shd w:fill="F2F2F2" w:val="clear"/>
        <w:spacing w:after="40" w:before="40"/>
      </w:pPr>
      <w:r>
        <w:rPr>
          <w:rFonts w:ascii="Consolas" w:cs="Consolas" w:eastAsia="Consolas" w:hAnsi="Consolas"/>
          <w:sz w:val="19"/>
          <w:szCs w:val="19"/>
        </w:rPr>
        <w:t xml:space="preserve">|       |-- models/           linear.rs, mlp.rs, rbf.rs, svm.rs</w:t>
      </w:r>
    </w:p>
    <w:p>
      <w:pPr>
        <w:shd w:fill="F2F2F2" w:val="clear"/>
        <w:spacing w:after="40" w:before="40"/>
      </w:pPr>
      <w:r>
        <w:rPr>
          <w:rFonts w:ascii="Consolas" w:cs="Consolas" w:eastAsia="Consolas" w:hAnsi="Consolas"/>
          <w:sz w:val="19"/>
          <w:szCs w:val="19"/>
        </w:rPr>
        <w:t xml:space="preserve">|       |-- optim/            gradient_descent.rs, sgd_momentum.rs, adam.rs, optimizer.rs</w:t>
      </w:r>
    </w:p>
    <w:p>
      <w:pPr>
        <w:shd w:fill="F2F2F2" w:val="clear"/>
        <w:spacing w:after="40" w:before="40"/>
      </w:pPr>
      <w:r>
        <w:rPr>
          <w:rFonts w:ascii="Consolas" w:cs="Consolas" w:eastAsia="Consolas" w:hAnsi="Consolas"/>
          <w:sz w:val="19"/>
          <w:szCs w:val="19"/>
        </w:rPr>
        <w:t xml:space="preserve">|       `-- metrics/          mod.rs (accuracy, confusion, F1, MSE/MAE/R2, k-fold)</w:t>
      </w:r>
    </w:p>
    <w:p>
      <w:pPr>
        <w:shd w:fill="F2F2F2" w:val="clear"/>
        <w:spacing w:after="40" w:before="40"/>
      </w:pPr>
      <w:r>
        <w:rPr>
          <w:rFonts w:ascii="Consolas" w:cs="Consolas" w:eastAsia="Consolas" w:hAnsi="Consolas"/>
          <w:sz w:val="19"/>
          <w:szCs w:val="19"/>
        </w:rPr>
        <w:t xml:space="preserve">|   `-- tests/                integration_tests.rs (69 tests)</w:t>
      </w:r>
    </w:p>
    <w:p>
      <w:pPr>
        <w:shd w:fill="F2F2F2" w:val="clear"/>
        <w:spacing w:after="40" w:before="40"/>
      </w:pPr>
      <w:r>
        <w:rPr>
          <w:rFonts w:ascii="Consolas" w:cs="Consolas" w:eastAsia="Consolas" w:hAnsi="Consolas"/>
          <w:sz w:val="19"/>
          <w:szCs w:val="19"/>
        </w:rPr>
        <w:t xml:space="preserve">|-- api_server/               src/main.rs (Axum, endpoints REST)</w:t>
      </w:r>
    </w:p>
    <w:p>
      <w:pPr>
        <w:shd w:fill="F2F2F2" w:val="clear"/>
        <w:spacing w:after="40" w:before="40"/>
      </w:pPr>
      <w:r>
        <w:rPr>
          <w:rFonts w:ascii="Consolas" w:cs="Consolas" w:eastAsia="Consolas" w:hAnsi="Consolas"/>
          <w:sz w:val="19"/>
          <w:szCs w:val="19"/>
        </w:rPr>
        <w:t xml:space="preserve">|-- python_binding/           src/lib.rs (PyO3 : PyMLP, PyRBF, PySVM, ...)</w:t>
      </w:r>
    </w:p>
    <w:p>
      <w:pPr>
        <w:shd w:fill="F2F2F2" w:val="clear"/>
        <w:spacing w:after="40" w:before="40"/>
      </w:pPr>
      <w:r>
        <w:rPr>
          <w:rFonts w:ascii="Consolas" w:cs="Consolas" w:eastAsia="Consolas" w:hAnsi="Consolas"/>
          <w:sz w:val="19"/>
          <w:szCs w:val="19"/>
        </w:rPr>
        <w:t xml:space="preserve">|-- client/                   index.html (application web)</w:t>
      </w:r>
    </w:p>
    <w:p>
      <w:pPr>
        <w:shd w:fill="F2F2F2" w:val="clear"/>
        <w:spacing w:after="40" w:before="40"/>
      </w:pPr>
      <w:r>
        <w:rPr>
          <w:rFonts w:ascii="Consolas" w:cs="Consolas" w:eastAsia="Consolas" w:hAnsi="Consolas"/>
          <w:sz w:val="19"/>
          <w:szCs w:val="19"/>
        </w:rPr>
        <w:t xml:space="preserve">|-- notebooks/                analyse_dataset, comparaison_modeles, analyse_hyperparametres</w:t>
      </w:r>
    </w:p>
    <w:p>
      <w:pPr>
        <w:shd w:fill="F2F2F2" w:val="clear"/>
        <w:spacing w:after="40" w:before="40"/>
      </w:pPr>
      <w:r>
        <w:rPr>
          <w:rFonts w:ascii="Consolas" w:cs="Consolas" w:eastAsia="Consolas" w:hAnsi="Consolas"/>
          <w:sz w:val="19"/>
          <w:szCs w:val="19"/>
        </w:rPr>
        <w:t xml:space="preserve">`-- preprocess_dataset.py     pretraitement du jeu de donnees d'images</w:t>
      </w:r>
    </w:p>
    <w:p>
      <w:pPr>
        <w:spacing w:after="80"/>
      </w:pPr>
    </w:p>
    <w:p>
      <w:pPr>
        <w:pStyle w:val="Heading2"/>
      </w:pPr>
      <w:r>
        <w:t xml:space="preserve">C.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Terme</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Définition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Rétropropagation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Algorithme déterminant l'ajustement des poids d'un réseau de neurones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Borrow checker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Système de Rust vérifiant à la compilation l'absence d'erreurs mémoire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Crate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Équivalent d'un package ou d'une bibliothèque en Rust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Propagation avant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Cheminement des données de l'entrée vers la sortie du réseau</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Gradient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Direction de modification des poids permettant de réduire l'erreur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Hinge loss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Fonction de coût du SVM, ne pénalisant que les points du mauvais côté de la marge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Astuce du noyau</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Procédé permettant au SVM de séparer des données non linéaires sans transformation explicite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Taux d'apprentissage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Amplitude du pas de mise à jour des poids à chaque itération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MLP</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Multi-Layer Perceptron, réseau de neurones à plusieurs couches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Momentum / Adam</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Optimiseurs accélérant et stabilisant la descente de gradient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MSE / MAE / R²</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Métriques d'erreur et de qualité pour la régression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RBF</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Réseau à fonctions de base radiale, fondé sur un noyau gaussien autour de centres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Softmax</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Fonction transformant des scores en probabilités de somme égale à 1</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SVM</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Support Vector Machine, classifieur à marge maximale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Vecteur de support</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20"/>
                <w:szCs w:val="20"/>
              </w:rPr>
              <w:t xml:space="preserve">Exemple d'entraînement déterminant la frontière de décision d'un SVM</w:t>
            </w:r>
          </w:p>
        </w:tc>
      </w:tr>
    </w:tbl>
    <w:p>
      <w:pPr>
        <w:spacing w:after="80"/>
      </w:pPr>
    </w:p>
    <w:p>
      <w:pPr>
        <w:pStyle w:val="Heading2"/>
      </w:pPr>
      <w:r>
        <w:t xml:space="preserve">D. Références</w:t>
      </w:r>
    </w:p>
    <w:p>
      <w:pPr>
        <w:pStyle w:val="ListParagraph"/>
        <w:numPr>
          <w:ilvl w:val="0"/>
          <w:numId w:val="2"/>
        </w:numPr>
        <w:spacing w:after="60" w:line="276"/>
      </w:pPr>
      <w:r>
        <w:t xml:space="preserve">The Rust Programming Language (le « Rust Book ») — documentation officielle, consultée de manière régulière.</w:t>
      </w:r>
    </w:p>
    <w:p>
      <w:pPr>
        <w:pStyle w:val="ListParagraph"/>
        <w:numPr>
          <w:ilvl w:val="0"/>
          <w:numId w:val="2"/>
        </w:numPr>
        <w:spacing w:after="60" w:line="276"/>
      </w:pPr>
      <w:r>
        <w:t xml:space="preserve">Neural Networks and Deep Learning, Michael Nielsen — présentation visuelle de la rétropropagation.</w:t>
      </w:r>
    </w:p>
    <w:p>
      <w:pPr>
        <w:pStyle w:val="ListParagraph"/>
        <w:numPr>
          <w:ilvl w:val="0"/>
          <w:numId w:val="2"/>
        </w:numPr>
        <w:spacing w:after="60" w:line="276"/>
      </w:pPr>
      <w:r>
        <w:t xml:space="preserve">3Blue1Brown, série Neural Networks (YouTube) — animations facilitant la compréhension de la rétropropagation.</w:t>
      </w:r>
    </w:p>
    <w:p>
      <w:pPr>
        <w:pStyle w:val="ListParagraph"/>
        <w:numPr>
          <w:ilvl w:val="0"/>
          <w:numId w:val="2"/>
        </w:numPr>
        <w:spacing w:after="60" w:line="276"/>
      </w:pPr>
      <w:r>
        <w:t xml:space="preserve">CS231n (Stanford) — notes de cours sur les dérivées des fonctions d'activation et les fondements du SVM.</w:t>
      </w:r>
    </w:p>
    <w:p>
      <w:pPr>
        <w:pStyle w:val="ListParagraph"/>
        <w:numPr>
          <w:ilvl w:val="0"/>
          <w:numId w:val="2"/>
        </w:numPr>
        <w:spacing w:after="60" w:line="276"/>
      </w:pPr>
      <w:r>
        <w:t xml:space="preserve">Documentation de PyO3 et d'Axum — pour les bindings Python et le serveur web.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888888"/>
        <w:sz w:val="16"/>
        <w:szCs w:val="16"/>
      </w:rPr>
      <w:t xml:space="preserve">VisionAI — Framework de ML en 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2026-06-28T19:20:16.513Z</dcterms:created>
  <dcterms:modified xsi:type="dcterms:W3CDTF">2026-06-28T19:20:16.517Z</dcterms:modified>
</cp:coreProperties>
</file>

<file path=docProps/custom.xml><?xml version="1.0" encoding="utf-8"?>
<Properties xmlns="http://schemas.openxmlformats.org/officeDocument/2006/custom-properties" xmlns:vt="http://schemas.openxmlformats.org/officeDocument/2006/docPropsVTypes"/>
</file>