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40" w:lineRule="auto"/>
        <w:jc w:val="center"/>
        <w:rPr>
          <w:rFonts w:ascii="Times New Roman" w:cs="Times New Roman" w:eastAsia="Times New Roman" w:hAnsi="Times New Roman"/>
          <w:b w:val="1"/>
          <w:color w:val="1b2229"/>
          <w:sz w:val="32"/>
          <w:szCs w:val="32"/>
        </w:rPr>
      </w:pPr>
      <w:bookmarkStart w:colFirst="0" w:colLast="0" w:name="_c436c0vn5c6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b2229"/>
          <w:sz w:val="32"/>
          <w:szCs w:val="32"/>
          <w:rtl w:val="0"/>
        </w:rPr>
        <w:t xml:space="preserve">Quaternion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Rotation and Orientation in Unity: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Rotation in 3D are usually represented in Quaternions or Euler Angels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EULER ANGLES: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ab/>
        <w:t xml:space="preserve">Euler angles are represented by 3 angle values for x,y,z that are applied simultaneously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To apply euler rotation for a particular gameobject,each rotation value is applied in turn,as a rotation around its corresponding axis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Quaternions are used to represent rotations.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They are compact, don't suffer from gimbal lock and can easily be interpolated. Unity internally uses Quaternions to represent all rotations.Quaternion components (x,y,z,w); These components are independent and we should never adjust them individually.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Quaternion.LookRotation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Quaternion.Angle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Quaternion.Euler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Quaternion.Slerp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Quaternion.FromRotation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Quaternion.identity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Quaternion.LookRotation: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Creates a rotation with the specified upward  and downward directions.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Quaternion.Angle: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Returns the angle in degrees between two rotations a and b.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Quaternion.Euler: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Returns a rotation that rotates z degrees around the z axis, x degrees around the x axis, and y degrees around the y axis; applied in that order.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Quaternion.Slerp: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455463"/>
          <w:sz w:val="29"/>
          <w:szCs w:val="29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uaternion A quaternion spherically interpolated between quaternions a and b.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Quaternion.FromRotation: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Creates a rotation which rotates from fromDirection to toDirection.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b w:val="1"/>
          <w:color w:val="45546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5463"/>
          <w:sz w:val="29"/>
          <w:szCs w:val="29"/>
          <w:rtl w:val="0"/>
        </w:rPr>
        <w:t xml:space="preserve">Quaternion.identity: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This quaternion corresponds to "no rotation" - the object is perfectly aligned with the world or parent 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