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DF709">
      <w:pPr>
        <w:spacing w:before="700" w:after="0"/>
      </w:pPr>
    </w:p>
    <w:p w14:paraId="6EFD7996">
      <w:pPr>
        <w:spacing w:before="0" w:after="40"/>
        <w:jc w:val="center"/>
      </w:pPr>
      <w:r>
        <w:rPr>
          <w:rFonts w:ascii="Arial" w:hAnsi="Arial" w:eastAsia="Arial" w:cs="Arial"/>
          <w:b/>
          <w:bCs/>
          <w:color w:val="1A7A45"/>
          <w:sz w:val="68"/>
          <w:szCs w:val="68"/>
        </w:rPr>
        <w:t>OwnIt Uganda</w:t>
      </w:r>
    </w:p>
    <w:p w14:paraId="1A13C9C7">
      <w:pPr>
        <w:spacing w:before="0" w:after="80"/>
        <w:jc w:val="center"/>
      </w:pPr>
      <w:r>
        <w:rPr>
          <w:rFonts w:ascii="Arial" w:hAnsi="Arial" w:eastAsia="Arial" w:cs="Arial"/>
          <w:color w:val="5A6B5E"/>
          <w:sz w:val="28"/>
          <w:szCs w:val="28"/>
        </w:rPr>
        <w:t>Uganda's First Multi-Asset Class Crowd-Investment Platform</w:t>
      </w:r>
    </w:p>
    <w:p w14:paraId="06AF303B">
      <w:pPr>
        <w:pBdr>
          <w:bottom w:val="single" w:color="1A7A45" w:sz="12" w:space="1"/>
        </w:pBdr>
        <w:spacing w:before="60" w:after="60"/>
      </w:pPr>
    </w:p>
    <w:p w14:paraId="78ED9ED6">
      <w:pPr>
        <w:spacing w:before="120" w:after="0"/>
      </w:pPr>
    </w:p>
    <w:p w14:paraId="292A959A">
      <w:pPr>
        <w:spacing w:before="0" w:after="60"/>
        <w:jc w:val="center"/>
      </w:pPr>
      <w:r>
        <w:rPr>
          <w:rFonts w:ascii="Arial" w:hAnsi="Arial" w:eastAsia="Arial" w:cs="Arial"/>
          <w:b/>
          <w:bCs/>
          <w:color w:val="0D1F15"/>
          <w:sz w:val="36"/>
          <w:szCs w:val="36"/>
        </w:rPr>
        <w:t>BUSINESS PLAN &amp; PARTNERSHIP PROPOSAL</w:t>
      </w:r>
    </w:p>
    <w:p w14:paraId="467D7AFB">
      <w:pPr>
        <w:spacing w:before="0" w:after="60"/>
        <w:jc w:val="center"/>
      </w:pPr>
      <w:r>
        <w:rPr>
          <w:rFonts w:ascii="Arial" w:hAnsi="Arial" w:eastAsia="Arial" w:cs="Arial"/>
          <w:color w:val="5A6B5E"/>
          <w:sz w:val="22"/>
          <w:szCs w:val="22"/>
        </w:rPr>
        <w:t>Presented to:</w:t>
      </w:r>
    </w:p>
    <w:p w14:paraId="5EE92C64">
      <w:pPr>
        <w:spacing w:before="0" w:after="40"/>
        <w:jc w:val="center"/>
      </w:pPr>
      <w:r>
        <w:rPr>
          <w:rFonts w:ascii="Arial" w:hAnsi="Arial" w:eastAsia="Arial" w:cs="Arial"/>
          <w:b/>
          <w:bCs/>
          <w:color w:val="003F87"/>
          <w:sz w:val="30"/>
          <w:szCs w:val="30"/>
        </w:rPr>
        <w:t>National Social Security Fund (NSSF) Uganda</w:t>
      </w:r>
    </w:p>
    <w:p w14:paraId="0EF5CA56">
      <w:pPr>
        <w:spacing w:before="0" w:after="200"/>
        <w:jc w:val="center"/>
      </w:pPr>
      <w:r>
        <w:rPr>
          <w:rFonts w:ascii="Arial" w:hAnsi="Arial" w:eastAsia="Arial" w:cs="Arial"/>
          <w:i/>
          <w:iCs/>
          <w:color w:val="5A6B5E"/>
          <w:sz w:val="20"/>
          <w:szCs w:val="20"/>
        </w:rPr>
        <w:t>Revenue Partnership, Auto-Membership Enrollment &amp; Product Co-Development Proposal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0"/>
        <w:gridCol w:w="1038"/>
        <w:gridCol w:w="1094"/>
        <w:gridCol w:w="1031"/>
        <w:gridCol w:w="1038"/>
        <w:gridCol w:w="1034"/>
        <w:gridCol w:w="1033"/>
        <w:gridCol w:w="1031"/>
        <w:gridCol w:w="1031"/>
      </w:tblGrid>
      <w:tr w14:paraId="60444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nil"/>
              <w:left w:val="nil"/>
              <w:bottom w:val="nil"/>
              <w:right w:val="nil"/>
            </w:tcBorders>
            <w:shd w:val="clear" w:color="auto" w:fill="1A7A45"/>
            <w:tcMar>
              <w:top w:w="120" w:type="dxa"/>
              <w:left w:w="40" w:type="dxa"/>
              <w:bottom w:w="120" w:type="dxa"/>
              <w:right w:w="40" w:type="dxa"/>
            </w:tcMar>
          </w:tcPr>
          <w:p w14:paraId="10CFDC3A">
            <w:pPr>
              <w:spacing w:before="0" w:after="30"/>
              <w:jc w:val="center"/>
            </w:pPr>
            <w:r>
              <w:rPr>
                <w:rFonts w:ascii="Arial" w:hAnsi="Arial" w:eastAsia="Arial" w:cs="Arial"/>
                <w:sz w:val="28"/>
                <w:szCs w:val="28"/>
              </w:rPr>
              <w:t>🏢</w:t>
            </w:r>
          </w:p>
          <w:p w14:paraId="65887A55">
            <w:pPr>
              <w:spacing w:before="0" w:after="0"/>
              <w:jc w:val="center"/>
            </w:pPr>
            <w:r>
              <w:rPr>
                <w:rFonts w:ascii="Arial" w:hAnsi="Arial" w:eastAsia="Arial" w:cs="Arial"/>
                <w:b/>
                <w:bCs/>
                <w:color w:val="FFFFFF"/>
                <w:sz w:val="16"/>
                <w:szCs w:val="16"/>
              </w:rPr>
              <w:t>Real
Estate</w:t>
            </w:r>
          </w:p>
        </w:tc>
        <w:tc>
          <w:tcPr>
            <w:tcW w:w="1040" w:type="dxa"/>
            <w:tcBorders>
              <w:top w:val="nil"/>
              <w:left w:val="nil"/>
              <w:bottom w:val="nil"/>
              <w:right w:val="nil"/>
            </w:tcBorders>
            <w:shd w:val="clear" w:color="auto" w:fill="C17F00"/>
            <w:tcMar>
              <w:top w:w="120" w:type="dxa"/>
              <w:left w:w="40" w:type="dxa"/>
              <w:bottom w:w="120" w:type="dxa"/>
              <w:right w:w="40" w:type="dxa"/>
            </w:tcMar>
          </w:tcPr>
          <w:p w14:paraId="57CE5788">
            <w:pPr>
              <w:spacing w:before="0" w:after="30"/>
              <w:jc w:val="center"/>
            </w:pPr>
            <w:r>
              <w:rPr>
                <w:rFonts w:ascii="Arial" w:hAnsi="Arial" w:eastAsia="Arial" w:cs="Arial"/>
                <w:sz w:val="28"/>
                <w:szCs w:val="28"/>
              </w:rPr>
              <w:t>🛢️</w:t>
            </w:r>
          </w:p>
          <w:p w14:paraId="4A74F25A">
            <w:pPr>
              <w:spacing w:before="0" w:after="0"/>
              <w:jc w:val="center"/>
            </w:pPr>
            <w:r>
              <w:rPr>
                <w:rFonts w:ascii="Arial" w:hAnsi="Arial" w:eastAsia="Arial" w:cs="Arial"/>
                <w:b/>
                <w:bCs/>
                <w:color w:val="FFFFFF"/>
                <w:sz w:val="16"/>
                <w:szCs w:val="16"/>
              </w:rPr>
              <w:t>Petroleum
&amp; Energy</w:t>
            </w:r>
          </w:p>
        </w:tc>
        <w:tc>
          <w:tcPr>
            <w:tcW w:w="1040" w:type="dxa"/>
            <w:tcBorders>
              <w:top w:val="nil"/>
              <w:left w:val="nil"/>
              <w:bottom w:val="nil"/>
              <w:right w:val="nil"/>
            </w:tcBorders>
            <w:shd w:val="clear" w:color="auto" w:fill="1A7A45"/>
            <w:tcMar>
              <w:top w:w="120" w:type="dxa"/>
              <w:left w:w="40" w:type="dxa"/>
              <w:bottom w:w="120" w:type="dxa"/>
              <w:right w:w="40" w:type="dxa"/>
            </w:tcMar>
          </w:tcPr>
          <w:p w14:paraId="6CBCA290">
            <w:pPr>
              <w:spacing w:before="0" w:after="30"/>
              <w:jc w:val="center"/>
            </w:pPr>
            <w:r>
              <w:rPr>
                <w:rFonts w:ascii="Arial" w:hAnsi="Arial" w:eastAsia="Arial" w:cs="Arial"/>
                <w:sz w:val="28"/>
                <w:szCs w:val="28"/>
              </w:rPr>
              <w:t>🌽</w:t>
            </w:r>
          </w:p>
          <w:p w14:paraId="2F4DEB3E">
            <w:pPr>
              <w:spacing w:before="0" w:after="0"/>
              <w:jc w:val="center"/>
            </w:pPr>
            <w:r>
              <w:rPr>
                <w:rFonts w:ascii="Arial" w:hAnsi="Arial" w:eastAsia="Arial" w:cs="Arial"/>
                <w:b/>
                <w:bCs/>
                <w:color w:val="FFFFFF"/>
                <w:sz w:val="16"/>
                <w:szCs w:val="16"/>
              </w:rPr>
              <w:t>Agri
Commodities</w:t>
            </w:r>
          </w:p>
        </w:tc>
        <w:tc>
          <w:tcPr>
            <w:tcW w:w="1040" w:type="dxa"/>
            <w:tcBorders>
              <w:top w:val="nil"/>
              <w:left w:val="nil"/>
              <w:bottom w:val="nil"/>
              <w:right w:val="nil"/>
            </w:tcBorders>
            <w:shd w:val="clear" w:color="auto" w:fill="003F87"/>
            <w:tcMar>
              <w:top w:w="120" w:type="dxa"/>
              <w:left w:w="40" w:type="dxa"/>
              <w:bottom w:w="120" w:type="dxa"/>
              <w:right w:w="40" w:type="dxa"/>
            </w:tcMar>
          </w:tcPr>
          <w:p w14:paraId="7A2E25F2">
            <w:pPr>
              <w:spacing w:before="0" w:after="30"/>
              <w:jc w:val="center"/>
            </w:pPr>
            <w:r>
              <w:rPr>
                <w:rFonts w:ascii="Arial" w:hAnsi="Arial" w:eastAsia="Arial" w:cs="Arial"/>
                <w:sz w:val="28"/>
                <w:szCs w:val="28"/>
              </w:rPr>
              <w:t>📊</w:t>
            </w:r>
          </w:p>
          <w:p w14:paraId="6F55F5E4">
            <w:pPr>
              <w:spacing w:before="0" w:after="0"/>
              <w:jc w:val="center"/>
            </w:pPr>
            <w:r>
              <w:rPr>
                <w:rFonts w:ascii="Arial" w:hAnsi="Arial" w:eastAsia="Arial" w:cs="Arial"/>
                <w:b/>
                <w:bCs/>
                <w:color w:val="FFFFFF"/>
                <w:sz w:val="16"/>
                <w:szCs w:val="16"/>
              </w:rPr>
              <w:t>T-Bills
&amp; Bonds</w:t>
            </w:r>
          </w:p>
        </w:tc>
        <w:tc>
          <w:tcPr>
            <w:tcW w:w="1040" w:type="dxa"/>
            <w:tcBorders>
              <w:top w:val="nil"/>
              <w:left w:val="nil"/>
              <w:bottom w:val="nil"/>
              <w:right w:val="nil"/>
            </w:tcBorders>
            <w:shd w:val="clear" w:color="auto" w:fill="4A148C"/>
            <w:tcMar>
              <w:top w:w="120" w:type="dxa"/>
              <w:left w:w="40" w:type="dxa"/>
              <w:bottom w:w="120" w:type="dxa"/>
              <w:right w:w="40" w:type="dxa"/>
            </w:tcMar>
          </w:tcPr>
          <w:p w14:paraId="2DA2EA0F">
            <w:pPr>
              <w:spacing w:before="0" w:after="30"/>
              <w:jc w:val="center"/>
            </w:pPr>
            <w:r>
              <w:rPr>
                <w:rFonts w:ascii="Arial" w:hAnsi="Arial" w:eastAsia="Arial" w:cs="Arial"/>
                <w:sz w:val="28"/>
                <w:szCs w:val="28"/>
              </w:rPr>
              <w:t>💱</w:t>
            </w:r>
          </w:p>
          <w:p w14:paraId="7E6864BA">
            <w:pPr>
              <w:spacing w:before="0" w:after="0"/>
              <w:jc w:val="center"/>
            </w:pPr>
            <w:r>
              <w:rPr>
                <w:rFonts w:ascii="Arial" w:hAnsi="Arial" w:eastAsia="Arial" w:cs="Arial"/>
                <w:b/>
                <w:bCs/>
                <w:color w:val="FFFFFF"/>
                <w:sz w:val="16"/>
                <w:szCs w:val="16"/>
              </w:rPr>
              <w:t>FX &amp;
Derivatives</w:t>
            </w:r>
          </w:p>
        </w:tc>
        <w:tc>
          <w:tcPr>
            <w:tcW w:w="1040" w:type="dxa"/>
            <w:tcBorders>
              <w:top w:val="nil"/>
              <w:left w:val="nil"/>
              <w:bottom w:val="nil"/>
              <w:right w:val="nil"/>
            </w:tcBorders>
            <w:shd w:val="clear" w:color="auto" w:fill="00695C"/>
            <w:tcMar>
              <w:top w:w="120" w:type="dxa"/>
              <w:left w:w="40" w:type="dxa"/>
              <w:bottom w:w="120" w:type="dxa"/>
              <w:right w:w="40" w:type="dxa"/>
            </w:tcMar>
          </w:tcPr>
          <w:p w14:paraId="319C72DF">
            <w:pPr>
              <w:spacing w:before="0" w:after="30"/>
              <w:jc w:val="center"/>
            </w:pPr>
            <w:r>
              <w:rPr>
                <w:rFonts w:ascii="Arial" w:hAnsi="Arial" w:eastAsia="Arial" w:cs="Arial"/>
                <w:sz w:val="28"/>
                <w:szCs w:val="28"/>
              </w:rPr>
              <w:t>⛏️</w:t>
            </w:r>
          </w:p>
          <w:p w14:paraId="7943B5D3">
            <w:pPr>
              <w:spacing w:before="0" w:after="0"/>
              <w:jc w:val="center"/>
            </w:pPr>
            <w:r>
              <w:rPr>
                <w:rFonts w:ascii="Arial" w:hAnsi="Arial" w:eastAsia="Arial" w:cs="Arial"/>
                <w:b/>
                <w:bCs/>
                <w:color w:val="FFFFFF"/>
                <w:sz w:val="16"/>
                <w:szCs w:val="16"/>
              </w:rPr>
              <w:t>Rare Earth
Minerals</w:t>
            </w:r>
          </w:p>
        </w:tc>
        <w:tc>
          <w:tcPr>
            <w:tcW w:w="1040" w:type="dxa"/>
            <w:tcBorders>
              <w:top w:val="nil"/>
              <w:left w:val="nil"/>
              <w:bottom w:val="nil"/>
              <w:right w:val="nil"/>
            </w:tcBorders>
            <w:shd w:val="clear" w:color="auto" w:fill="283593"/>
            <w:tcMar>
              <w:top w:w="120" w:type="dxa"/>
              <w:left w:w="40" w:type="dxa"/>
              <w:bottom w:w="120" w:type="dxa"/>
              <w:right w:w="40" w:type="dxa"/>
            </w:tcMar>
          </w:tcPr>
          <w:p w14:paraId="33E33B3C">
            <w:pPr>
              <w:spacing w:before="0" w:after="30"/>
              <w:jc w:val="center"/>
            </w:pPr>
            <w:r>
              <w:rPr>
                <w:rFonts w:ascii="Arial" w:hAnsi="Arial" w:eastAsia="Arial" w:cs="Arial"/>
                <w:sz w:val="28"/>
                <w:szCs w:val="28"/>
              </w:rPr>
              <w:t>📈</w:t>
            </w:r>
          </w:p>
          <w:p w14:paraId="7D9526AF">
            <w:pPr>
              <w:spacing w:before="0" w:after="0"/>
              <w:jc w:val="center"/>
            </w:pPr>
            <w:r>
              <w:rPr>
                <w:rFonts w:ascii="Arial" w:hAnsi="Arial" w:eastAsia="Arial" w:cs="Arial"/>
                <w:b/>
                <w:bCs/>
                <w:color w:val="FFFFFF"/>
                <w:sz w:val="16"/>
                <w:szCs w:val="16"/>
              </w:rPr>
              <w:t>Stocks &amp;
Equities</w:t>
            </w:r>
          </w:p>
        </w:tc>
        <w:tc>
          <w:tcPr>
            <w:tcW w:w="1040" w:type="dxa"/>
            <w:tcBorders>
              <w:top w:val="nil"/>
              <w:left w:val="nil"/>
              <w:bottom w:val="nil"/>
              <w:right w:val="nil"/>
            </w:tcBorders>
            <w:shd w:val="clear" w:color="auto" w:fill="4E342E"/>
            <w:tcMar>
              <w:top w:w="120" w:type="dxa"/>
              <w:left w:w="40" w:type="dxa"/>
              <w:bottom w:w="120" w:type="dxa"/>
              <w:right w:w="40" w:type="dxa"/>
            </w:tcMar>
          </w:tcPr>
          <w:p w14:paraId="26AEE7EE">
            <w:pPr>
              <w:spacing w:before="0" w:after="30"/>
              <w:jc w:val="center"/>
            </w:pPr>
            <w:r>
              <w:rPr>
                <w:rFonts w:ascii="Arial" w:hAnsi="Arial" w:eastAsia="Arial" w:cs="Arial"/>
                <w:sz w:val="28"/>
                <w:szCs w:val="28"/>
              </w:rPr>
              <w:t>🏭</w:t>
            </w:r>
          </w:p>
          <w:p w14:paraId="516755D2">
            <w:pPr>
              <w:spacing w:before="0" w:after="0"/>
              <w:jc w:val="center"/>
            </w:pPr>
            <w:r>
              <w:rPr>
                <w:rFonts w:ascii="Arial" w:hAnsi="Arial" w:eastAsia="Arial" w:cs="Arial"/>
                <w:b/>
                <w:bCs/>
                <w:color w:val="FFFFFF"/>
                <w:sz w:val="16"/>
                <w:szCs w:val="16"/>
              </w:rPr>
              <w:t>SME
Equity</w:t>
            </w:r>
          </w:p>
        </w:tc>
        <w:tc>
          <w:tcPr>
            <w:tcW w:w="1040" w:type="dxa"/>
            <w:tcBorders>
              <w:top w:val="nil"/>
              <w:left w:val="nil"/>
              <w:bottom w:val="nil"/>
              <w:right w:val="nil"/>
            </w:tcBorders>
            <w:shd w:val="clear" w:color="auto" w:fill="37474F"/>
            <w:tcMar>
              <w:top w:w="120" w:type="dxa"/>
              <w:left w:w="40" w:type="dxa"/>
              <w:bottom w:w="120" w:type="dxa"/>
              <w:right w:w="40" w:type="dxa"/>
            </w:tcMar>
          </w:tcPr>
          <w:p w14:paraId="643C04BF">
            <w:pPr>
              <w:spacing w:before="0" w:after="30"/>
              <w:jc w:val="center"/>
            </w:pPr>
            <w:r>
              <w:rPr>
                <w:rFonts w:ascii="Arial" w:hAnsi="Arial" w:eastAsia="Arial" w:cs="Arial"/>
                <w:sz w:val="28"/>
                <w:szCs w:val="28"/>
              </w:rPr>
              <w:t>💡</w:t>
            </w:r>
          </w:p>
          <w:p w14:paraId="7A656E71">
            <w:pPr>
              <w:spacing w:before="0" w:after="0"/>
              <w:jc w:val="center"/>
            </w:pPr>
            <w:r>
              <w:rPr>
                <w:rFonts w:ascii="Arial" w:hAnsi="Arial" w:eastAsia="Arial" w:cs="Arial"/>
                <w:b/>
                <w:bCs/>
                <w:color w:val="FFFFFF"/>
                <w:sz w:val="16"/>
                <w:szCs w:val="16"/>
              </w:rPr>
              <w:t>Any Other
Asset</w:t>
            </w:r>
          </w:p>
        </w:tc>
      </w:tr>
    </w:tbl>
    <w:p w14:paraId="458E3554">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CAA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nil"/>
              <w:left w:val="nil"/>
              <w:bottom w:val="nil"/>
              <w:right w:val="nil"/>
            </w:tcBorders>
            <w:shd w:val="clear" w:color="auto" w:fill="1A7A45"/>
            <w:tcMar>
              <w:top w:w="120" w:type="dxa"/>
              <w:left w:w="120" w:type="dxa"/>
              <w:bottom w:w="120" w:type="dxa"/>
              <w:right w:w="120" w:type="dxa"/>
            </w:tcMar>
          </w:tcPr>
          <w:p w14:paraId="4BB7A49C">
            <w:pPr>
              <w:spacing w:before="0" w:after="40"/>
              <w:jc w:val="center"/>
            </w:pPr>
            <w:r>
              <w:rPr>
                <w:rFonts w:ascii="Arial" w:hAnsi="Arial" w:eastAsia="Arial" w:cs="Arial"/>
                <w:color w:val="FFFFFF"/>
                <w:sz w:val="18"/>
                <w:szCs w:val="18"/>
              </w:rPr>
              <w:t>Min. Investment</w:t>
            </w:r>
          </w:p>
          <w:p w14:paraId="70B05C4D">
            <w:pPr>
              <w:spacing w:before="0" w:after="0"/>
              <w:jc w:val="center"/>
            </w:pPr>
            <w:r>
              <w:rPr>
                <w:rFonts w:ascii="Arial" w:hAnsi="Arial" w:eastAsia="Arial" w:cs="Arial"/>
                <w:b/>
                <w:bCs/>
                <w:color w:val="FFFFFF"/>
                <w:sz w:val="22"/>
                <w:szCs w:val="22"/>
              </w:rPr>
              <w:t>UGX 50,000
(~USD 14)</w:t>
            </w:r>
          </w:p>
        </w:tc>
        <w:tc>
          <w:tcPr>
            <w:tcW w:w="3120" w:type="dxa"/>
            <w:tcBorders>
              <w:top w:val="nil"/>
              <w:left w:val="nil"/>
              <w:bottom w:val="nil"/>
              <w:right w:val="nil"/>
            </w:tcBorders>
            <w:shd w:val="clear" w:color="auto" w:fill="003F87"/>
            <w:tcMar>
              <w:top w:w="120" w:type="dxa"/>
              <w:left w:w="120" w:type="dxa"/>
              <w:bottom w:w="120" w:type="dxa"/>
              <w:right w:w="120" w:type="dxa"/>
            </w:tcMar>
          </w:tcPr>
          <w:p w14:paraId="7DB70BB5">
            <w:pPr>
              <w:spacing w:before="0" w:after="40"/>
              <w:jc w:val="center"/>
            </w:pPr>
            <w:r>
              <w:rPr>
                <w:rFonts w:ascii="Arial" w:hAnsi="Arial" w:eastAsia="Arial" w:cs="Arial"/>
                <w:color w:val="FFFFFF"/>
                <w:sz w:val="18"/>
                <w:szCs w:val="18"/>
              </w:rPr>
              <w:t>NSSF Earns</w:t>
            </w:r>
          </w:p>
          <w:p w14:paraId="1A7A3875">
            <w:pPr>
              <w:spacing w:before="0" w:after="0"/>
              <w:jc w:val="center"/>
            </w:pPr>
            <w:r>
              <w:rPr>
                <w:rFonts w:ascii="Arial" w:hAnsi="Arial" w:eastAsia="Arial" w:cs="Arial"/>
                <w:b/>
                <w:bCs/>
                <w:color w:val="FFFFFF"/>
                <w:sz w:val="22"/>
                <w:szCs w:val="22"/>
              </w:rPr>
              <w:t>3% service charge + 2%
pension levy on every
payout per member</w:t>
            </w:r>
          </w:p>
        </w:tc>
        <w:tc>
          <w:tcPr>
            <w:tcW w:w="3120" w:type="dxa"/>
            <w:tcBorders>
              <w:top w:val="nil"/>
              <w:left w:val="nil"/>
              <w:bottom w:val="nil"/>
              <w:right w:val="nil"/>
            </w:tcBorders>
            <w:shd w:val="clear" w:color="auto" w:fill="C17F00"/>
            <w:tcMar>
              <w:top w:w="120" w:type="dxa"/>
              <w:left w:w="120" w:type="dxa"/>
              <w:bottom w:w="120" w:type="dxa"/>
              <w:right w:w="120" w:type="dxa"/>
            </w:tcMar>
          </w:tcPr>
          <w:p w14:paraId="0B457DAA">
            <w:pPr>
              <w:spacing w:before="0" w:after="40"/>
              <w:jc w:val="center"/>
            </w:pPr>
            <w:r>
              <w:rPr>
                <w:rFonts w:ascii="Arial" w:hAnsi="Arial" w:eastAsia="Arial" w:cs="Arial"/>
                <w:color w:val="FFFFFF"/>
                <w:sz w:val="18"/>
                <w:szCs w:val="18"/>
              </w:rPr>
              <w:t>NSSF Gets</w:t>
            </w:r>
          </w:p>
          <w:p w14:paraId="7A86B15B">
            <w:pPr>
              <w:spacing w:before="0" w:after="0"/>
              <w:jc w:val="center"/>
            </w:pPr>
            <w:r>
              <w:rPr>
                <w:rFonts w:ascii="Arial" w:hAnsi="Arial" w:eastAsia="Arial" w:cs="Arial"/>
                <w:b/>
                <w:bCs/>
                <w:color w:val="FFFFFF"/>
                <w:sz w:val="22"/>
                <w:szCs w:val="22"/>
              </w:rPr>
              <w:t>Auto-enrolled member</w:t>
            </w:r>
            <w:r>
              <w:rPr>
                <w:rFonts w:hint="default" w:cs="Arial"/>
                <w:b/>
                <w:bCs/>
                <w:color w:val="FFFFFF"/>
                <w:sz w:val="22"/>
                <w:szCs w:val="22"/>
                <w:lang w:val="en-US"/>
              </w:rPr>
              <w:t xml:space="preserve">             </w:t>
            </w:r>
            <w:r>
              <w:rPr>
                <w:rFonts w:ascii="Arial" w:hAnsi="Arial" w:eastAsia="Arial" w:cs="Arial"/>
                <w:b/>
                <w:bCs/>
                <w:color w:val="FFFFFF"/>
                <w:sz w:val="22"/>
                <w:szCs w:val="22"/>
              </w:rPr>
              <w:t>per registered user
+ pension pot built
from Day 1</w:t>
            </w:r>
          </w:p>
        </w:tc>
      </w:tr>
    </w:tbl>
    <w:p w14:paraId="365B5629">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FE5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6E4F7"/>
            <w:tcMar>
              <w:top w:w="130" w:type="dxa"/>
              <w:left w:w="200" w:type="dxa"/>
              <w:bottom w:w="130" w:type="dxa"/>
              <w:right w:w="200" w:type="dxa"/>
            </w:tcMar>
          </w:tcPr>
          <w:p w14:paraId="65D84993">
            <w:pPr>
              <w:jc w:val="center"/>
            </w:pPr>
            <w:r>
              <w:rPr>
                <w:rFonts w:ascii="Arial" w:hAnsi="Arial" w:eastAsia="Arial" w:cs="Arial"/>
                <w:color w:val="5A6B5E"/>
                <w:sz w:val="18"/>
                <w:szCs w:val="18"/>
              </w:rPr>
              <w:t>Prepared by</w:t>
            </w:r>
          </w:p>
          <w:p w14:paraId="38B6F387">
            <w:pPr>
              <w:jc w:val="center"/>
            </w:pPr>
            <w:r>
              <w:rPr>
                <w:rFonts w:ascii="Arial" w:hAnsi="Arial" w:eastAsia="Arial" w:cs="Arial"/>
                <w:b/>
                <w:bCs/>
                <w:color w:val="003F87"/>
                <w:sz w:val="24"/>
                <w:szCs w:val="24"/>
              </w:rPr>
              <w:t>OwnIt Uganda Ltd.</w:t>
            </w:r>
          </w:p>
          <w:p w14:paraId="3FA0F3AC">
            <w:pPr>
              <w:jc w:val="center"/>
            </w:pPr>
            <w:r>
              <w:rPr>
                <w:rFonts w:ascii="Arial" w:hAnsi="Arial" w:eastAsia="Arial" w:cs="Arial"/>
                <w:color w:val="0D1F15"/>
                <w:sz w:val="20"/>
                <w:szCs w:val="20"/>
              </w:rPr>
              <w:t>Kampala, Uganda  |  2026</w:t>
            </w:r>
          </w:p>
        </w:tc>
        <w:tc>
          <w:tcPr>
            <w:tcW w:w="4680" w:type="dxa"/>
            <w:tcBorders>
              <w:top w:val="nil"/>
              <w:left w:val="nil"/>
              <w:bottom w:val="nil"/>
              <w:right w:val="nil"/>
            </w:tcBorders>
            <w:shd w:val="clear" w:color="auto" w:fill="FFF3D0"/>
            <w:tcMar>
              <w:top w:w="130" w:type="dxa"/>
              <w:left w:w="200" w:type="dxa"/>
              <w:bottom w:w="130" w:type="dxa"/>
              <w:right w:w="200" w:type="dxa"/>
            </w:tcMar>
          </w:tcPr>
          <w:p w14:paraId="3334145A">
            <w:pPr>
              <w:jc w:val="center"/>
            </w:pPr>
            <w:r>
              <w:rPr>
                <w:rFonts w:ascii="Arial" w:hAnsi="Arial" w:eastAsia="Arial" w:cs="Arial"/>
                <w:color w:val="5A6B5E"/>
                <w:sz w:val="18"/>
                <w:szCs w:val="18"/>
              </w:rPr>
              <w:t>Classification</w:t>
            </w:r>
          </w:p>
          <w:p w14:paraId="06E281E0">
            <w:pPr>
              <w:jc w:val="center"/>
            </w:pPr>
            <w:r>
              <w:rPr>
                <w:rFonts w:ascii="Arial" w:hAnsi="Arial" w:eastAsia="Arial" w:cs="Arial"/>
                <w:b/>
                <w:bCs/>
                <w:color w:val="B71C1C"/>
                <w:sz w:val="22"/>
                <w:szCs w:val="22"/>
              </w:rPr>
              <w:t>STRICTLY CONFIDENTIAL</w:t>
            </w:r>
          </w:p>
          <w:p w14:paraId="7D174B4D">
            <w:pPr>
              <w:jc w:val="center"/>
            </w:pPr>
            <w:r>
              <w:rPr>
                <w:rFonts w:ascii="Arial" w:hAnsi="Arial" w:eastAsia="Arial" w:cs="Arial"/>
                <w:color w:val="0D1F15"/>
                <w:sz w:val="18"/>
                <w:szCs w:val="18"/>
              </w:rPr>
              <w:t>For NSSF Leadership Review Only</w:t>
            </w:r>
          </w:p>
        </w:tc>
      </w:tr>
    </w:tbl>
    <w:p w14:paraId="00C82F00">
      <w:pPr>
        <w:spacing w:before="240" w:after="0"/>
      </w:pPr>
    </w:p>
    <w:p w14:paraId="247B8666">
      <w:pPr>
        <w:spacing w:before="0" w:after="0"/>
        <w:jc w:val="center"/>
      </w:pPr>
      <w:r>
        <w:rPr>
          <w:rFonts w:ascii="Arial" w:hAnsi="Arial" w:eastAsia="Arial" w:cs="Arial"/>
          <w:i/>
          <w:iCs/>
          <w:color w:val="1A7A45"/>
          <w:sz w:val="26"/>
          <w:szCs w:val="26"/>
        </w:rPr>
        <w:t>"Own a piece of everything. Start with UGX 50,000."</w:t>
      </w:r>
    </w:p>
    <w:p w14:paraId="5CC14373">
      <w:r>
        <w:br w:type="page"/>
      </w:r>
    </w:p>
    <w:p w14:paraId="6B2A0A7C">
      <w:pPr>
        <w:pStyle w:val="2"/>
        <w:spacing w:before="360" w:after="120"/>
      </w:pPr>
      <w:r>
        <w:rPr>
          <w:rFonts w:ascii="Arial" w:hAnsi="Arial" w:eastAsia="Arial" w:cs="Arial"/>
          <w:b/>
          <w:bCs/>
          <w:color w:val="1A7A45"/>
          <w:sz w:val="32"/>
          <w:szCs w:val="32"/>
        </w:rPr>
        <w:t>Table of Contents</w:t>
      </w:r>
    </w:p>
    <w:p w14:paraId="693AFF5F">
      <w:pPr>
        <w:pBdr>
          <w:bottom w:val="single" w:color="1A7A45" w:sz="12" w:space="1"/>
        </w:pBdr>
        <w:spacing w:before="60" w:after="60"/>
      </w:pPr>
    </w:p>
    <w:p w14:paraId="10C5112F">
      <w:pPr>
        <w:tabs>
          <w:tab w:val="left" w:pos="520"/>
        </w:tabs>
        <w:spacing w:before="40" w:after="40"/>
      </w:pPr>
      <w:r>
        <w:rPr>
          <w:rFonts w:ascii="Arial" w:hAnsi="Arial" w:eastAsia="Arial" w:cs="Arial"/>
          <w:b/>
          <w:bCs/>
          <w:color w:val="1A7A45"/>
          <w:sz w:val="21"/>
          <w:szCs w:val="21"/>
        </w:rPr>
        <w:t>1.</w:t>
      </w:r>
      <w:r>
        <w:rPr>
          <w:rFonts w:ascii="Arial" w:hAnsi="Arial" w:eastAsia="Arial" w:cs="Arial"/>
          <w:color w:val="5A6B5E"/>
          <w:sz w:val="21"/>
          <w:szCs w:val="21"/>
        </w:rPr>
        <w:tab/>
      </w:r>
      <w:r>
        <w:rPr>
          <w:rFonts w:ascii="Arial" w:hAnsi="Arial" w:eastAsia="Arial" w:cs="Arial"/>
          <w:color w:val="5A6B5E"/>
          <w:sz w:val="21"/>
          <w:szCs w:val="21"/>
        </w:rPr>
        <w:t>Executive Summary</w:t>
      </w:r>
    </w:p>
    <w:p w14:paraId="7A8B3BFF">
      <w:pPr>
        <w:tabs>
          <w:tab w:val="left" w:pos="520"/>
        </w:tabs>
        <w:spacing w:before="40" w:after="40"/>
      </w:pPr>
      <w:r>
        <w:rPr>
          <w:rFonts w:ascii="Arial" w:hAnsi="Arial" w:eastAsia="Arial" w:cs="Arial"/>
          <w:b/>
          <w:bCs/>
          <w:color w:val="1A7A45"/>
          <w:sz w:val="21"/>
          <w:szCs w:val="21"/>
        </w:rPr>
        <w:t>2.</w:t>
      </w:r>
      <w:r>
        <w:rPr>
          <w:rFonts w:ascii="Arial" w:hAnsi="Arial" w:eastAsia="Arial" w:cs="Arial"/>
          <w:color w:val="5A6B5E"/>
          <w:sz w:val="21"/>
          <w:szCs w:val="21"/>
        </w:rPr>
        <w:tab/>
      </w:r>
      <w:r>
        <w:rPr>
          <w:rFonts w:ascii="Arial" w:hAnsi="Arial" w:eastAsia="Arial" w:cs="Arial"/>
          <w:color w:val="5A6B5E"/>
          <w:sz w:val="21"/>
          <w:szCs w:val="21"/>
        </w:rPr>
        <w:t>The Problem: Why Gen Z Is Disengaged from NSSF</w:t>
      </w:r>
    </w:p>
    <w:p w14:paraId="680BFF1A">
      <w:pPr>
        <w:tabs>
          <w:tab w:val="left" w:pos="520"/>
        </w:tabs>
        <w:spacing w:before="40" w:after="40"/>
      </w:pPr>
      <w:r>
        <w:rPr>
          <w:rFonts w:ascii="Arial" w:hAnsi="Arial" w:eastAsia="Arial" w:cs="Arial"/>
          <w:b/>
          <w:bCs/>
          <w:color w:val="1A7A45"/>
          <w:sz w:val="21"/>
          <w:szCs w:val="21"/>
        </w:rPr>
        <w:t>3.</w:t>
      </w:r>
      <w:r>
        <w:rPr>
          <w:rFonts w:ascii="Arial" w:hAnsi="Arial" w:eastAsia="Arial" w:cs="Arial"/>
          <w:color w:val="5A6B5E"/>
          <w:sz w:val="21"/>
          <w:szCs w:val="21"/>
        </w:rPr>
        <w:tab/>
      </w:r>
      <w:r>
        <w:rPr>
          <w:rFonts w:ascii="Arial" w:hAnsi="Arial" w:eastAsia="Arial" w:cs="Arial"/>
          <w:color w:val="5A6B5E"/>
          <w:sz w:val="21"/>
          <w:szCs w:val="21"/>
        </w:rPr>
        <w:t>What OwnIt Uganda Is: The Crowd-Investment Model</w:t>
      </w:r>
    </w:p>
    <w:p w14:paraId="426743E7">
      <w:pPr>
        <w:tabs>
          <w:tab w:val="left" w:pos="520"/>
        </w:tabs>
        <w:spacing w:before="40" w:after="40"/>
      </w:pPr>
      <w:r>
        <w:rPr>
          <w:rFonts w:ascii="Arial" w:hAnsi="Arial" w:eastAsia="Arial" w:cs="Arial"/>
          <w:b/>
          <w:bCs/>
          <w:color w:val="1A7A45"/>
          <w:sz w:val="21"/>
          <w:szCs w:val="21"/>
        </w:rPr>
        <w:t>4.</w:t>
      </w:r>
      <w:r>
        <w:rPr>
          <w:rFonts w:ascii="Arial" w:hAnsi="Arial" w:eastAsia="Arial" w:cs="Arial"/>
          <w:color w:val="5A6B5E"/>
          <w:sz w:val="21"/>
          <w:szCs w:val="21"/>
        </w:rPr>
        <w:tab/>
      </w:r>
      <w:r>
        <w:rPr>
          <w:rFonts w:ascii="Arial" w:hAnsi="Arial" w:eastAsia="Arial" w:cs="Arial"/>
          <w:color w:val="5A6B5E"/>
          <w:sz w:val="21"/>
          <w:szCs w:val="21"/>
        </w:rPr>
        <w:t>The Nine Asset Classes</w:t>
      </w:r>
    </w:p>
    <w:p w14:paraId="138D6415">
      <w:pPr>
        <w:tabs>
          <w:tab w:val="left" w:pos="520"/>
        </w:tabs>
        <w:spacing w:before="40" w:after="40"/>
      </w:pPr>
      <w:r>
        <w:rPr>
          <w:rFonts w:ascii="Arial" w:hAnsi="Arial" w:eastAsia="Arial" w:cs="Arial"/>
          <w:b/>
          <w:bCs/>
          <w:color w:val="1A7A45"/>
          <w:sz w:val="21"/>
          <w:szCs w:val="21"/>
        </w:rPr>
        <w:t>5.</w:t>
      </w:r>
      <w:r>
        <w:rPr>
          <w:rFonts w:ascii="Arial" w:hAnsi="Arial" w:eastAsia="Arial" w:cs="Arial"/>
          <w:color w:val="5A6B5E"/>
          <w:sz w:val="21"/>
          <w:szCs w:val="21"/>
        </w:rPr>
        <w:tab/>
      </w:r>
      <w:r>
        <w:rPr>
          <w:rFonts w:ascii="Arial" w:hAnsi="Arial" w:eastAsia="Arial" w:cs="Arial"/>
          <w:color w:val="5A6B5E"/>
          <w:sz w:val="21"/>
          <w:szCs w:val="21"/>
        </w:rPr>
        <w:t>The Lister Partner Ecosystem</w:t>
      </w:r>
    </w:p>
    <w:p w14:paraId="0250FC91">
      <w:pPr>
        <w:tabs>
          <w:tab w:val="left" w:pos="520"/>
        </w:tabs>
        <w:spacing w:before="40" w:after="40"/>
      </w:pPr>
      <w:r>
        <w:rPr>
          <w:rFonts w:ascii="Arial" w:hAnsi="Arial" w:eastAsia="Arial" w:cs="Arial"/>
          <w:b/>
          <w:bCs/>
          <w:color w:val="1A7A45"/>
          <w:sz w:val="21"/>
          <w:szCs w:val="21"/>
        </w:rPr>
        <w:t>6.</w:t>
      </w:r>
      <w:r>
        <w:rPr>
          <w:rFonts w:ascii="Arial" w:hAnsi="Arial" w:eastAsia="Arial" w:cs="Arial"/>
          <w:color w:val="5A6B5E"/>
          <w:sz w:val="21"/>
          <w:szCs w:val="21"/>
        </w:rPr>
        <w:tab/>
      </w:r>
      <w:r>
        <w:rPr>
          <w:rFonts w:ascii="Arial" w:hAnsi="Arial" w:eastAsia="Arial" w:cs="Arial"/>
          <w:color w:val="5A6B5E"/>
          <w:sz w:val="21"/>
          <w:szCs w:val="21"/>
        </w:rPr>
        <w:t>The Business Model &amp; Revenue Architecture</w:t>
      </w:r>
    </w:p>
    <w:p w14:paraId="04235499">
      <w:pPr>
        <w:tabs>
          <w:tab w:val="left" w:pos="520"/>
        </w:tabs>
        <w:spacing w:before="40" w:after="40"/>
      </w:pPr>
      <w:r>
        <w:rPr>
          <w:rFonts w:ascii="Arial" w:hAnsi="Arial" w:eastAsia="Arial" w:cs="Arial"/>
          <w:b/>
          <w:bCs/>
          <w:color w:val="1A7A45"/>
          <w:sz w:val="21"/>
          <w:szCs w:val="21"/>
        </w:rPr>
        <w:t>7.</w:t>
      </w:r>
      <w:r>
        <w:rPr>
          <w:rFonts w:ascii="Arial" w:hAnsi="Arial" w:eastAsia="Arial" w:cs="Arial"/>
          <w:color w:val="5A6B5E"/>
          <w:sz w:val="21"/>
          <w:szCs w:val="21"/>
        </w:rPr>
        <w:tab/>
      </w:r>
      <w:r>
        <w:rPr>
          <w:rFonts w:ascii="Arial" w:hAnsi="Arial" w:eastAsia="Arial" w:cs="Arial"/>
          <w:color w:val="5A6B5E"/>
          <w:sz w:val="21"/>
          <w:szCs w:val="21"/>
        </w:rPr>
        <w:t>NSSF’s Strategic Role &amp; Benefits</w:t>
      </w:r>
    </w:p>
    <w:p w14:paraId="17467888">
      <w:pPr>
        <w:tabs>
          <w:tab w:val="left" w:pos="520"/>
        </w:tabs>
        <w:spacing w:before="40" w:after="40"/>
      </w:pPr>
      <w:r>
        <w:rPr>
          <w:rFonts w:ascii="Arial" w:hAnsi="Arial" w:eastAsia="Arial" w:cs="Arial"/>
          <w:b/>
          <w:bCs/>
          <w:color w:val="1A7A45"/>
          <w:sz w:val="21"/>
          <w:szCs w:val="21"/>
        </w:rPr>
        <w:t>8.</w:t>
      </w:r>
      <w:r>
        <w:rPr>
          <w:rFonts w:ascii="Arial" w:hAnsi="Arial" w:eastAsia="Arial" w:cs="Arial"/>
          <w:color w:val="5A6B5E"/>
          <w:sz w:val="21"/>
          <w:szCs w:val="21"/>
        </w:rPr>
        <w:tab/>
      </w:r>
      <w:r>
        <w:rPr>
          <w:rFonts w:ascii="Arial" w:hAnsi="Arial" w:eastAsia="Arial" w:cs="Arial"/>
          <w:color w:val="5A6B5E"/>
          <w:sz w:val="21"/>
          <w:szCs w:val="21"/>
        </w:rPr>
        <w:t>NSSF 2035 Membership Goal: How OwnIt Closes the Gap</w:t>
      </w:r>
    </w:p>
    <w:p w14:paraId="2C90ABA0">
      <w:pPr>
        <w:tabs>
          <w:tab w:val="left" w:pos="520"/>
        </w:tabs>
        <w:spacing w:before="40" w:after="40"/>
      </w:pPr>
      <w:r>
        <w:rPr>
          <w:rFonts w:ascii="Arial" w:hAnsi="Arial" w:eastAsia="Arial" w:cs="Arial"/>
          <w:b/>
          <w:bCs/>
          <w:color w:val="1A7A45"/>
          <w:sz w:val="21"/>
          <w:szCs w:val="21"/>
        </w:rPr>
        <w:t>9.</w:t>
      </w:r>
      <w:r>
        <w:rPr>
          <w:rFonts w:ascii="Arial" w:hAnsi="Arial" w:eastAsia="Arial" w:cs="Arial"/>
          <w:color w:val="5A6B5E"/>
          <w:sz w:val="21"/>
          <w:szCs w:val="21"/>
        </w:rPr>
        <w:tab/>
      </w:r>
      <w:r>
        <w:rPr>
          <w:rFonts w:ascii="Arial" w:hAnsi="Arial" w:eastAsia="Arial" w:cs="Arial"/>
          <w:color w:val="5A6B5E"/>
          <w:sz w:val="21"/>
          <w:szCs w:val="21"/>
        </w:rPr>
        <w:t>SmartLife Flexi &amp; OwnIt: A Powerful Complementary Partnership</w:t>
      </w:r>
    </w:p>
    <w:p w14:paraId="32B77168">
      <w:pPr>
        <w:tabs>
          <w:tab w:val="left" w:pos="520"/>
        </w:tabs>
        <w:spacing w:before="40" w:after="40"/>
      </w:pPr>
      <w:r>
        <w:rPr>
          <w:rFonts w:ascii="Arial" w:hAnsi="Arial" w:eastAsia="Arial" w:cs="Arial"/>
          <w:b/>
          <w:bCs/>
          <w:color w:val="1A7A45"/>
          <w:sz w:val="21"/>
          <w:szCs w:val="21"/>
        </w:rPr>
        <w:t>10.</w:t>
      </w:r>
      <w:r>
        <w:rPr>
          <w:rFonts w:ascii="Arial" w:hAnsi="Arial" w:eastAsia="Arial" w:cs="Arial"/>
          <w:color w:val="5A6B5E"/>
          <w:sz w:val="21"/>
          <w:szCs w:val="21"/>
        </w:rPr>
        <w:tab/>
      </w:r>
      <w:r>
        <w:rPr>
          <w:rFonts w:ascii="Arial" w:hAnsi="Arial" w:eastAsia="Arial" w:cs="Arial"/>
          <w:color w:val="5A6B5E"/>
          <w:sz w:val="21"/>
          <w:szCs w:val="21"/>
        </w:rPr>
        <w:t>Market Analysis</w:t>
      </w:r>
    </w:p>
    <w:p w14:paraId="4B10FEA7">
      <w:pPr>
        <w:tabs>
          <w:tab w:val="left" w:pos="520"/>
        </w:tabs>
        <w:spacing w:before="40" w:after="40"/>
      </w:pPr>
      <w:r>
        <w:rPr>
          <w:rFonts w:ascii="Arial" w:hAnsi="Arial" w:eastAsia="Arial" w:cs="Arial"/>
          <w:b/>
          <w:bCs/>
          <w:color w:val="1A7A45"/>
          <w:sz w:val="21"/>
          <w:szCs w:val="21"/>
        </w:rPr>
        <w:t>11.</w:t>
      </w:r>
      <w:r>
        <w:rPr>
          <w:rFonts w:ascii="Arial" w:hAnsi="Arial" w:eastAsia="Arial" w:cs="Arial"/>
          <w:color w:val="5A6B5E"/>
          <w:sz w:val="21"/>
          <w:szCs w:val="21"/>
        </w:rPr>
        <w:tab/>
      </w:r>
      <w:r>
        <w:rPr>
          <w:rFonts w:ascii="Arial" w:hAnsi="Arial" w:eastAsia="Arial" w:cs="Arial"/>
          <w:color w:val="5A6B5E"/>
          <w:sz w:val="21"/>
          <w:szCs w:val="21"/>
        </w:rPr>
        <w:t>The Partnership Structure (3 Tiers)</w:t>
      </w:r>
    </w:p>
    <w:p w14:paraId="4ABED556">
      <w:pPr>
        <w:tabs>
          <w:tab w:val="left" w:pos="520"/>
        </w:tabs>
        <w:spacing w:before="40" w:after="40"/>
      </w:pPr>
      <w:r>
        <w:rPr>
          <w:rFonts w:ascii="Arial" w:hAnsi="Arial" w:eastAsia="Arial" w:cs="Arial"/>
          <w:b/>
          <w:bCs/>
          <w:color w:val="1A7A45"/>
          <w:sz w:val="21"/>
          <w:szCs w:val="21"/>
        </w:rPr>
        <w:t>12.</w:t>
      </w:r>
      <w:r>
        <w:rPr>
          <w:rFonts w:ascii="Arial" w:hAnsi="Arial" w:eastAsia="Arial" w:cs="Arial"/>
          <w:color w:val="5A6B5E"/>
          <w:sz w:val="21"/>
          <w:szCs w:val="21"/>
        </w:rPr>
        <w:tab/>
      </w:r>
      <w:r>
        <w:rPr>
          <w:rFonts w:ascii="Arial" w:hAnsi="Arial" w:eastAsia="Arial" w:cs="Arial"/>
          <w:color w:val="5A6B5E"/>
          <w:sz w:val="21"/>
          <w:szCs w:val="21"/>
        </w:rPr>
        <w:t>Technology, Compliance &amp; Security</w:t>
      </w:r>
    </w:p>
    <w:p w14:paraId="679BDEBD">
      <w:pPr>
        <w:tabs>
          <w:tab w:val="left" w:pos="520"/>
        </w:tabs>
        <w:spacing w:before="40" w:after="40"/>
      </w:pPr>
      <w:r>
        <w:rPr>
          <w:rFonts w:ascii="Arial" w:hAnsi="Arial" w:eastAsia="Arial" w:cs="Arial"/>
          <w:b/>
          <w:bCs/>
          <w:color w:val="1A7A45"/>
          <w:sz w:val="21"/>
          <w:szCs w:val="21"/>
        </w:rPr>
        <w:t>13.</w:t>
      </w:r>
      <w:r>
        <w:rPr>
          <w:rFonts w:ascii="Arial" w:hAnsi="Arial" w:eastAsia="Arial" w:cs="Arial"/>
          <w:color w:val="5A6B5E"/>
          <w:sz w:val="21"/>
          <w:szCs w:val="21"/>
        </w:rPr>
        <w:tab/>
      </w:r>
      <w:r>
        <w:rPr>
          <w:rFonts w:ascii="Arial" w:hAnsi="Arial" w:eastAsia="Arial" w:cs="Arial"/>
          <w:color w:val="5A6B5E"/>
          <w:sz w:val="21"/>
          <w:szCs w:val="21"/>
        </w:rPr>
        <w:t>Financial Projections</w:t>
      </w:r>
    </w:p>
    <w:p w14:paraId="61E6DECC">
      <w:pPr>
        <w:tabs>
          <w:tab w:val="left" w:pos="520"/>
        </w:tabs>
        <w:spacing w:before="40" w:after="40"/>
      </w:pPr>
      <w:r>
        <w:rPr>
          <w:rFonts w:ascii="Arial" w:hAnsi="Arial" w:eastAsia="Arial" w:cs="Arial"/>
          <w:b/>
          <w:bCs/>
          <w:color w:val="1A7A45"/>
          <w:sz w:val="21"/>
          <w:szCs w:val="21"/>
        </w:rPr>
        <w:t>14.</w:t>
      </w:r>
      <w:r>
        <w:rPr>
          <w:rFonts w:ascii="Arial" w:hAnsi="Arial" w:eastAsia="Arial" w:cs="Arial"/>
          <w:color w:val="5A6B5E"/>
          <w:sz w:val="21"/>
          <w:szCs w:val="21"/>
        </w:rPr>
        <w:tab/>
      </w:r>
      <w:r>
        <w:rPr>
          <w:rFonts w:ascii="Arial" w:hAnsi="Arial" w:eastAsia="Arial" w:cs="Arial"/>
          <w:color w:val="5A6B5E"/>
          <w:sz w:val="21"/>
          <w:szCs w:val="21"/>
        </w:rPr>
        <w:t>Implementation Roadmap</w:t>
      </w:r>
    </w:p>
    <w:p w14:paraId="618A8CE1">
      <w:pPr>
        <w:tabs>
          <w:tab w:val="left" w:pos="520"/>
        </w:tabs>
        <w:spacing w:before="40" w:after="40"/>
      </w:pPr>
      <w:r>
        <w:rPr>
          <w:rFonts w:ascii="Arial" w:hAnsi="Arial" w:eastAsia="Arial" w:cs="Arial"/>
          <w:b/>
          <w:bCs/>
          <w:color w:val="1A7A45"/>
          <w:sz w:val="21"/>
          <w:szCs w:val="21"/>
        </w:rPr>
        <w:t>15.</w:t>
      </w:r>
      <w:r>
        <w:rPr>
          <w:rFonts w:ascii="Arial" w:hAnsi="Arial" w:eastAsia="Arial" w:cs="Arial"/>
          <w:color w:val="5A6B5E"/>
          <w:sz w:val="21"/>
          <w:szCs w:val="21"/>
        </w:rPr>
        <w:tab/>
      </w:r>
      <w:r>
        <w:rPr>
          <w:rFonts w:ascii="Arial" w:hAnsi="Arial" w:eastAsia="Arial" w:cs="Arial"/>
          <w:color w:val="5A6B5E"/>
          <w:sz w:val="21"/>
          <w:szCs w:val="21"/>
        </w:rPr>
        <w:t>Risk Analysis &amp; Mitigation</w:t>
      </w:r>
    </w:p>
    <w:p w14:paraId="3F21EAD8">
      <w:pPr>
        <w:tabs>
          <w:tab w:val="left" w:pos="520"/>
        </w:tabs>
        <w:spacing w:before="40" w:after="40"/>
      </w:pPr>
      <w:r>
        <w:rPr>
          <w:rFonts w:ascii="Arial" w:hAnsi="Arial" w:eastAsia="Arial" w:cs="Arial"/>
          <w:b/>
          <w:bCs/>
          <w:color w:val="1A7A45"/>
          <w:sz w:val="21"/>
          <w:szCs w:val="21"/>
        </w:rPr>
        <w:t>16.</w:t>
      </w:r>
      <w:r>
        <w:rPr>
          <w:rFonts w:ascii="Arial" w:hAnsi="Arial" w:eastAsia="Arial" w:cs="Arial"/>
          <w:color w:val="5A6B5E"/>
          <w:sz w:val="21"/>
          <w:szCs w:val="21"/>
        </w:rPr>
        <w:tab/>
      </w:r>
      <w:r>
        <w:rPr>
          <w:rFonts w:ascii="Arial" w:hAnsi="Arial" w:eastAsia="Arial" w:cs="Arial"/>
          <w:color w:val="5A6B5E"/>
          <w:sz w:val="21"/>
          <w:szCs w:val="21"/>
        </w:rPr>
        <w:t>Why Now</w:t>
      </w:r>
    </w:p>
    <w:p w14:paraId="7D6BA3B9">
      <w:pPr>
        <w:tabs>
          <w:tab w:val="left" w:pos="520"/>
        </w:tabs>
        <w:spacing w:before="40" w:after="40"/>
      </w:pPr>
      <w:r>
        <w:rPr>
          <w:rFonts w:ascii="Arial" w:hAnsi="Arial" w:eastAsia="Arial" w:cs="Arial"/>
          <w:b/>
          <w:bCs/>
          <w:color w:val="1A7A45"/>
          <w:sz w:val="21"/>
          <w:szCs w:val="21"/>
        </w:rPr>
        <w:t>17.</w:t>
      </w:r>
      <w:r>
        <w:rPr>
          <w:rFonts w:ascii="Arial" w:hAnsi="Arial" w:eastAsia="Arial" w:cs="Arial"/>
          <w:color w:val="5A6B5E"/>
          <w:sz w:val="21"/>
          <w:szCs w:val="21"/>
        </w:rPr>
        <w:tab/>
      </w:r>
      <w:r>
        <w:rPr>
          <w:rFonts w:ascii="Arial" w:hAnsi="Arial" w:eastAsia="Arial" w:cs="Arial"/>
          <w:color w:val="5A6B5E"/>
          <w:sz w:val="21"/>
          <w:szCs w:val="21"/>
        </w:rPr>
        <w:t>Conclusion &amp; Proposed Next Steps</w:t>
      </w:r>
    </w:p>
    <w:p w14:paraId="2902B5BC">
      <w:pPr>
        <w:tabs>
          <w:tab w:val="left" w:pos="520"/>
        </w:tabs>
        <w:spacing w:before="40" w:after="40"/>
      </w:pPr>
      <w:r>
        <w:rPr>
          <w:rFonts w:ascii="Arial" w:hAnsi="Arial"/>
          <w:b/>
          <w:color w:val="1A7A45"/>
          <w:sz w:val="21"/>
        </w:rPr>
        <w:t>18.</w:t>
      </w:r>
      <w:r>
        <w:rPr>
          <w:rFonts w:ascii="Arial" w:hAnsi="Arial"/>
          <w:sz w:val="21"/>
        </w:rPr>
        <w:tab/>
      </w:r>
      <w:r>
        <w:rPr>
          <w:rFonts w:ascii="Arial" w:hAnsi="Arial"/>
          <w:color w:val="5A6B5E"/>
          <w:sz w:val="21"/>
        </w:rPr>
        <w:t>Lister &amp; Supplier Partner Ecosystem</w:t>
      </w:r>
    </w:p>
    <w:p w14:paraId="6ECC1262">
      <w:pPr>
        <w:tabs>
          <w:tab w:val="left" w:pos="520"/>
        </w:tabs>
        <w:spacing w:before="40" w:after="40"/>
      </w:pPr>
      <w:r>
        <w:rPr>
          <w:rFonts w:ascii="Arial" w:hAnsi="Arial"/>
          <w:b/>
          <w:color w:val="1A7A45"/>
          <w:sz w:val="21"/>
        </w:rPr>
        <w:t>19.</w:t>
      </w:r>
      <w:r>
        <w:rPr>
          <w:rFonts w:ascii="Arial" w:hAnsi="Arial"/>
          <w:sz w:val="21"/>
        </w:rPr>
        <w:tab/>
      </w:r>
      <w:r>
        <w:rPr>
          <w:rFonts w:ascii="Arial" w:hAnsi="Arial"/>
          <w:color w:val="5A6B5E"/>
          <w:sz w:val="21"/>
        </w:rPr>
        <w:t>Regulatory &amp; Compliance Framework</w:t>
      </w:r>
    </w:p>
    <w:p w14:paraId="0E9C83A4">
      <w:r>
        <w:br w:type="page"/>
      </w:r>
    </w:p>
    <w:p w14:paraId="319A40C1">
      <w:pPr>
        <w:pStyle w:val="2"/>
        <w:spacing w:before="360" w:after="120"/>
      </w:pPr>
      <w:r>
        <w:rPr>
          <w:rFonts w:ascii="Arial" w:hAnsi="Arial" w:eastAsia="Arial" w:cs="Arial"/>
          <w:b/>
          <w:bCs/>
          <w:color w:val="1A7A45"/>
          <w:sz w:val="32"/>
          <w:szCs w:val="32"/>
        </w:rPr>
        <w:t>1. Executive Summary</w:t>
      </w:r>
    </w:p>
    <w:p w14:paraId="54574671">
      <w:pPr>
        <w:spacing w:before="60" w:after="100"/>
        <w:jc w:val="left"/>
        <w:rPr>
          <w:rFonts w:ascii="Arial" w:hAnsi="Arial" w:eastAsia="Arial" w:cs="Arial"/>
          <w:color w:val="0D1F15"/>
        </w:rPr>
      </w:pPr>
      <w:r>
        <w:rPr>
          <w:rFonts w:ascii="Arial" w:hAnsi="Arial" w:eastAsia="Arial" w:cs="Arial"/>
          <w:b w:val="0"/>
          <w:bCs w:val="0"/>
          <w:color w:val="0D1F15"/>
          <w:sz w:val="22"/>
          <w:szCs w:val="22"/>
        </w:rPr>
        <w:t>OwnIt Uganda is Uganda’s first multi-asset class crowd-investment platform. It operates on a simple, powerful premise: any income-generating asset — a building, an oil tanker consignment, a sack of maize, a government bond, a foreign exchange position, a rare earth mineral lot, or a stake in a domestic or international company — can be fractionalised into digital shares called Hisa, and made accessible to any Ugandan with a mobile phone and UGX 50,000.</w:t>
      </w:r>
    </w:p>
    <w:p w14:paraId="35A4485E">
      <w:pPr>
        <w:spacing w:before="60" w:after="100"/>
        <w:jc w:val="left"/>
        <w:rPr>
          <w:rFonts w:ascii="Arial" w:hAnsi="Arial" w:eastAsia="Arial" w:cs="Arial"/>
          <w:color w:val="0D1F15"/>
        </w:rPr>
      </w:pPr>
      <w:r>
        <w:rPr>
          <w:rFonts w:ascii="Arial" w:hAnsi="Arial" w:eastAsia="Arial" w:cs="Arial"/>
          <w:b w:val="0"/>
          <w:bCs w:val="0"/>
          <w:color w:val="0D1F15"/>
          <w:sz w:val="22"/>
          <w:szCs w:val="22"/>
        </w:rPr>
        <w:t>The platform is, in structural terms, Uganda’s first regulated crowdfunding marketplace — but one that operates across all asset classes simultaneously, not just startups or property. Every asset listed on OwnIt is provided by a vetted, licensed commercial partner (a ‘Lister’) who uses the platform to raise capital from the crowd. Investors collectively fund the asset purchase and receive proportional payouts when that asset generates profit.</w:t>
      </w:r>
    </w:p>
    <w:p w14:paraId="03FBE159">
      <w:pPr>
        <w:spacing w:before="60" w:after="80"/>
        <w:jc w:val="left"/>
        <w:rPr>
          <w:rFonts w:ascii="Arial" w:hAnsi="Arial" w:eastAsia="Arial" w:cs="Arial"/>
          <w:color w:val="0D1F15"/>
        </w:rPr>
      </w:pPr>
      <w:r>
        <w:rPr>
          <w:rFonts w:ascii="Arial" w:hAnsi="Arial" w:eastAsia="Arial" w:cs="Arial"/>
          <w:b w:val="0"/>
          <w:bCs w:val="0"/>
          <w:color w:val="0D1F15"/>
          <w:sz w:val="22"/>
          <w:szCs w:val="22"/>
        </w:rPr>
        <w:t>This document proposes a deep institutional partnership with NSSF Uganda — structured to deliver three transformational outcomes for the Fund:</w:t>
      </w:r>
    </w:p>
    <w:p w14:paraId="78492DA6">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244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A7A45"/>
            <w:tcMar>
              <w:top w:w="140" w:type="dxa"/>
              <w:left w:w="140" w:type="dxa"/>
              <w:bottom w:w="140" w:type="dxa"/>
              <w:right w:w="140" w:type="dxa"/>
            </w:tcMar>
          </w:tcPr>
          <w:p w14:paraId="280E8DAF">
            <w:pPr>
              <w:spacing w:before="0" w:after="60"/>
            </w:pPr>
            <w:r>
              <w:rPr>
                <w:rFonts w:ascii="Arial" w:hAnsi="Arial" w:eastAsia="Arial" w:cs="Arial"/>
                <w:b/>
                <w:bCs/>
                <w:color w:val="FFFFFF"/>
                <w:sz w:val="22"/>
                <w:szCs w:val="22"/>
              </w:rPr>
              <w:t>💰 Recurring Revenue</w:t>
            </w:r>
          </w:p>
          <w:p w14:paraId="433818EA">
            <w:pPr>
              <w:spacing w:before="0" w:after="0"/>
            </w:pPr>
            <w:r>
              <w:rPr>
                <w:rFonts w:ascii="Arial" w:hAnsi="Arial" w:eastAsia="Arial" w:cs="Arial"/>
                <w:b w:val="0"/>
                <w:bCs w:val="0"/>
                <w:color w:val="FFFFFF"/>
                <w:sz w:val="21"/>
                <w:szCs w:val="21"/>
              </w:rPr>
              <w:t>NSSF earns a 3% service charge on every payout processed on the platform — to both investors and listers — across all 9 asset classes, every cycle. In addition, a 2% pension levy is collected from each investor payout and invested by NSSF on that member’s behalf, payable at age 55.</w:t>
            </w:r>
          </w:p>
        </w:tc>
        <w:tc>
          <w:tcPr>
            <w:tcW w:w="3120" w:type="dxa"/>
            <w:tcBorders>
              <w:top w:val="single" w:color="CCCCCC" w:sz="0" w:space="0"/>
              <w:left w:val="single" w:color="CCCCCC" w:sz="0" w:space="0"/>
              <w:bottom w:val="single" w:color="CCCCCC" w:sz="0" w:space="0"/>
              <w:right w:val="single" w:color="CCCCCC" w:sz="0" w:space="0"/>
            </w:tcBorders>
            <w:shd w:val="clear" w:color="auto" w:fill="003F87"/>
            <w:tcMar>
              <w:top w:w="140" w:type="dxa"/>
              <w:left w:w="140" w:type="dxa"/>
              <w:bottom w:w="140" w:type="dxa"/>
              <w:right w:w="140" w:type="dxa"/>
            </w:tcMar>
          </w:tcPr>
          <w:p w14:paraId="54F624A3">
            <w:pPr>
              <w:spacing w:before="0" w:after="60"/>
            </w:pPr>
            <w:r>
              <w:rPr>
                <w:rFonts w:ascii="Arial" w:hAnsi="Arial" w:eastAsia="Arial" w:cs="Arial"/>
                <w:b/>
                <w:bCs/>
                <w:color w:val="FFFFFF"/>
                <w:sz w:val="22"/>
                <w:szCs w:val="22"/>
              </w:rPr>
              <w:t>👥 Membership Growth</w:t>
            </w:r>
          </w:p>
          <w:p w14:paraId="4B71882A">
            <w:pPr>
              <w:spacing w:before="0" w:after="0"/>
            </w:pPr>
            <w:r>
              <w:rPr>
                <w:rFonts w:ascii="Arial" w:hAnsi="Arial" w:eastAsia="Arial" w:cs="Arial"/>
                <w:b w:val="0"/>
                <w:bCs w:val="0"/>
                <w:color w:val="FFFFFF"/>
                <w:sz w:val="21"/>
                <w:szCs w:val="21"/>
              </w:rPr>
              <w:t>Every OwnIt user is automatically enrolled as an NSSF member via API. 500,000 new members projected by 2031 at zero acquisition cost to NSSF.</w:t>
            </w:r>
          </w:p>
        </w:tc>
        <w:tc>
          <w:tcPr>
            <w:tcW w:w="3120" w:type="dxa"/>
            <w:tcBorders>
              <w:top w:val="single" w:color="CCCCCC" w:sz="0" w:space="0"/>
              <w:left w:val="single" w:color="CCCCCC" w:sz="0" w:space="0"/>
              <w:bottom w:val="single" w:color="CCCCCC" w:sz="0" w:space="0"/>
              <w:right w:val="single" w:color="CCCCCC" w:sz="0" w:space="0"/>
            </w:tcBorders>
            <w:shd w:val="clear" w:color="auto" w:fill="C17F00"/>
            <w:tcMar>
              <w:top w:w="140" w:type="dxa"/>
              <w:left w:w="140" w:type="dxa"/>
              <w:bottom w:w="140" w:type="dxa"/>
              <w:right w:w="140" w:type="dxa"/>
            </w:tcMar>
          </w:tcPr>
          <w:p w14:paraId="71781062">
            <w:pPr>
              <w:spacing w:before="0" w:after="60"/>
            </w:pPr>
            <w:r>
              <w:rPr>
                <w:rFonts w:ascii="Arial" w:hAnsi="Arial" w:eastAsia="Arial" w:cs="Arial"/>
                <w:b/>
                <w:bCs/>
                <w:color w:val="FFFFFF"/>
                <w:sz w:val="22"/>
                <w:szCs w:val="22"/>
              </w:rPr>
              <w:t>🧭 Strategic Relevance</w:t>
            </w:r>
          </w:p>
          <w:p w14:paraId="731A0911">
            <w:pPr>
              <w:spacing w:before="0" w:after="0"/>
            </w:pPr>
            <w:r>
              <w:rPr>
                <w:rFonts w:ascii="Arial" w:hAnsi="Arial" w:eastAsia="Arial" w:cs="Arial"/>
                <w:b w:val="0"/>
                <w:bCs w:val="0"/>
                <w:color w:val="FFFFFF"/>
                <w:sz w:val="21"/>
                <w:szCs w:val="21"/>
              </w:rPr>
              <w:t>OwnIt gives NSSF a compelling near-term product for Gen Z — solving the engagement gap that threatens NSSF’s 2035 membership target. It also deepens SmartLife Flexi adoption by creating a feeder funnel of financially active members.</w:t>
            </w:r>
          </w:p>
        </w:tc>
      </w:tr>
    </w:tbl>
    <w:p w14:paraId="3EB2D1E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AA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120" w:type="dxa"/>
              <w:left w:w="200" w:type="dxa"/>
              <w:bottom w:w="120" w:type="dxa"/>
              <w:right w:w="160" w:type="dxa"/>
            </w:tcMar>
          </w:tcPr>
          <w:p w14:paraId="23340EFE">
            <w:r>
              <w:rPr>
                <w:rFonts w:ascii="Arial" w:hAnsi="Arial" w:eastAsia="Arial" w:cs="Arial"/>
                <w:color w:val="0D1F15"/>
                <w:sz w:val="21"/>
                <w:szCs w:val="21"/>
              </w:rPr>
              <w:t>OwnIt and SmartLife Flexi are not competitors. They are the two halves of a complete financial ecosystem for Uganda’s informal sector: OwnIt generates near-term investment returns; SmartLife Flexi converts those earners into disciplined, long-term savers. Together, under NSSF’s umbrella, they form the most powerful dual-product financial platform in East Africa for this demographic.</w:t>
            </w:r>
          </w:p>
        </w:tc>
      </w:tr>
    </w:tbl>
    <w:p w14:paraId="5DE58FB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6B4C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tcPr>
          <w:p w14:paraId="4F6CF55F">
            <w:r>
              <w:rPr>
                <w:rFonts w:ascii="Arial" w:hAnsi="Arial" w:eastAsia="Arial" w:cs="Arial"/>
                <w:b/>
                <w:bCs/>
                <w:color w:val="FFFFFF"/>
                <w:sz w:val="19"/>
                <w:szCs w:val="19"/>
              </w:rPr>
              <w:t>Key Metric</w:t>
            </w:r>
          </w:p>
        </w:tc>
        <w:tc>
          <w:tcPr>
            <w:tcW w:w="536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tcPr>
          <w:p w14:paraId="20E07D92">
            <w:r>
              <w:rPr>
                <w:rFonts w:ascii="Arial" w:hAnsi="Arial" w:eastAsia="Arial" w:cs="Arial"/>
                <w:b/>
                <w:bCs/>
                <w:color w:val="FFFFFF"/>
                <w:sz w:val="19"/>
                <w:szCs w:val="19"/>
              </w:rPr>
              <w:t>Detail</w:t>
            </w:r>
          </w:p>
        </w:tc>
      </w:tr>
      <w:tr w14:paraId="61DB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64D352F">
            <w:pPr>
              <w:jc w:val="left"/>
            </w:pPr>
            <w:r>
              <w:rPr>
                <w:rFonts w:ascii="Arial" w:hAnsi="Arial" w:eastAsia="Arial" w:cs="Arial"/>
                <w:b/>
                <w:bCs/>
                <w:color w:val="0D1F15"/>
                <w:sz w:val="19"/>
                <w:szCs w:val="19"/>
              </w:rPr>
              <w:t>Platform Type</w:t>
            </w:r>
          </w:p>
        </w:tc>
        <w:tc>
          <w:tcPr>
            <w:tcW w:w="53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D1408BF">
            <w:pPr>
              <w:jc w:val="left"/>
            </w:pPr>
            <w:r>
              <w:rPr>
                <w:rFonts w:ascii="Arial" w:hAnsi="Arial" w:eastAsia="Arial" w:cs="Arial"/>
                <w:b w:val="0"/>
                <w:bCs w:val="0"/>
                <w:color w:val="0D1F15"/>
                <w:sz w:val="19"/>
                <w:szCs w:val="19"/>
              </w:rPr>
              <w:t>Multi-asset crowd-investment marketplace (crowdfunding model)</w:t>
            </w:r>
          </w:p>
        </w:tc>
      </w:tr>
      <w:tr w14:paraId="759A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04FA4AEE">
            <w:pPr>
              <w:jc w:val="left"/>
            </w:pPr>
            <w:r>
              <w:rPr>
                <w:rFonts w:ascii="Arial" w:hAnsi="Arial" w:eastAsia="Arial" w:cs="Arial"/>
                <w:b/>
                <w:bCs/>
                <w:color w:val="0D1F15"/>
                <w:sz w:val="19"/>
                <w:szCs w:val="19"/>
              </w:rPr>
              <w:t>Asset Classes</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9D421D9">
            <w:pPr>
              <w:jc w:val="left"/>
            </w:pPr>
            <w:r>
              <w:rPr>
                <w:rFonts w:ascii="Arial" w:hAnsi="Arial" w:eastAsia="Arial" w:cs="Arial"/>
                <w:b w:val="0"/>
                <w:bCs w:val="0"/>
                <w:color w:val="0D1F15"/>
                <w:sz w:val="19"/>
                <w:szCs w:val="19"/>
              </w:rPr>
              <w:t>9 classes: Real estate, petroleum/oil options, agri-commodities, T-bills/bonds, FX &amp; derivatives, rare earth minerals, domestic &amp; foreign stocks, SME equity, open framework</w:t>
            </w:r>
          </w:p>
        </w:tc>
      </w:tr>
      <w:tr w14:paraId="573C6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5C9D116">
            <w:pPr>
              <w:jc w:val="left"/>
            </w:pPr>
            <w:r>
              <w:rPr>
                <w:rFonts w:ascii="Arial" w:hAnsi="Arial" w:eastAsia="Arial" w:cs="Arial"/>
                <w:b/>
                <w:bCs/>
                <w:color w:val="0D1F15"/>
                <w:sz w:val="19"/>
                <w:szCs w:val="19"/>
              </w:rPr>
              <w:t>Minimum Investment</w:t>
            </w:r>
          </w:p>
        </w:tc>
        <w:tc>
          <w:tcPr>
            <w:tcW w:w="53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DDC3D83">
            <w:pPr>
              <w:jc w:val="left"/>
            </w:pPr>
            <w:r>
              <w:rPr>
                <w:rFonts w:ascii="Arial" w:hAnsi="Arial" w:eastAsia="Arial" w:cs="Arial"/>
                <w:b w:val="0"/>
                <w:bCs w:val="0"/>
                <w:color w:val="0D1F15"/>
                <w:sz w:val="19"/>
                <w:szCs w:val="19"/>
              </w:rPr>
              <w:t>UGX 50,000 (≈ USD 14) — lower than any existing investment product in Uganda</w:t>
            </w:r>
          </w:p>
        </w:tc>
      </w:tr>
      <w:tr w14:paraId="4530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619D9A10">
            <w:pPr>
              <w:jc w:val="left"/>
            </w:pPr>
            <w:r>
              <w:rPr>
                <w:rFonts w:ascii="Arial" w:hAnsi="Arial" w:eastAsia="Arial" w:cs="Arial"/>
                <w:b/>
                <w:bCs/>
                <w:color w:val="0D1F15"/>
                <w:sz w:val="19"/>
                <w:szCs w:val="19"/>
              </w:rPr>
              <w:t>Payout Timeline</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ACF2FD7">
            <w:pPr>
              <w:jc w:val="left"/>
            </w:pPr>
            <w:r>
              <w:rPr>
                <w:rFonts w:ascii="Arial" w:hAnsi="Arial" w:eastAsia="Arial" w:cs="Arial"/>
                <w:b w:val="0"/>
                <w:bCs w:val="0"/>
                <w:color w:val="0D1F15"/>
                <w:sz w:val="19"/>
                <w:szCs w:val="19"/>
              </w:rPr>
              <w:t>Asset-dependent: 30 days (agri/oil) to 24 months (construction); disclosed upfront on every listing</w:t>
            </w:r>
          </w:p>
        </w:tc>
      </w:tr>
      <w:tr w14:paraId="6A1F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F95DB1D">
            <w:pPr>
              <w:jc w:val="left"/>
            </w:pPr>
            <w:r>
              <w:rPr>
                <w:rFonts w:ascii="Arial" w:hAnsi="Arial" w:eastAsia="Arial" w:cs="Arial"/>
                <w:b/>
                <w:bCs/>
                <w:color w:val="0D1F15"/>
                <w:sz w:val="19"/>
                <w:szCs w:val="19"/>
              </w:rPr>
              <w:t>Payment Rails</w:t>
            </w:r>
          </w:p>
        </w:tc>
        <w:tc>
          <w:tcPr>
            <w:tcW w:w="53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C136BBE">
            <w:pPr>
              <w:jc w:val="left"/>
            </w:pPr>
            <w:r>
              <w:rPr>
                <w:rFonts w:ascii="Arial" w:hAnsi="Arial" w:eastAsia="Arial" w:cs="Arial"/>
                <w:b w:val="0"/>
                <w:bCs w:val="0"/>
                <w:color w:val="0D1F15"/>
                <w:sz w:val="19"/>
                <w:szCs w:val="19"/>
              </w:rPr>
              <w:t>MTN MoMo, Airtel Money, Bank Transfer, Card, USSD (feature phones)</w:t>
            </w:r>
          </w:p>
        </w:tc>
      </w:tr>
      <w:tr w14:paraId="68DF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6836B619">
            <w:pPr>
              <w:jc w:val="left"/>
            </w:pPr>
            <w:r>
              <w:rPr>
                <w:rFonts w:ascii="Arial" w:hAnsi="Arial" w:eastAsia="Arial" w:cs="Arial"/>
                <w:b/>
                <w:bCs/>
                <w:color w:val="0D1F15"/>
                <w:sz w:val="19"/>
                <w:szCs w:val="19"/>
              </w:rPr>
              <w:t>NSSF Revenue</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842949F">
            <w:pPr>
              <w:jc w:val="left"/>
            </w:pPr>
            <w:r>
              <w:rPr>
                <w:rFonts w:ascii="Arial" w:hAnsi="Arial" w:eastAsia="Arial" w:cs="Arial"/>
                <w:b w:val="0"/>
                <w:bCs w:val="0"/>
                <w:color w:val="0D1F15"/>
                <w:sz w:val="19"/>
                <w:szCs w:val="19"/>
              </w:rPr>
              <w:t>3% service charge on every payout (both investor &amp; lister) + 2% pension levy + 30% of all listing fees</w:t>
            </w:r>
          </w:p>
        </w:tc>
      </w:tr>
      <w:tr w14:paraId="24823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601F0916">
            <w:pPr>
              <w:jc w:val="left"/>
            </w:pPr>
            <w:r>
              <w:rPr>
                <w:rFonts w:ascii="Arial" w:hAnsi="Arial" w:eastAsia="Arial" w:cs="Arial"/>
                <w:b/>
                <w:bCs/>
                <w:color w:val="0D1F15"/>
                <w:sz w:val="19"/>
                <w:szCs w:val="19"/>
              </w:rPr>
              <w:t>NSSF Membership</w:t>
            </w:r>
          </w:p>
        </w:tc>
        <w:tc>
          <w:tcPr>
            <w:tcW w:w="53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3E46D7E">
            <w:pPr>
              <w:jc w:val="left"/>
            </w:pPr>
            <w:r>
              <w:rPr>
                <w:rFonts w:ascii="Arial" w:hAnsi="Arial" w:eastAsia="Arial" w:cs="Arial"/>
                <w:b w:val="0"/>
                <w:bCs w:val="0"/>
                <w:color w:val="0D1F15"/>
                <w:sz w:val="19"/>
                <w:szCs w:val="19"/>
              </w:rPr>
              <w:t>1 new NSSF member auto-enrolled per 1 OwnIt registration — via NIN API</w:t>
            </w:r>
          </w:p>
        </w:tc>
      </w:tr>
      <w:tr w14:paraId="370F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7CA819BD">
            <w:pPr>
              <w:jc w:val="left"/>
            </w:pPr>
            <w:r>
              <w:rPr>
                <w:rFonts w:ascii="Arial" w:hAnsi="Arial" w:eastAsia="Arial" w:cs="Arial"/>
                <w:b/>
                <w:bCs/>
                <w:color w:val="0D1F15"/>
                <w:sz w:val="19"/>
                <w:szCs w:val="19"/>
              </w:rPr>
              <w:t>SmartLife Flexi Synergy</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5ACE324">
            <w:pPr>
              <w:jc w:val="left"/>
            </w:pPr>
            <w:r>
              <w:rPr>
                <w:rFonts w:ascii="Arial" w:hAnsi="Arial" w:eastAsia="Arial" w:cs="Arial"/>
                <w:b w:val="0"/>
                <w:bCs w:val="0"/>
                <w:color w:val="0D1F15"/>
                <w:sz w:val="19"/>
                <w:szCs w:val="19"/>
              </w:rPr>
              <w:t>OwnIt auto-prompts investors to open/top-up SmartLife Flexi accounts on every payout</w:t>
            </w:r>
          </w:p>
        </w:tc>
      </w:tr>
      <w:tr w14:paraId="4671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6C7AE6A">
            <w:pPr>
              <w:jc w:val="left"/>
            </w:pPr>
            <w:r>
              <w:rPr>
                <w:rFonts w:ascii="Arial" w:hAnsi="Arial" w:eastAsia="Arial" w:cs="Arial"/>
                <w:b/>
                <w:bCs/>
                <w:color w:val="0D1F15"/>
                <w:sz w:val="19"/>
                <w:szCs w:val="19"/>
              </w:rPr>
              <w:t>Year 5 Users</w:t>
            </w:r>
          </w:p>
        </w:tc>
        <w:tc>
          <w:tcPr>
            <w:tcW w:w="53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77E90D3">
            <w:pPr>
              <w:jc w:val="left"/>
            </w:pPr>
            <w:r>
              <w:rPr>
                <w:rFonts w:ascii="Arial" w:hAnsi="Arial" w:eastAsia="Arial" w:cs="Arial"/>
                <w:b w:val="0"/>
                <w:bCs w:val="0"/>
                <w:color w:val="0D1F15"/>
                <w:sz w:val="19"/>
                <w:szCs w:val="19"/>
              </w:rPr>
              <w:t>500,000 active investors</w:t>
            </w:r>
          </w:p>
        </w:tc>
      </w:tr>
      <w:tr w14:paraId="2236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34B95CC">
            <w:pPr>
              <w:jc w:val="left"/>
            </w:pPr>
            <w:r>
              <w:rPr>
                <w:rFonts w:ascii="Arial" w:hAnsi="Arial" w:eastAsia="Arial" w:cs="Arial"/>
                <w:b/>
                <w:bCs/>
                <w:color w:val="0D1F15"/>
                <w:sz w:val="19"/>
                <w:szCs w:val="19"/>
              </w:rPr>
              <w:t>Year 5 NSSF Revenue</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2FC3408">
            <w:pPr>
              <w:jc w:val="left"/>
            </w:pPr>
            <w:r>
              <w:rPr>
                <w:rFonts w:ascii="Arial" w:hAnsi="Arial" w:eastAsia="Arial" w:cs="Arial"/>
                <w:b w:val="0"/>
                <w:bCs w:val="0"/>
                <w:color w:val="0D1F15"/>
                <w:sz w:val="19"/>
                <w:szCs w:val="19"/>
              </w:rPr>
              <w:t>UGX 4.2 billion per annum</w:t>
            </w:r>
          </w:p>
        </w:tc>
      </w:tr>
      <w:tr w14:paraId="01F08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7A0C857E">
            <w:pPr>
              <w:jc w:val="left"/>
              <w:rPr>
                <w:rFonts w:ascii="Arial" w:hAnsi="Arial" w:eastAsia="Arial" w:cs="Arial"/>
                <w:color w:val="0D1F15"/>
                <w:sz w:val="19"/>
                <w:szCs w:val="19"/>
              </w:rPr>
            </w:pPr>
            <w:r>
              <w:rPr>
                <w:rFonts w:ascii="Arial" w:hAnsi="Arial" w:eastAsia="Arial" w:cs="Arial"/>
                <w:b/>
                <w:bCs/>
                <w:color w:val="0D1F15"/>
                <w:sz w:val="19"/>
                <w:szCs w:val="19"/>
              </w:rPr>
              <w:t>Year 5 New NSSF Members</w:t>
            </w:r>
          </w:p>
        </w:tc>
        <w:tc>
          <w:tcPr>
            <w:tcW w:w="53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804980B">
            <w:pPr>
              <w:jc w:val="left"/>
              <w:rPr>
                <w:rFonts w:ascii="Arial" w:hAnsi="Arial" w:eastAsia="Arial" w:cs="Arial"/>
                <w:color w:val="0D1F15"/>
                <w:sz w:val="19"/>
                <w:szCs w:val="19"/>
              </w:rPr>
            </w:pPr>
            <w:r>
              <w:rPr>
                <w:rFonts w:ascii="Arial" w:hAnsi="Arial" w:eastAsia="Arial" w:cs="Arial"/>
                <w:b w:val="0"/>
                <w:bCs w:val="0"/>
                <w:color w:val="0D1F15"/>
                <w:sz w:val="19"/>
                <w:szCs w:val="19"/>
              </w:rPr>
              <w:t>500,000+ auto-enrolled</w:t>
            </w:r>
          </w:p>
        </w:tc>
      </w:tr>
    </w:tbl>
    <w:p w14:paraId="5A6A3D7E">
      <w:r>
        <w:br w:type="page"/>
      </w:r>
    </w:p>
    <w:p w14:paraId="0504F168">
      <w:pPr>
        <w:pStyle w:val="2"/>
        <w:spacing w:before="360" w:after="120"/>
      </w:pPr>
      <w:r>
        <w:rPr>
          <w:rFonts w:ascii="Arial" w:hAnsi="Arial" w:eastAsia="Arial" w:cs="Arial"/>
          <w:b/>
          <w:bCs/>
          <w:color w:val="1A7A45"/>
          <w:sz w:val="32"/>
          <w:szCs w:val="32"/>
        </w:rPr>
        <w:t>2. The Problem: Why Gen Z Is Disengaged from NSSF</w:t>
      </w:r>
    </w:p>
    <w:p w14:paraId="719C319A">
      <w:pPr>
        <w:pBdr>
          <w:bottom w:val="single" w:color="1A7A45" w:sz="12" w:space="1"/>
        </w:pBdr>
        <w:spacing w:before="60" w:after="60"/>
      </w:pPr>
    </w:p>
    <w:p w14:paraId="0A1145D0">
      <w:pPr>
        <w:spacing w:before="60" w:after="100"/>
        <w:jc w:val="left"/>
        <w:rPr>
          <w:rFonts w:ascii="Arial" w:hAnsi="Arial" w:eastAsia="Arial" w:cs="Arial"/>
          <w:color w:val="0D1F15"/>
        </w:rPr>
      </w:pPr>
      <w:r>
        <w:rPr>
          <w:rFonts w:ascii="Arial" w:hAnsi="Arial" w:eastAsia="Arial" w:cs="Arial"/>
          <w:b w:val="0"/>
          <w:bCs w:val="0"/>
          <w:color w:val="0D1F15"/>
          <w:sz w:val="22"/>
          <w:szCs w:val="22"/>
        </w:rPr>
        <w:t>NSSF’s core product is a pension fund — a long-term, mandatory, employer-linked savings mechanism with payouts at age 55. For formal sector workers with stable salaries, this is a valuable and well-designed product. But Uganda’s economic landscape has shifted fundamentally, and the majority of the working-age population — particularly Gen Z — does not fit the model NSSF was built for.</w:t>
      </w:r>
    </w:p>
    <w:p w14:paraId="70254D85">
      <w:pPr>
        <w:spacing w:before="80" w:after="0"/>
      </w:pPr>
    </w:p>
    <w:p w14:paraId="7529B21F">
      <w:pPr>
        <w:pStyle w:val="3"/>
        <w:spacing w:before="240" w:after="80"/>
      </w:pPr>
      <w:r>
        <w:rPr>
          <w:rFonts w:ascii="Arial" w:hAnsi="Arial" w:eastAsia="Arial" w:cs="Arial"/>
          <w:b/>
          <w:bCs/>
          <w:color w:val="0D1F15"/>
          <w:sz w:val="26"/>
          <w:szCs w:val="26"/>
        </w:rPr>
        <w:t>2.1 Uganda's Gen Z Economic Reality</w:t>
      </w:r>
    </w:p>
    <w:p w14:paraId="671A1807">
      <w:pPr>
        <w:pStyle w:val="16"/>
        <w:numPr>
          <w:ilvl w:val="0"/>
          <w:numId w:val="1"/>
        </w:numPr>
        <w:spacing w:before="40" w:after="40"/>
        <w:rPr>
          <w:sz w:val="22"/>
          <w:szCs w:val="22"/>
        </w:rPr>
      </w:pPr>
      <w:r>
        <w:rPr>
          <w:rFonts w:ascii="Arial" w:hAnsi="Arial" w:eastAsia="Arial" w:cs="Arial"/>
          <w:b/>
          <w:bCs/>
          <w:color w:val="0D1F15"/>
          <w:sz w:val="22"/>
          <w:szCs w:val="22"/>
        </w:rPr>
        <w:t xml:space="preserve">60–65% youth unemployment: </w:t>
      </w:r>
      <w:r>
        <w:rPr>
          <w:rFonts w:ascii="Arial" w:hAnsi="Arial" w:eastAsia="Arial" w:cs="Arial"/>
          <w:color w:val="0D1F15"/>
          <w:sz w:val="22"/>
          <w:szCs w:val="22"/>
        </w:rPr>
        <w:t>Most Gen Z Ugandans are freelancers, traders, gig economy workers, content creators, casual labourers, and micro-entrepreneurs (UBOS, 2025).</w:t>
      </w:r>
    </w:p>
    <w:p w14:paraId="263FA509">
      <w:pPr>
        <w:pStyle w:val="16"/>
        <w:numPr>
          <w:ilvl w:val="0"/>
          <w:numId w:val="1"/>
        </w:numPr>
        <w:spacing w:before="40" w:after="40"/>
        <w:rPr>
          <w:sz w:val="22"/>
          <w:szCs w:val="22"/>
        </w:rPr>
      </w:pPr>
      <w:r>
        <w:rPr>
          <w:rFonts w:ascii="Arial" w:hAnsi="Arial" w:eastAsia="Arial" w:cs="Arial"/>
          <w:b/>
          <w:bCs/>
          <w:color w:val="0D1F15"/>
          <w:sz w:val="22"/>
          <w:szCs w:val="22"/>
        </w:rPr>
        <w:t>80%+ informal workforce:</w:t>
      </w:r>
      <w:r>
        <w:rPr>
          <w:rFonts w:ascii="Arial" w:hAnsi="Arial" w:eastAsia="Arial" w:cs="Arial"/>
          <w:color w:val="0D1F15"/>
          <w:sz w:val="22"/>
          <w:szCs w:val="22"/>
        </w:rPr>
        <w:t xml:space="preserve"> Over 11 million of Uganda’s 14 million workers operate informally — no payslip, no employer, no PAYE.</w:t>
      </w:r>
    </w:p>
    <w:p w14:paraId="658AF83F">
      <w:pPr>
        <w:pStyle w:val="16"/>
        <w:numPr>
          <w:ilvl w:val="0"/>
          <w:numId w:val="1"/>
        </w:numPr>
        <w:spacing w:before="40" w:after="40"/>
        <w:rPr>
          <w:sz w:val="22"/>
          <w:szCs w:val="22"/>
        </w:rPr>
      </w:pPr>
      <w:r>
        <w:rPr>
          <w:rFonts w:ascii="Arial" w:hAnsi="Arial" w:eastAsia="Arial" w:cs="Arial"/>
          <w:b/>
          <w:bCs/>
          <w:color w:val="0D1F15"/>
          <w:sz w:val="22"/>
          <w:szCs w:val="22"/>
        </w:rPr>
        <w:t xml:space="preserve">Urgent short time horizons: </w:t>
      </w:r>
      <w:r>
        <w:rPr>
          <w:rFonts w:ascii="Arial" w:hAnsi="Arial" w:eastAsia="Arial" w:cs="Arial"/>
          <w:color w:val="0D1F15"/>
          <w:sz w:val="22"/>
          <w:szCs w:val="22"/>
        </w:rPr>
        <w:t>A 25-year-old facing rent, food costs, transport, and data bills cannot rationally lock savings until age 55.</w:t>
      </w:r>
    </w:p>
    <w:p w14:paraId="6B8CF87D">
      <w:pPr>
        <w:pStyle w:val="16"/>
        <w:numPr>
          <w:ilvl w:val="0"/>
          <w:numId w:val="1"/>
        </w:numPr>
        <w:spacing w:before="40" w:after="40"/>
        <w:rPr>
          <w:sz w:val="22"/>
          <w:szCs w:val="22"/>
        </w:rPr>
      </w:pPr>
      <w:r>
        <w:rPr>
          <w:rFonts w:ascii="Arial" w:hAnsi="Arial" w:eastAsia="Arial" w:cs="Arial"/>
          <w:b/>
          <w:bCs/>
          <w:color w:val="0D1F15"/>
          <w:sz w:val="22"/>
          <w:szCs w:val="22"/>
        </w:rPr>
        <w:t>Mobile-first behaviour:</w:t>
      </w:r>
      <w:r>
        <w:rPr>
          <w:rFonts w:ascii="Arial" w:hAnsi="Arial" w:eastAsia="Arial" w:cs="Arial"/>
          <w:color w:val="0D1F15"/>
          <w:sz w:val="22"/>
          <w:szCs w:val="22"/>
        </w:rPr>
        <w:t xml:space="preserve"> Gen Z’s entire financial life runs on MTN MoMo and Airtel Money. A product not on a phone screen does not exist for them.</w:t>
      </w:r>
    </w:p>
    <w:p w14:paraId="03080560">
      <w:pPr>
        <w:pStyle w:val="16"/>
        <w:numPr>
          <w:ilvl w:val="0"/>
          <w:numId w:val="1"/>
        </w:numPr>
        <w:spacing w:before="40" w:after="40"/>
        <w:rPr>
          <w:sz w:val="22"/>
          <w:szCs w:val="22"/>
        </w:rPr>
      </w:pPr>
      <w:r>
        <w:rPr>
          <w:rFonts w:ascii="Arial" w:hAnsi="Arial" w:eastAsia="Arial" w:cs="Arial"/>
          <w:b/>
          <w:bCs/>
          <w:color w:val="0D1F15"/>
          <w:sz w:val="22"/>
          <w:szCs w:val="22"/>
        </w:rPr>
        <w:t>Global economic pressure:</w:t>
      </w:r>
      <w:r>
        <w:rPr>
          <w:rFonts w:ascii="Arial" w:hAnsi="Arial" w:eastAsia="Arial" w:cs="Arial"/>
          <w:color w:val="0D1F15"/>
          <w:sz w:val="22"/>
          <w:szCs w:val="22"/>
        </w:rPr>
        <w:t xml:space="preserve"> Inflation, currency depreciation, and post-COVID income shocks have accelerated the need for investments that produce income quickly.</w:t>
      </w:r>
    </w:p>
    <w:p w14:paraId="15AB3DD8">
      <w:pPr>
        <w:pStyle w:val="16"/>
        <w:numPr>
          <w:ilvl w:val="0"/>
          <w:numId w:val="1"/>
        </w:numPr>
        <w:spacing w:before="40" w:after="40"/>
        <w:rPr>
          <w:sz w:val="22"/>
          <w:szCs w:val="22"/>
        </w:rPr>
      </w:pPr>
      <w:r>
        <w:rPr>
          <w:rFonts w:ascii="Arial" w:hAnsi="Arial" w:eastAsia="Arial" w:cs="Arial"/>
          <w:b/>
          <w:bCs/>
          <w:color w:val="0D1F15"/>
          <w:sz w:val="22"/>
          <w:szCs w:val="22"/>
        </w:rPr>
        <w:t>Asset-ownership aspiration:</w:t>
      </w:r>
      <w:r>
        <w:rPr>
          <w:rFonts w:ascii="Arial" w:hAnsi="Arial" w:eastAsia="Arial" w:cs="Arial"/>
          <w:color w:val="0D1F15"/>
          <w:sz w:val="22"/>
          <w:szCs w:val="22"/>
        </w:rPr>
        <w:t xml:space="preserve"> Despite economic constraints, Uganda’s youth aspire strongly for property and asset ownership. The barrier is not desire — it is capital access.</w:t>
      </w:r>
    </w:p>
    <w:p w14:paraId="7C11A283">
      <w:pPr>
        <w:spacing w:before="80" w:after="0"/>
      </w:pPr>
    </w:p>
    <w:p w14:paraId="23AD37D3">
      <w:pPr>
        <w:pStyle w:val="3"/>
        <w:spacing w:before="240" w:after="80"/>
      </w:pPr>
      <w:r>
        <w:rPr>
          <w:rFonts w:ascii="Arial" w:hAnsi="Arial" w:eastAsia="Arial" w:cs="Arial"/>
          <w:b/>
          <w:bCs/>
          <w:color w:val="0D1F15"/>
          <w:sz w:val="26"/>
          <w:szCs w:val="26"/>
        </w:rPr>
        <w:t>2.2 The Structural NSSF–Gen Z Mismatch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6D7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003F87"/>
            <w:tcMar>
              <w:top w:w="80" w:type="dxa"/>
              <w:left w:w="100" w:type="dxa"/>
              <w:bottom w:w="80" w:type="dxa"/>
              <w:right w:w="100" w:type="dxa"/>
            </w:tcMar>
          </w:tcPr>
          <w:p w14:paraId="3E76A7B2">
            <w:r>
              <w:rPr>
                <w:rFonts w:ascii="Arial" w:hAnsi="Arial" w:eastAsia="Arial" w:cs="Arial"/>
                <w:b/>
                <w:bCs/>
                <w:color w:val="FFFFFF"/>
                <w:sz w:val="19"/>
                <w:szCs w:val="19"/>
              </w:rPr>
              <w:t>NSSF Structural Feature</w:t>
            </w:r>
          </w:p>
        </w:tc>
        <w:tc>
          <w:tcPr>
            <w:tcW w:w="4680" w:type="dxa"/>
            <w:tcBorders>
              <w:top w:val="single" w:color="CCCCCC" w:sz="0" w:space="0"/>
              <w:left w:val="single" w:color="CCCCCC" w:sz="0" w:space="0"/>
              <w:bottom w:val="single" w:color="CCCCCC" w:sz="0" w:space="0"/>
              <w:right w:val="single" w:color="CCCCCC" w:sz="0" w:space="0"/>
            </w:tcBorders>
            <w:shd w:val="clear" w:color="auto" w:fill="003F87"/>
            <w:tcMar>
              <w:top w:w="80" w:type="dxa"/>
              <w:left w:w="100" w:type="dxa"/>
              <w:bottom w:w="80" w:type="dxa"/>
              <w:right w:w="100" w:type="dxa"/>
            </w:tcMar>
          </w:tcPr>
          <w:p w14:paraId="08F29489">
            <w:r>
              <w:rPr>
                <w:rFonts w:ascii="Arial" w:hAnsi="Arial" w:eastAsia="Arial" w:cs="Arial"/>
                <w:b/>
                <w:bCs/>
                <w:color w:val="FFFFFF"/>
                <w:sz w:val="19"/>
                <w:szCs w:val="19"/>
              </w:rPr>
              <w:t>Gen Z Barrier</w:t>
            </w:r>
          </w:p>
        </w:tc>
      </w:tr>
      <w:tr w14:paraId="6F4ED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2827D25">
            <w:pPr>
              <w:jc w:val="left"/>
            </w:pPr>
            <w:r>
              <w:rPr>
                <w:rFonts w:ascii="Arial" w:hAnsi="Arial" w:eastAsia="Arial" w:cs="Arial"/>
                <w:b/>
                <w:bCs/>
                <w:color w:val="0D1F15"/>
                <w:sz w:val="19"/>
                <w:szCs w:val="19"/>
              </w:rPr>
              <w:t>Payout locked until age 55</w:t>
            </w:r>
          </w:p>
        </w:tc>
        <w:tc>
          <w:tcPr>
            <w:tcW w:w="4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D26F79A">
            <w:pPr>
              <w:jc w:val="left"/>
            </w:pPr>
            <w:r>
              <w:rPr>
                <w:rFonts w:ascii="Arial" w:hAnsi="Arial" w:eastAsia="Arial" w:cs="Arial"/>
                <w:b w:val="0"/>
                <w:bCs w:val="0"/>
                <w:color w:val="0D1F15"/>
                <w:sz w:val="19"/>
                <w:szCs w:val="19"/>
              </w:rPr>
              <w:t>“I am 24. That is 31 years away. I need income now.”</w:t>
            </w:r>
          </w:p>
        </w:tc>
      </w:tr>
      <w:tr w14:paraId="7B85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2874F9DD">
            <w:pPr>
              <w:jc w:val="left"/>
            </w:pPr>
            <w:r>
              <w:rPr>
                <w:rFonts w:ascii="Arial" w:hAnsi="Arial" w:eastAsia="Arial" w:cs="Arial"/>
                <w:b/>
                <w:bCs/>
                <w:color w:val="0D1F15"/>
                <w:sz w:val="19"/>
                <w:szCs w:val="19"/>
              </w:rPr>
              <w:t>Employer-linked mandatory registration</w:t>
            </w:r>
          </w:p>
        </w:tc>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BBF01F5">
            <w:pPr>
              <w:jc w:val="left"/>
            </w:pPr>
            <w:r>
              <w:rPr>
                <w:rFonts w:ascii="Arial" w:hAnsi="Arial" w:eastAsia="Arial" w:cs="Arial"/>
                <w:b w:val="0"/>
                <w:bCs w:val="0"/>
                <w:color w:val="0D1F15"/>
                <w:sz w:val="19"/>
                <w:szCs w:val="19"/>
              </w:rPr>
              <w:t>“I am self-employed. I work in Owino Market.”</w:t>
            </w:r>
          </w:p>
        </w:tc>
      </w:tr>
      <w:tr w14:paraId="3FCC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322D6612">
            <w:pPr>
              <w:jc w:val="left"/>
            </w:pPr>
            <w:r>
              <w:rPr>
                <w:rFonts w:ascii="Arial" w:hAnsi="Arial" w:eastAsia="Arial" w:cs="Arial"/>
                <w:b/>
                <w:bCs/>
                <w:color w:val="0D1F15"/>
                <w:sz w:val="19"/>
                <w:szCs w:val="19"/>
              </w:rPr>
              <w:t>Salary-based monthly contributions</w:t>
            </w:r>
          </w:p>
        </w:tc>
        <w:tc>
          <w:tcPr>
            <w:tcW w:w="4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2E6B73F">
            <w:pPr>
              <w:jc w:val="left"/>
            </w:pPr>
            <w:r>
              <w:rPr>
                <w:rFonts w:ascii="Arial" w:hAnsi="Arial" w:eastAsia="Arial" w:cs="Arial"/>
                <w:b w:val="0"/>
                <w:bCs w:val="0"/>
                <w:color w:val="0D1F15"/>
                <w:sz w:val="19"/>
                <w:szCs w:val="19"/>
              </w:rPr>
              <w:t>“My income is irregular — I cannot commit monthly.”</w:t>
            </w:r>
          </w:p>
        </w:tc>
      </w:tr>
      <w:tr w14:paraId="3E57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14DF8E72">
            <w:pPr>
              <w:jc w:val="left"/>
            </w:pPr>
            <w:r>
              <w:rPr>
                <w:rFonts w:ascii="Arial" w:hAnsi="Arial" w:eastAsia="Arial" w:cs="Arial"/>
                <w:b/>
                <w:bCs/>
                <w:color w:val="0D1F15"/>
                <w:sz w:val="19"/>
                <w:szCs w:val="19"/>
              </w:rPr>
              <w:t>No early liquidity</w:t>
            </w:r>
          </w:p>
        </w:tc>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24048A9">
            <w:pPr>
              <w:jc w:val="left"/>
            </w:pPr>
            <w:r>
              <w:rPr>
                <w:rFonts w:ascii="Arial" w:hAnsi="Arial" w:eastAsia="Arial" w:cs="Arial"/>
                <w:b w:val="0"/>
                <w:bCs w:val="0"/>
                <w:color w:val="0D1F15"/>
                <w:sz w:val="19"/>
                <w:szCs w:val="19"/>
              </w:rPr>
              <w:t>“What if I have a medical emergency?”</w:t>
            </w:r>
          </w:p>
        </w:tc>
      </w:tr>
      <w:tr w14:paraId="2EDE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04202B9">
            <w:pPr>
              <w:jc w:val="left"/>
            </w:pPr>
            <w:r>
              <w:rPr>
                <w:rFonts w:ascii="Arial" w:hAnsi="Arial" w:eastAsia="Arial" w:cs="Arial"/>
                <w:b/>
                <w:bCs/>
                <w:color w:val="0D1F15"/>
                <w:sz w:val="19"/>
                <w:szCs w:val="19"/>
              </w:rPr>
              <w:t>Single pension product only</w:t>
            </w:r>
          </w:p>
        </w:tc>
        <w:tc>
          <w:tcPr>
            <w:tcW w:w="4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71B738C">
            <w:pPr>
              <w:jc w:val="left"/>
            </w:pPr>
            <w:r>
              <w:rPr>
                <w:rFonts w:ascii="Arial" w:hAnsi="Arial" w:eastAsia="Arial" w:cs="Arial"/>
                <w:b w:val="0"/>
                <w:bCs w:val="0"/>
                <w:color w:val="0D1F15"/>
                <w:sz w:val="19"/>
                <w:szCs w:val="19"/>
              </w:rPr>
              <w:t>“It does nothing for me today.”</w:t>
            </w:r>
          </w:p>
        </w:tc>
      </w:tr>
      <w:tr w14:paraId="6393A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2DAFF625">
            <w:pPr>
              <w:jc w:val="left"/>
            </w:pPr>
            <w:r>
              <w:rPr>
                <w:rFonts w:ascii="Arial" w:hAnsi="Arial" w:eastAsia="Arial" w:cs="Arial"/>
                <w:b/>
                <w:bCs/>
                <w:color w:val="0D1F15"/>
                <w:sz w:val="19"/>
                <w:szCs w:val="19"/>
              </w:rPr>
              <w:t>Branch-based processes</w:t>
            </w:r>
          </w:p>
        </w:tc>
        <w:tc>
          <w:tcPr>
            <w:tcW w:w="4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11AF6ED">
            <w:pPr>
              <w:jc w:val="left"/>
            </w:pPr>
            <w:r>
              <w:rPr>
                <w:rFonts w:ascii="Arial" w:hAnsi="Arial" w:eastAsia="Arial" w:cs="Arial"/>
                <w:b w:val="0"/>
                <w:bCs w:val="0"/>
                <w:color w:val="0D1F15"/>
                <w:sz w:val="19"/>
                <w:szCs w:val="19"/>
              </w:rPr>
              <w:t>“I do everything on my phone.”</w:t>
            </w:r>
          </w:p>
        </w:tc>
      </w:tr>
      <w:tr w14:paraId="15BD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1449AD2D">
            <w:pPr>
              <w:jc w:val="left"/>
            </w:pPr>
            <w:r>
              <w:rPr>
                <w:rFonts w:ascii="Arial" w:hAnsi="Arial" w:eastAsia="Arial" w:cs="Arial"/>
                <w:b/>
                <w:bCs/>
                <w:color w:val="0D1F15"/>
                <w:sz w:val="19"/>
                <w:szCs w:val="19"/>
              </w:rPr>
              <w:t>Designed for formal employment</w:t>
            </w:r>
          </w:p>
        </w:tc>
        <w:tc>
          <w:tcPr>
            <w:tcW w:w="4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5B71B66">
            <w:pPr>
              <w:jc w:val="left"/>
            </w:pPr>
            <w:r>
              <w:rPr>
                <w:rFonts w:ascii="Arial" w:hAnsi="Arial" w:eastAsia="Arial" w:cs="Arial"/>
                <w:b w:val="0"/>
                <w:bCs w:val="0"/>
                <w:color w:val="0D1F15"/>
                <w:sz w:val="19"/>
                <w:szCs w:val="19"/>
              </w:rPr>
              <w:t>“It feels like it’s for civil servants, not for me.”</w:t>
            </w:r>
          </w:p>
        </w:tc>
      </w:tr>
    </w:tbl>
    <w:p w14:paraId="51B51B6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6B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47D7C369">
            <w:r>
              <w:rPr>
                <w:rFonts w:ascii="Arial" w:hAnsi="Arial" w:eastAsia="Arial" w:cs="Arial"/>
                <w:b w:val="0"/>
                <w:bCs w:val="0"/>
                <w:color w:val="0D1F15"/>
                <w:sz w:val="21"/>
                <w:szCs w:val="21"/>
              </w:rPr>
              <w:t>NSSF has ~2 million active members from a workforce of 14+ million: penetration below 15%.</w:t>
            </w:r>
          </w:p>
        </w:tc>
      </w:tr>
      <w:tr w14:paraId="5438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65595C0A">
            <w:r>
              <w:rPr>
                <w:rFonts w:ascii="Arial" w:hAnsi="Arial" w:eastAsia="Arial" w:cs="Arial"/>
                <w:b w:val="0"/>
                <w:bCs w:val="0"/>
                <w:color w:val="0D1F15"/>
                <w:sz w:val="21"/>
                <w:szCs w:val="21"/>
              </w:rPr>
              <w:t>NSSF’s 2035 Strategic Plan targets 5 million members. At current growth rates, this will not be achieved.</w:t>
            </w:r>
          </w:p>
        </w:tc>
      </w:tr>
      <w:tr w14:paraId="5D6A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51A9D1D4">
            <w:r>
              <w:rPr>
                <w:rFonts w:ascii="Arial" w:hAnsi="Arial" w:eastAsia="Arial" w:cs="Arial"/>
                <w:b w:val="0"/>
                <w:bCs w:val="0"/>
                <w:color w:val="0D1F15"/>
                <w:sz w:val="21"/>
                <w:szCs w:val="21"/>
              </w:rPr>
              <w:t>The informal sector and Gen Z represent the only segments large enough to close the 3-million member gap.</w:t>
            </w:r>
          </w:p>
        </w:tc>
      </w:tr>
      <w:tr w14:paraId="3262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7BE878AC">
            <w:r>
              <w:rPr>
                <w:rFonts w:ascii="Arial" w:hAnsi="Arial" w:eastAsia="Arial" w:cs="Arial"/>
                <w:b w:val="0"/>
                <w:bCs w:val="0"/>
                <w:color w:val="0D1F15"/>
                <w:sz w:val="21"/>
                <w:szCs w:val="21"/>
              </w:rPr>
              <w:t>These segments require a fundamentally different product — one that meets them where they are today.</w:t>
            </w:r>
          </w:p>
        </w:tc>
      </w:tr>
      <w:tr w14:paraId="2F45E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32FDA155"/>
        </w:tc>
      </w:tr>
      <w:tr w14:paraId="48AB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60" w:type="dxa"/>
              <w:left w:w="200" w:type="dxa"/>
              <w:bottom w:w="60" w:type="dxa"/>
              <w:right w:w="200" w:type="dxa"/>
            </w:tcMar>
            <w:vAlign w:val="top"/>
          </w:tcPr>
          <w:p w14:paraId="37BCF927">
            <w:r>
              <w:rPr>
                <w:rFonts w:ascii="Arial" w:hAnsi="Arial" w:eastAsia="Arial" w:cs="Arial"/>
                <w:b/>
                <w:bCs/>
                <w:color w:val="1A7A45"/>
                <w:sz w:val="21"/>
                <w:szCs w:val="21"/>
              </w:rPr>
              <w:t>OwnIt Uganda is that product.</w:t>
            </w:r>
          </w:p>
        </w:tc>
      </w:tr>
    </w:tbl>
    <w:p w14:paraId="3B376908"/>
    <w:p w14:paraId="5342D6CF">
      <w:pPr>
        <w:spacing w:before="240" w:after="80"/>
        <w:rPr>
          <w:rFonts w:ascii="Arial" w:hAnsi="Arial" w:eastAsia="Arial" w:cs="Arial"/>
          <w:color w:val="0D1F15"/>
        </w:rPr>
      </w:pPr>
      <w:r>
        <w:rPr>
          <w:rFonts w:ascii="Arial" w:hAnsi="Arial" w:eastAsia="Arial" w:cs="Arial"/>
          <w:b/>
          <w:bCs/>
          <w:color w:val="0D1F15"/>
          <w:sz w:val="26"/>
          <w:szCs w:val="26"/>
        </w:rPr>
        <w:t>2.3 SmartLife Flexi Has Proven the Demand — OwnIt Amplifies It</w:t>
      </w:r>
    </w:p>
    <w:p w14:paraId="50D49655">
      <w:pPr>
        <w:spacing w:before="60" w:after="80"/>
        <w:jc w:val="left"/>
        <w:rPr>
          <w:rFonts w:ascii="Arial" w:hAnsi="Arial" w:eastAsia="Arial" w:cs="Arial"/>
          <w:color w:val="0D1F15"/>
        </w:rPr>
      </w:pPr>
      <w:r>
        <w:rPr>
          <w:rFonts w:ascii="Arial" w:hAnsi="Arial" w:eastAsia="Arial" w:cs="Arial"/>
          <w:b w:val="0"/>
          <w:bCs w:val="0"/>
          <w:color w:val="0D1F15"/>
          <w:sz w:val="22"/>
          <w:szCs w:val="22"/>
        </w:rPr>
        <w:t>NSSF’s own SmartLife Flexi, launched November 2024, has already validated the informal sector demand thesis. Within three months of launch, SmartLife Flexi collected UGX 5 billion in voluntary contributions, with 70% of enrollees being micro-savers and an annualised return averaging 13.25%+. This is the most important proof point in this proposal: Uganda’s informal sector is ready, willing, and able to engage with NSSF’s products when those products are designed for them.</w:t>
      </w:r>
    </w:p>
    <w:p w14:paraId="1A59A0CF">
      <w:pPr>
        <w:spacing w:before="60" w:after="80"/>
        <w:jc w:val="left"/>
        <w:rPr>
          <w:rFonts w:ascii="Arial" w:hAnsi="Arial" w:eastAsia="Arial" w:cs="Arial"/>
          <w:color w:val="0D1F15"/>
        </w:rPr>
      </w:pPr>
      <w:r>
        <w:rPr>
          <w:rFonts w:ascii="Arial" w:hAnsi="Arial" w:eastAsia="Arial" w:cs="Arial"/>
          <w:b w:val="0"/>
          <w:bCs w:val="0"/>
          <w:color w:val="0D1F15"/>
          <w:sz w:val="22"/>
          <w:szCs w:val="22"/>
        </w:rPr>
        <w:t>OwnIt does not compete with SmartLife Flexi. It serves a distinct, adjacent need — and feeds directly into SmartLife Flexi adoption. A 24-year-old boda-boda rider who earns their first investment return on OwnIt is a primed, financially active consumer who can immediately be prompted to park part of that return into a SmartLife Flexi goal account. OwnIt creates the financial engagement; SmartLife Flexi captures the savings habit.</w:t>
      </w:r>
    </w:p>
    <w:p w14:paraId="01C21F84">
      <w:r>
        <w:br w:type="page"/>
      </w:r>
    </w:p>
    <w:p w14:paraId="5CF67426">
      <w:pPr>
        <w:pStyle w:val="2"/>
        <w:spacing w:before="360" w:after="120"/>
      </w:pPr>
      <w:r>
        <w:rPr>
          <w:rFonts w:ascii="Arial" w:hAnsi="Arial" w:eastAsia="Arial" w:cs="Arial"/>
          <w:b/>
          <w:bCs/>
          <w:color w:val="1A7A45"/>
          <w:sz w:val="32"/>
          <w:szCs w:val="32"/>
        </w:rPr>
        <w:t>3. What OwnIt Uganda Is: The Crowd-Investment Model</w:t>
      </w:r>
    </w:p>
    <w:p w14:paraId="0F4AF961">
      <w:pPr>
        <w:pBdr>
          <w:bottom w:val="single" w:color="1A7A45" w:sz="12" w:space="1"/>
        </w:pBdr>
        <w:spacing w:before="60" w:after="60"/>
      </w:pPr>
    </w:p>
    <w:p w14:paraId="1FDD21EE">
      <w:pPr>
        <w:spacing w:before="60" w:after="100"/>
        <w:jc w:val="left"/>
      </w:pPr>
      <w:r>
        <w:rPr>
          <w:rFonts w:ascii="Arial" w:hAnsi="Arial" w:eastAsia="Arial" w:cs="Arial"/>
          <w:b w:val="0"/>
          <w:bCs w:val="0"/>
          <w:color w:val="0D1F15"/>
          <w:sz w:val="22"/>
          <w:szCs w:val="22"/>
        </w:rPr>
        <w:t>OwnIt Uganda is fundamentally a regulated crowd-investment marketplace. It takes the crowdfunding model — widely proven globally on platforms like Kickstarter, Seedrs, Republic, and AgroStar — and applies it to Uganda’s most accessible and profitable asset classes. What makes OwnIt unique is not any single asset class, but the breadth: one platform, one wallet, one KYC process, and nine asset classes, all accessible from as low as UGX 50,000.</w:t>
      </w:r>
    </w:p>
    <w:p w14:paraId="185FA2DA">
      <w:pPr>
        <w:pStyle w:val="3"/>
        <w:spacing w:before="240" w:after="80"/>
      </w:pPr>
      <w:r>
        <w:rPr>
          <w:rFonts w:ascii="Arial" w:hAnsi="Arial" w:eastAsia="Arial" w:cs="Arial"/>
          <w:b/>
          <w:bCs/>
          <w:color w:val="0D1F15"/>
          <w:sz w:val="26"/>
          <w:szCs w:val="26"/>
        </w:rPr>
        <w:t>3.1 How the Crowd-Investment Model Works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
        <w:gridCol w:w="2480"/>
        <w:gridCol w:w="6320"/>
      </w:tblGrid>
      <w:tr w14:paraId="155F7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1A7A45"/>
            <w:tcMar>
              <w:top w:w="100" w:type="dxa"/>
              <w:left w:w="80" w:type="dxa"/>
              <w:bottom w:w="100" w:type="dxa"/>
              <w:right w:w="80" w:type="dxa"/>
            </w:tcMar>
            <w:vAlign w:val="center"/>
          </w:tcPr>
          <w:p w14:paraId="727B73AB">
            <w:pPr>
              <w:jc w:val="center"/>
            </w:pPr>
            <w:r>
              <w:rPr>
                <w:rFonts w:ascii="Arial" w:hAnsi="Arial" w:eastAsia="Arial" w:cs="Arial"/>
                <w:b/>
                <w:bCs/>
                <w:color w:val="FFFFFF"/>
                <w:sz w:val="26"/>
                <w:szCs w:val="26"/>
              </w:rPr>
              <w:t>1</w:t>
            </w:r>
          </w:p>
        </w:tc>
        <w:tc>
          <w:tcPr>
            <w:tcW w:w="2480" w:type="dxa"/>
            <w:tcBorders>
              <w:top w:val="nil"/>
              <w:left w:val="nil"/>
              <w:bottom w:val="nil"/>
              <w:right w:val="nil"/>
            </w:tcBorders>
            <w:shd w:val="clear" w:color="auto" w:fill="D4EFE0"/>
            <w:tcMar>
              <w:top w:w="100" w:type="dxa"/>
              <w:left w:w="120" w:type="dxa"/>
              <w:bottom w:w="100" w:type="dxa"/>
              <w:right w:w="80" w:type="dxa"/>
            </w:tcMar>
          </w:tcPr>
          <w:p w14:paraId="7164EF28">
            <w:r>
              <w:rPr>
                <w:rFonts w:ascii="Arial" w:hAnsi="Arial" w:eastAsia="Arial" w:cs="Arial"/>
                <w:b/>
                <w:bCs/>
                <w:color w:val="1A7A45"/>
                <w:sz w:val="21"/>
                <w:szCs w:val="21"/>
              </w:rPr>
              <w:t>Lister Submits Asset</w:t>
            </w:r>
          </w:p>
        </w:tc>
        <w:tc>
          <w:tcPr>
            <w:tcW w:w="6320" w:type="dxa"/>
            <w:tcBorders>
              <w:top w:val="nil"/>
              <w:left w:val="nil"/>
              <w:bottom w:val="nil"/>
              <w:right w:val="nil"/>
            </w:tcBorders>
            <w:shd w:val="clear" w:color="auto" w:fill="D4EFE0"/>
            <w:tcMar>
              <w:top w:w="100" w:type="dxa"/>
              <w:left w:w="80" w:type="dxa"/>
              <w:bottom w:w="100" w:type="dxa"/>
              <w:right w:w="120" w:type="dxa"/>
            </w:tcMar>
            <w:vAlign w:val="center"/>
          </w:tcPr>
          <w:p w14:paraId="6265A82C">
            <w:pPr>
              <w:jc w:val="left"/>
            </w:pPr>
            <w:r>
              <w:rPr>
                <w:rFonts w:ascii="Arial" w:hAnsi="Arial" w:eastAsia="Arial" w:cs="Arial"/>
                <w:b w:val="0"/>
                <w:bCs w:val="0"/>
                <w:color w:val="0D1F15"/>
                <w:sz w:val="19"/>
                <w:szCs w:val="19"/>
              </w:rPr>
              <w:t>A vetted, licensed commercial partner submits an income-generating asset for listing: a property, an oil tanker, a commodity batch, a bond pool, an FX trade, a mineral lot, or a company stake.</w:t>
            </w:r>
          </w:p>
        </w:tc>
      </w:tr>
      <w:tr w14:paraId="0B3B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003F87"/>
            <w:tcMar>
              <w:top w:w="100" w:type="dxa"/>
              <w:left w:w="80" w:type="dxa"/>
              <w:bottom w:w="100" w:type="dxa"/>
              <w:right w:w="80" w:type="dxa"/>
            </w:tcMar>
            <w:vAlign w:val="center"/>
          </w:tcPr>
          <w:p w14:paraId="50754D9D">
            <w:pPr>
              <w:jc w:val="center"/>
            </w:pPr>
            <w:r>
              <w:rPr>
                <w:rFonts w:ascii="Arial" w:hAnsi="Arial" w:eastAsia="Arial" w:cs="Arial"/>
                <w:b/>
                <w:bCs/>
                <w:color w:val="FFFFFF"/>
                <w:sz w:val="26"/>
                <w:szCs w:val="26"/>
              </w:rPr>
              <w:t>2</w:t>
            </w:r>
          </w:p>
        </w:tc>
        <w:tc>
          <w:tcPr>
            <w:tcW w:w="2480" w:type="dxa"/>
            <w:tcBorders>
              <w:top w:val="nil"/>
              <w:left w:val="nil"/>
              <w:bottom w:val="nil"/>
              <w:right w:val="nil"/>
            </w:tcBorders>
            <w:shd w:val="clear" w:color="auto" w:fill="D6E4F7"/>
            <w:tcMar>
              <w:top w:w="100" w:type="dxa"/>
              <w:left w:w="120" w:type="dxa"/>
              <w:bottom w:w="100" w:type="dxa"/>
              <w:right w:w="80" w:type="dxa"/>
            </w:tcMar>
          </w:tcPr>
          <w:p w14:paraId="0F392032">
            <w:r>
              <w:rPr>
                <w:rFonts w:ascii="Arial" w:hAnsi="Arial" w:eastAsia="Arial" w:cs="Arial"/>
                <w:b/>
                <w:bCs/>
                <w:color w:val="003F87"/>
                <w:sz w:val="21"/>
                <w:szCs w:val="21"/>
              </w:rPr>
              <w:t>OwnIt</w:t>
            </w:r>
            <w:r>
              <w:rPr>
                <w:rFonts w:hint="default" w:cs="Arial"/>
                <w:b/>
                <w:bCs/>
                <w:color w:val="003F87"/>
                <w:sz w:val="21"/>
                <w:szCs w:val="21"/>
                <w:lang w:val="en-US"/>
              </w:rPr>
              <w:t xml:space="preserve"> / NSSF </w:t>
            </w:r>
            <w:r>
              <w:rPr>
                <w:rFonts w:ascii="Arial" w:hAnsi="Arial" w:eastAsia="Arial" w:cs="Arial"/>
                <w:b/>
                <w:bCs/>
                <w:color w:val="003F87"/>
                <w:sz w:val="21"/>
                <w:szCs w:val="21"/>
              </w:rPr>
              <w:t>Vets &amp; Structures</w:t>
            </w:r>
          </w:p>
        </w:tc>
        <w:tc>
          <w:tcPr>
            <w:tcW w:w="6320" w:type="dxa"/>
            <w:tcBorders>
              <w:top w:val="nil"/>
              <w:left w:val="nil"/>
              <w:bottom w:val="nil"/>
              <w:right w:val="nil"/>
            </w:tcBorders>
            <w:shd w:val="clear" w:color="auto" w:fill="D6E4F7"/>
            <w:tcMar>
              <w:top w:w="100" w:type="dxa"/>
              <w:left w:w="80" w:type="dxa"/>
              <w:bottom w:w="100" w:type="dxa"/>
              <w:right w:w="120" w:type="dxa"/>
            </w:tcMar>
            <w:vAlign w:val="center"/>
          </w:tcPr>
          <w:p w14:paraId="7817B672">
            <w:pPr>
              <w:jc w:val="left"/>
            </w:pPr>
            <w:r>
              <w:rPr>
                <w:rFonts w:ascii="Arial" w:hAnsi="Arial" w:eastAsia="Arial" w:cs="Arial"/>
                <w:b w:val="0"/>
                <w:bCs w:val="0"/>
                <w:color w:val="0D1F15"/>
                <w:sz w:val="19"/>
                <w:szCs w:val="19"/>
              </w:rPr>
              <w:t>OwnIt and NSSF’s compliance team verifies legal documentation, commercial viability, projected returns, and payout timeline. Every listing discloses full financial terms before funding opens.</w:t>
            </w:r>
          </w:p>
        </w:tc>
      </w:tr>
      <w:tr w14:paraId="0E04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C17F00"/>
            <w:tcMar>
              <w:top w:w="100" w:type="dxa"/>
              <w:left w:w="80" w:type="dxa"/>
              <w:bottom w:w="100" w:type="dxa"/>
              <w:right w:w="80" w:type="dxa"/>
            </w:tcMar>
            <w:vAlign w:val="center"/>
          </w:tcPr>
          <w:p w14:paraId="5CDE042B">
            <w:pPr>
              <w:jc w:val="center"/>
            </w:pPr>
            <w:r>
              <w:rPr>
                <w:rFonts w:ascii="Arial" w:hAnsi="Arial" w:eastAsia="Arial" w:cs="Arial"/>
                <w:b/>
                <w:bCs/>
                <w:color w:val="FFFFFF"/>
                <w:sz w:val="26"/>
                <w:szCs w:val="26"/>
              </w:rPr>
              <w:t>3</w:t>
            </w:r>
          </w:p>
        </w:tc>
        <w:tc>
          <w:tcPr>
            <w:tcW w:w="2480" w:type="dxa"/>
            <w:tcBorders>
              <w:top w:val="nil"/>
              <w:left w:val="nil"/>
              <w:bottom w:val="nil"/>
              <w:right w:val="nil"/>
            </w:tcBorders>
            <w:shd w:val="clear" w:color="auto" w:fill="D4EFE0"/>
            <w:tcMar>
              <w:top w:w="100" w:type="dxa"/>
              <w:left w:w="120" w:type="dxa"/>
              <w:bottom w:w="100" w:type="dxa"/>
              <w:right w:w="80" w:type="dxa"/>
            </w:tcMar>
          </w:tcPr>
          <w:p w14:paraId="2E8506A1">
            <w:r>
              <w:rPr>
                <w:rFonts w:ascii="Arial" w:hAnsi="Arial" w:eastAsia="Arial" w:cs="Arial"/>
                <w:b/>
                <w:bCs/>
                <w:color w:val="C17F00"/>
                <w:sz w:val="21"/>
                <w:szCs w:val="21"/>
              </w:rPr>
              <w:t>Crowd Funds the Asset</w:t>
            </w:r>
          </w:p>
        </w:tc>
        <w:tc>
          <w:tcPr>
            <w:tcW w:w="6320" w:type="dxa"/>
            <w:tcBorders>
              <w:top w:val="nil"/>
              <w:left w:val="nil"/>
              <w:bottom w:val="nil"/>
              <w:right w:val="nil"/>
            </w:tcBorders>
            <w:shd w:val="clear" w:color="auto" w:fill="D4EFE0"/>
            <w:tcMar>
              <w:top w:w="100" w:type="dxa"/>
              <w:left w:w="80" w:type="dxa"/>
              <w:bottom w:w="100" w:type="dxa"/>
              <w:right w:w="120" w:type="dxa"/>
            </w:tcMar>
            <w:vAlign w:val="center"/>
          </w:tcPr>
          <w:p w14:paraId="05618D19">
            <w:pPr>
              <w:jc w:val="left"/>
            </w:pPr>
            <w:r>
              <w:rPr>
                <w:rFonts w:ascii="Arial" w:hAnsi="Arial" w:eastAsia="Arial" w:cs="Arial"/>
                <w:b w:val="0"/>
                <w:bCs w:val="0"/>
                <w:color w:val="0D1F15"/>
                <w:sz w:val="19"/>
                <w:szCs w:val="19"/>
              </w:rPr>
              <w:t>The listing goes live. Investors browse, select assets aligned with their return horizon and risk appetite, and contribute from UGX 50,000. Contributions pool until the target is reached.</w:t>
            </w:r>
          </w:p>
        </w:tc>
      </w:tr>
      <w:tr w14:paraId="1B93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1A7A45"/>
            <w:tcMar>
              <w:top w:w="100" w:type="dxa"/>
              <w:left w:w="80" w:type="dxa"/>
              <w:bottom w:w="100" w:type="dxa"/>
              <w:right w:w="80" w:type="dxa"/>
            </w:tcMar>
            <w:vAlign w:val="center"/>
          </w:tcPr>
          <w:p w14:paraId="279F597F">
            <w:pPr>
              <w:jc w:val="center"/>
            </w:pPr>
            <w:r>
              <w:rPr>
                <w:rFonts w:ascii="Arial" w:hAnsi="Arial" w:eastAsia="Arial" w:cs="Arial"/>
                <w:b/>
                <w:bCs/>
                <w:color w:val="FFFFFF"/>
                <w:sz w:val="26"/>
                <w:szCs w:val="26"/>
              </w:rPr>
              <w:t>4</w:t>
            </w:r>
          </w:p>
        </w:tc>
        <w:tc>
          <w:tcPr>
            <w:tcW w:w="2480" w:type="dxa"/>
            <w:tcBorders>
              <w:top w:val="nil"/>
              <w:left w:val="nil"/>
              <w:bottom w:val="nil"/>
              <w:right w:val="nil"/>
            </w:tcBorders>
            <w:shd w:val="clear" w:color="auto" w:fill="D6E4F7"/>
            <w:tcMar>
              <w:top w:w="100" w:type="dxa"/>
              <w:left w:w="120" w:type="dxa"/>
              <w:bottom w:w="100" w:type="dxa"/>
              <w:right w:w="80" w:type="dxa"/>
            </w:tcMar>
          </w:tcPr>
          <w:p w14:paraId="49410386">
            <w:r>
              <w:rPr>
                <w:rFonts w:ascii="Arial" w:hAnsi="Arial" w:eastAsia="Arial" w:cs="Arial"/>
                <w:b/>
                <w:bCs/>
                <w:color w:val="1A7A45"/>
                <w:sz w:val="21"/>
                <w:szCs w:val="21"/>
              </w:rPr>
              <w:t>Asset Generates Profit</w:t>
            </w:r>
          </w:p>
        </w:tc>
        <w:tc>
          <w:tcPr>
            <w:tcW w:w="6320" w:type="dxa"/>
            <w:tcBorders>
              <w:top w:val="nil"/>
              <w:left w:val="nil"/>
              <w:bottom w:val="nil"/>
              <w:right w:val="nil"/>
            </w:tcBorders>
            <w:shd w:val="clear" w:color="auto" w:fill="D6E4F7"/>
            <w:tcMar>
              <w:top w:w="100" w:type="dxa"/>
              <w:left w:w="80" w:type="dxa"/>
              <w:bottom w:w="100" w:type="dxa"/>
              <w:right w:w="120" w:type="dxa"/>
            </w:tcMar>
            <w:vAlign w:val="center"/>
          </w:tcPr>
          <w:p w14:paraId="29149FFF">
            <w:pPr>
              <w:jc w:val="left"/>
            </w:pPr>
            <w:r>
              <w:rPr>
                <w:rFonts w:ascii="Arial" w:hAnsi="Arial" w:eastAsia="Arial" w:cs="Arial"/>
                <w:b w:val="0"/>
                <w:bCs w:val="0"/>
                <w:color w:val="0D1F15"/>
                <w:sz w:val="19"/>
                <w:szCs w:val="19"/>
              </w:rPr>
              <w:t>The asset produces income: rent, commodity sale proceeds, oil trade profit, FX gain, bond coupon, dividend, or mineral sale. Timing and mechanism disclosed at listing.</w:t>
            </w:r>
          </w:p>
        </w:tc>
      </w:tr>
      <w:tr w14:paraId="14C4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003F87"/>
            <w:tcMar>
              <w:top w:w="100" w:type="dxa"/>
              <w:left w:w="80" w:type="dxa"/>
              <w:bottom w:w="100" w:type="dxa"/>
              <w:right w:w="80" w:type="dxa"/>
            </w:tcMar>
            <w:vAlign w:val="center"/>
          </w:tcPr>
          <w:p w14:paraId="441BEDB6">
            <w:pPr>
              <w:jc w:val="center"/>
            </w:pPr>
            <w:r>
              <w:rPr>
                <w:rFonts w:ascii="Arial" w:hAnsi="Arial" w:eastAsia="Arial" w:cs="Arial"/>
                <w:b/>
                <w:bCs/>
                <w:color w:val="FFFFFF"/>
                <w:sz w:val="26"/>
                <w:szCs w:val="26"/>
              </w:rPr>
              <w:t>5</w:t>
            </w:r>
          </w:p>
        </w:tc>
        <w:tc>
          <w:tcPr>
            <w:tcW w:w="2480" w:type="dxa"/>
            <w:tcBorders>
              <w:top w:val="nil"/>
              <w:left w:val="nil"/>
              <w:bottom w:val="nil"/>
              <w:right w:val="nil"/>
            </w:tcBorders>
            <w:shd w:val="clear" w:color="auto" w:fill="D4EFE0"/>
            <w:tcMar>
              <w:top w:w="100" w:type="dxa"/>
              <w:left w:w="120" w:type="dxa"/>
              <w:bottom w:w="100" w:type="dxa"/>
              <w:right w:w="80" w:type="dxa"/>
            </w:tcMar>
          </w:tcPr>
          <w:p w14:paraId="5C494026">
            <w:r>
              <w:rPr>
                <w:rFonts w:ascii="Arial" w:hAnsi="Arial" w:eastAsia="Arial" w:cs="Arial"/>
                <w:b/>
                <w:bCs/>
                <w:color w:val="003F87"/>
                <w:sz w:val="21"/>
                <w:szCs w:val="21"/>
              </w:rPr>
              <w:t>NSSF Deducts &amp; Distributes</w:t>
            </w:r>
          </w:p>
        </w:tc>
        <w:tc>
          <w:tcPr>
            <w:tcW w:w="6320" w:type="dxa"/>
            <w:tcBorders>
              <w:top w:val="nil"/>
              <w:left w:val="nil"/>
              <w:bottom w:val="nil"/>
              <w:right w:val="nil"/>
            </w:tcBorders>
            <w:shd w:val="clear" w:color="auto" w:fill="D4EFE0"/>
            <w:tcMar>
              <w:top w:w="100" w:type="dxa"/>
              <w:left w:w="80" w:type="dxa"/>
              <w:bottom w:w="100" w:type="dxa"/>
              <w:right w:w="120" w:type="dxa"/>
            </w:tcMar>
            <w:vAlign w:val="center"/>
          </w:tcPr>
          <w:p w14:paraId="69B110F4">
            <w:pPr>
              <w:jc w:val="left"/>
              <w:rPr>
                <w:rFonts w:hint="default"/>
                <w:lang w:val="en-US"/>
              </w:rPr>
            </w:pPr>
            <w:r>
              <w:rPr>
                <w:rFonts w:ascii="Arial" w:hAnsi="Arial" w:eastAsia="Arial" w:cs="Arial"/>
                <w:b w:val="0"/>
                <w:bCs w:val="0"/>
                <w:color w:val="0D1F15"/>
                <w:sz w:val="19"/>
                <w:szCs w:val="19"/>
              </w:rPr>
              <w:t>Before any payout leaves the platform, NSSF deducts its 3% service charge from both investor and lister pools, plus the 2% pension levy. Net returns are sent to each investor’s OwnIt wallet proportionally.</w:t>
            </w:r>
          </w:p>
        </w:tc>
      </w:tr>
      <w:tr w14:paraId="32BA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C17F00"/>
            <w:tcMar>
              <w:top w:w="100" w:type="dxa"/>
              <w:left w:w="80" w:type="dxa"/>
              <w:bottom w:w="100" w:type="dxa"/>
              <w:right w:w="80" w:type="dxa"/>
            </w:tcMar>
            <w:vAlign w:val="center"/>
          </w:tcPr>
          <w:p w14:paraId="57D53B11">
            <w:pPr>
              <w:jc w:val="center"/>
            </w:pPr>
            <w:r>
              <w:rPr>
                <w:rFonts w:ascii="Arial" w:hAnsi="Arial" w:eastAsia="Arial" w:cs="Arial"/>
                <w:b/>
                <w:bCs/>
                <w:color w:val="FFFFFF"/>
                <w:sz w:val="26"/>
                <w:szCs w:val="26"/>
              </w:rPr>
              <w:t>6</w:t>
            </w:r>
          </w:p>
        </w:tc>
        <w:tc>
          <w:tcPr>
            <w:tcW w:w="2480" w:type="dxa"/>
            <w:tcBorders>
              <w:top w:val="nil"/>
              <w:left w:val="nil"/>
              <w:bottom w:val="nil"/>
              <w:right w:val="nil"/>
            </w:tcBorders>
            <w:shd w:val="clear" w:color="auto" w:fill="D6E4F7"/>
            <w:tcMar>
              <w:top w:w="100" w:type="dxa"/>
              <w:left w:w="120" w:type="dxa"/>
              <w:bottom w:w="100" w:type="dxa"/>
              <w:right w:w="80" w:type="dxa"/>
            </w:tcMar>
          </w:tcPr>
          <w:p w14:paraId="10474C90">
            <w:r>
              <w:rPr>
                <w:rFonts w:ascii="Arial" w:hAnsi="Arial" w:eastAsia="Arial" w:cs="Arial"/>
                <w:b/>
                <w:bCs/>
                <w:color w:val="C17F00"/>
                <w:sz w:val="21"/>
                <w:szCs w:val="21"/>
              </w:rPr>
              <w:t>SmartLife Flexi Prompt</w:t>
            </w:r>
          </w:p>
        </w:tc>
        <w:tc>
          <w:tcPr>
            <w:tcW w:w="6320" w:type="dxa"/>
            <w:tcBorders>
              <w:top w:val="nil"/>
              <w:left w:val="nil"/>
              <w:bottom w:val="nil"/>
              <w:right w:val="nil"/>
            </w:tcBorders>
            <w:shd w:val="clear" w:color="auto" w:fill="D6E4F7"/>
            <w:tcMar>
              <w:top w:w="100" w:type="dxa"/>
              <w:left w:w="80" w:type="dxa"/>
              <w:bottom w:w="100" w:type="dxa"/>
              <w:right w:w="120" w:type="dxa"/>
            </w:tcMar>
            <w:vAlign w:val="center"/>
          </w:tcPr>
          <w:p w14:paraId="47A94C6F">
            <w:pPr>
              <w:jc w:val="left"/>
              <w:rPr>
                <w:rFonts w:hint="default"/>
                <w:lang w:val="en-US"/>
              </w:rPr>
            </w:pPr>
            <w:r>
              <w:rPr>
                <w:rFonts w:ascii="Arial" w:hAnsi="Arial" w:eastAsia="Arial" w:cs="Arial"/>
                <w:b w:val="0"/>
                <w:bCs w:val="0"/>
                <w:color w:val="0D1F15"/>
                <w:sz w:val="19"/>
                <w:szCs w:val="19"/>
              </w:rPr>
              <w:t>After every payout, the OwnIt app prompts investors: “Save a portion to your SmartLife Flexi goal?” One tap opens or tops up the member’s SmartLife Flexi sub-account — converting investment earners into long-term NSSF savers.</w:t>
            </w:r>
            <w:r>
              <w:rPr>
                <w:rFonts w:hint="default" w:cs="Arial"/>
                <w:b w:val="0"/>
                <w:bCs w:val="0"/>
                <w:color w:val="0D1F15"/>
                <w:sz w:val="19"/>
                <w:szCs w:val="19"/>
                <w:lang w:val="en-US"/>
              </w:rPr>
              <w:t>(If a user has no SmartLife Flexi account, one is automatically created)</w:t>
            </w:r>
          </w:p>
        </w:tc>
      </w:tr>
      <w:tr w14:paraId="1704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0" w:type="dxa"/>
            <w:tcBorders>
              <w:top w:val="nil"/>
              <w:left w:val="nil"/>
              <w:bottom w:val="nil"/>
              <w:right w:val="nil"/>
            </w:tcBorders>
            <w:shd w:val="clear" w:color="auto" w:fill="C17F00"/>
            <w:tcMar>
              <w:top w:w="100" w:type="dxa"/>
              <w:left w:w="80" w:type="dxa"/>
              <w:bottom w:w="100" w:type="dxa"/>
              <w:right w:w="80" w:type="dxa"/>
            </w:tcMar>
            <w:vAlign w:val="center"/>
          </w:tcPr>
          <w:p w14:paraId="0F977993">
            <w:pPr>
              <w:jc w:val="center"/>
              <w:rPr>
                <w:rFonts w:ascii="Arial" w:hAnsi="Arial" w:eastAsia="Arial" w:cs="Arial"/>
                <w:b/>
                <w:bCs/>
                <w:color w:val="FFFFFF"/>
                <w:sz w:val="26"/>
                <w:szCs w:val="26"/>
              </w:rPr>
            </w:pPr>
            <w:r>
              <w:rPr>
                <w:rFonts w:ascii="Arial" w:hAnsi="Arial" w:eastAsia="Arial" w:cs="Arial"/>
                <w:b/>
                <w:bCs/>
                <w:color w:val="FFFFFF"/>
                <w:sz w:val="20"/>
                <w:szCs w:val="20"/>
              </w:rPr>
              <w:t>7</w:t>
            </w:r>
          </w:p>
        </w:tc>
        <w:tc>
          <w:tcPr>
            <w:tcW w:w="2480" w:type="dxa"/>
            <w:tcBorders>
              <w:top w:val="nil"/>
              <w:left w:val="nil"/>
              <w:bottom w:val="nil"/>
              <w:right w:val="nil"/>
            </w:tcBorders>
            <w:shd w:val="clear" w:color="auto" w:fill="D6E4F7"/>
            <w:tcMar>
              <w:top w:w="100" w:type="dxa"/>
              <w:left w:w="120" w:type="dxa"/>
              <w:bottom w:w="100" w:type="dxa"/>
              <w:right w:w="80" w:type="dxa"/>
            </w:tcMar>
            <w:vAlign w:val="center"/>
          </w:tcPr>
          <w:p w14:paraId="59997984">
            <w:pPr>
              <w:jc w:val="left"/>
              <w:rPr>
                <w:rFonts w:ascii="Arial" w:hAnsi="Arial" w:eastAsia="Arial" w:cs="Arial"/>
                <w:b/>
                <w:bCs/>
                <w:color w:val="C17F00"/>
                <w:sz w:val="21"/>
                <w:szCs w:val="21"/>
              </w:rPr>
            </w:pPr>
            <w:r>
              <w:rPr>
                <w:rFonts w:ascii="Arial" w:hAnsi="Arial" w:eastAsia="Arial" w:cs="Arial"/>
                <w:b/>
                <w:bCs/>
                <w:color w:val="C17F00"/>
                <w:sz w:val="21"/>
                <w:szCs w:val="21"/>
              </w:rPr>
              <w:t>Reinvest &amp; Build Wealth</w:t>
            </w:r>
          </w:p>
        </w:tc>
        <w:tc>
          <w:tcPr>
            <w:tcW w:w="6320" w:type="dxa"/>
            <w:tcBorders>
              <w:top w:val="nil"/>
              <w:left w:val="nil"/>
              <w:bottom w:val="nil"/>
              <w:right w:val="nil"/>
            </w:tcBorders>
            <w:shd w:val="clear" w:color="auto" w:fill="D6E4F7"/>
            <w:tcMar>
              <w:top w:w="100" w:type="dxa"/>
              <w:left w:w="80" w:type="dxa"/>
              <w:bottom w:w="100" w:type="dxa"/>
              <w:right w:w="120" w:type="dxa"/>
            </w:tcMar>
            <w:vAlign w:val="center"/>
          </w:tcPr>
          <w:p w14:paraId="5EB64058">
            <w:pPr>
              <w:jc w:val="left"/>
              <w:rPr>
                <w:rFonts w:ascii="Arial" w:hAnsi="Arial" w:eastAsia="Arial" w:cs="Arial"/>
                <w:b w:val="0"/>
                <w:bCs w:val="0"/>
                <w:color w:val="0D1F15"/>
                <w:sz w:val="19"/>
                <w:szCs w:val="19"/>
              </w:rPr>
            </w:pPr>
            <w:r>
              <w:rPr>
                <w:rFonts w:ascii="Arial" w:hAnsi="Arial" w:eastAsia="Arial" w:cs="Arial"/>
                <w:b w:val="0"/>
                <w:bCs w:val="0"/>
                <w:color w:val="0D1F15"/>
                <w:sz w:val="19"/>
                <w:szCs w:val="19"/>
              </w:rPr>
              <w:t>Investors can reinvest returns into new assets across different classes, building a diversified portfolio — all from one mobile app.</w:t>
            </w:r>
          </w:p>
        </w:tc>
      </w:tr>
    </w:tbl>
    <w:p w14:paraId="00C6CF5C">
      <w:pPr>
        <w:spacing w:before="80" w:after="0"/>
      </w:pPr>
    </w:p>
    <w:p w14:paraId="2419C2CB">
      <w:pPr>
        <w:pStyle w:val="3"/>
        <w:spacing w:before="240" w:after="80"/>
      </w:pPr>
      <w:r>
        <w:rPr>
          <w:rFonts w:ascii="Arial" w:hAnsi="Arial" w:eastAsia="Arial" w:cs="Arial"/>
          <w:b/>
          <w:bCs/>
          <w:color w:val="0D1F15"/>
          <w:sz w:val="26"/>
          <w:szCs w:val="26"/>
        </w:rPr>
        <w:t>3.2 What Makes OwnIt Different from Other Investment Products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80"/>
        <w:gridCol w:w="1440"/>
        <w:gridCol w:w="1440"/>
        <w:gridCol w:w="2400"/>
      </w:tblGrid>
      <w:tr w14:paraId="238D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B600DF9">
            <w:pPr>
              <w:jc w:val="left"/>
            </w:pPr>
            <w:r>
              <w:rPr>
                <w:rFonts w:ascii="Arial" w:hAnsi="Arial" w:eastAsia="Arial" w:cs="Arial"/>
                <w:b/>
                <w:bCs/>
                <w:color w:val="FFFFFF"/>
                <w:sz w:val="19"/>
                <w:szCs w:val="19"/>
              </w:rPr>
              <w:t>Feature</w:t>
            </w:r>
          </w:p>
        </w:tc>
        <w:tc>
          <w:tcPr>
            <w:tcW w:w="168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3B52C66">
            <w:pPr>
              <w:jc w:val="left"/>
            </w:pPr>
            <w:r>
              <w:rPr>
                <w:rFonts w:ascii="Arial" w:hAnsi="Arial" w:eastAsia="Arial" w:cs="Arial"/>
                <w:b/>
                <w:bCs/>
                <w:color w:val="FFFFFF"/>
                <w:sz w:val="19"/>
                <w:szCs w:val="19"/>
              </w:rPr>
              <w:t>OwnIt Uganda</w:t>
            </w:r>
          </w:p>
        </w:tc>
        <w:tc>
          <w:tcPr>
            <w:tcW w:w="14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002FB5DB">
            <w:pPr>
              <w:jc w:val="left"/>
            </w:pPr>
            <w:r>
              <w:rPr>
                <w:rFonts w:ascii="Arial" w:hAnsi="Arial" w:eastAsia="Arial" w:cs="Arial"/>
                <w:b/>
                <w:bCs/>
                <w:color w:val="FFFFFF"/>
                <w:sz w:val="19"/>
                <w:szCs w:val="19"/>
              </w:rPr>
              <w:t>Unit Trusts</w:t>
            </w:r>
          </w:p>
        </w:tc>
        <w:tc>
          <w:tcPr>
            <w:tcW w:w="14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2F033FE3">
            <w:pPr>
              <w:jc w:val="left"/>
            </w:pPr>
            <w:r>
              <w:rPr>
                <w:rFonts w:ascii="Arial" w:hAnsi="Arial" w:eastAsia="Arial" w:cs="Arial"/>
                <w:b/>
                <w:bCs/>
                <w:color w:val="FFFFFF"/>
                <w:sz w:val="19"/>
                <w:szCs w:val="19"/>
              </w:rPr>
              <w:t>SACCOs</w:t>
            </w:r>
          </w:p>
        </w:tc>
        <w:tc>
          <w:tcPr>
            <w:tcW w:w="24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E7D36EB">
            <w:pPr>
              <w:jc w:val="left"/>
            </w:pPr>
            <w:r>
              <w:rPr>
                <w:rFonts w:ascii="Arial" w:hAnsi="Arial" w:eastAsia="Arial" w:cs="Arial"/>
                <w:b/>
                <w:bCs/>
                <w:color w:val="FFFFFF"/>
                <w:sz w:val="19"/>
                <w:szCs w:val="19"/>
              </w:rPr>
              <w:t>NSSF SmartLife Flexi</w:t>
            </w:r>
          </w:p>
        </w:tc>
      </w:tr>
      <w:tr w14:paraId="60E6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AFBC8A1">
            <w:pPr>
              <w:jc w:val="left"/>
            </w:pPr>
            <w:r>
              <w:rPr>
                <w:rFonts w:ascii="Arial" w:hAnsi="Arial" w:eastAsia="Arial" w:cs="Arial"/>
                <w:b/>
                <w:bCs/>
                <w:color w:val="0D1F15"/>
                <w:sz w:val="19"/>
                <w:szCs w:val="19"/>
              </w:rPr>
              <w:t>Min. entry</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A1637CF">
            <w:pPr>
              <w:jc w:val="left"/>
            </w:pPr>
            <w:r>
              <w:rPr>
                <w:rFonts w:ascii="Arial" w:hAnsi="Arial" w:eastAsia="Arial" w:cs="Arial"/>
                <w:b w:val="0"/>
                <w:bCs w:val="0"/>
                <w:color w:val="0D1F15"/>
                <w:sz w:val="19"/>
                <w:szCs w:val="19"/>
              </w:rPr>
              <w:t>UGX 50,000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D7684B7">
            <w:pPr>
              <w:jc w:val="left"/>
            </w:pPr>
            <w:r>
              <w:rPr>
                <w:rFonts w:ascii="Arial" w:hAnsi="Arial" w:eastAsia="Arial" w:cs="Arial"/>
                <w:b w:val="0"/>
                <w:bCs w:val="0"/>
                <w:color w:val="0D1F15"/>
                <w:sz w:val="19"/>
                <w:szCs w:val="19"/>
              </w:rPr>
              <w:t>UGX 100,000+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6F5E8E5">
            <w:pPr>
              <w:jc w:val="left"/>
            </w:pPr>
            <w:r>
              <w:rPr>
                <w:rFonts w:ascii="Arial" w:hAnsi="Arial" w:eastAsia="Arial" w:cs="Arial"/>
                <w:b w:val="0"/>
                <w:bCs w:val="0"/>
                <w:color w:val="0D1F15"/>
                <w:sz w:val="19"/>
                <w:szCs w:val="19"/>
              </w:rPr>
              <w:t>UGX 20,000</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F3CEE50">
            <w:pPr>
              <w:jc w:val="left"/>
            </w:pPr>
            <w:r>
              <w:rPr>
                <w:rFonts w:ascii="Arial" w:hAnsi="Arial" w:eastAsia="Arial" w:cs="Arial"/>
                <w:b w:val="0"/>
                <w:bCs w:val="0"/>
                <w:color w:val="0D1F15"/>
                <w:sz w:val="19"/>
                <w:szCs w:val="19"/>
              </w:rPr>
              <w:t>UGX 5,000</w:t>
            </w:r>
          </w:p>
        </w:tc>
      </w:tr>
      <w:tr w14:paraId="3E0F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3D1F0665">
            <w:pPr>
              <w:jc w:val="left"/>
            </w:pPr>
            <w:r>
              <w:rPr>
                <w:rFonts w:ascii="Arial" w:hAnsi="Arial" w:eastAsia="Arial" w:cs="Arial"/>
                <w:b/>
                <w:bCs/>
                <w:color w:val="0D1F15"/>
                <w:sz w:val="19"/>
                <w:szCs w:val="19"/>
              </w:rPr>
              <w:t>Asset classes</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70384AA">
            <w:pPr>
              <w:jc w:val="left"/>
            </w:pPr>
            <w:r>
              <w:rPr>
                <w:rFonts w:ascii="Arial" w:hAnsi="Arial" w:eastAsia="Arial" w:cs="Arial"/>
                <w:b w:val="0"/>
                <w:bCs w:val="0"/>
                <w:color w:val="0D1F15"/>
                <w:sz w:val="19"/>
                <w:szCs w:val="19"/>
              </w:rPr>
              <w:t>9 classes</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AD96E69">
            <w:pPr>
              <w:jc w:val="left"/>
            </w:pPr>
            <w:r>
              <w:rPr>
                <w:rFonts w:ascii="Arial" w:hAnsi="Arial" w:eastAsia="Arial" w:cs="Arial"/>
                <w:b w:val="0"/>
                <w:bCs w:val="0"/>
                <w:color w:val="0D1F15"/>
                <w:sz w:val="19"/>
                <w:szCs w:val="19"/>
              </w:rPr>
              <w:t>1–2</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4E69456">
            <w:pPr>
              <w:jc w:val="left"/>
            </w:pPr>
            <w:r>
              <w:rPr>
                <w:rFonts w:ascii="Arial" w:hAnsi="Arial" w:eastAsia="Arial" w:cs="Arial"/>
                <w:b w:val="0"/>
                <w:bCs w:val="0"/>
                <w:color w:val="0D1F15"/>
                <w:sz w:val="19"/>
                <w:szCs w:val="19"/>
              </w:rPr>
              <w:t>Savings only</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3EE14AC">
            <w:pPr>
              <w:jc w:val="left"/>
            </w:pPr>
            <w:r>
              <w:rPr>
                <w:rFonts w:ascii="Arial" w:hAnsi="Arial" w:eastAsia="Arial" w:cs="Arial"/>
                <w:b w:val="0"/>
                <w:bCs w:val="0"/>
                <w:color w:val="0D1F15"/>
                <w:sz w:val="19"/>
                <w:szCs w:val="19"/>
              </w:rPr>
              <w:t>1 (savings plan)</w:t>
            </w:r>
          </w:p>
        </w:tc>
      </w:tr>
      <w:tr w14:paraId="3C90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68F6D1D8">
            <w:pPr>
              <w:jc w:val="left"/>
            </w:pPr>
            <w:r>
              <w:rPr>
                <w:rFonts w:ascii="Arial" w:hAnsi="Arial" w:eastAsia="Arial" w:cs="Arial"/>
                <w:b/>
                <w:bCs/>
                <w:color w:val="0D1F15"/>
                <w:sz w:val="19"/>
                <w:szCs w:val="19"/>
              </w:rPr>
              <w:t>Payout speed</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89FC698">
            <w:pPr>
              <w:jc w:val="left"/>
            </w:pPr>
            <w:r>
              <w:rPr>
                <w:rFonts w:ascii="Arial" w:hAnsi="Arial" w:eastAsia="Arial" w:cs="Arial"/>
                <w:b w:val="0"/>
                <w:bCs w:val="0"/>
                <w:color w:val="0D1F15"/>
                <w:sz w:val="19"/>
                <w:szCs w:val="19"/>
              </w:rPr>
              <w:t>30–365 days</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EFDBD87">
            <w:pPr>
              <w:jc w:val="left"/>
            </w:pPr>
            <w:r>
              <w:rPr>
                <w:rFonts w:ascii="Arial" w:hAnsi="Arial" w:eastAsia="Arial" w:cs="Arial"/>
                <w:b w:val="0"/>
                <w:bCs w:val="0"/>
                <w:color w:val="0D1F15"/>
                <w:sz w:val="19"/>
                <w:szCs w:val="19"/>
              </w:rPr>
              <w:t>Quarterly</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13CB673">
            <w:pPr>
              <w:jc w:val="left"/>
            </w:pPr>
            <w:r>
              <w:rPr>
                <w:rFonts w:ascii="Arial" w:hAnsi="Arial" w:eastAsia="Arial" w:cs="Arial"/>
                <w:b w:val="0"/>
                <w:bCs w:val="0"/>
                <w:color w:val="0D1F15"/>
                <w:sz w:val="19"/>
                <w:szCs w:val="19"/>
              </w:rPr>
              <w:t>Annual</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4BB3163">
            <w:pPr>
              <w:jc w:val="left"/>
            </w:pPr>
            <w:r>
              <w:rPr>
                <w:rFonts w:ascii="Arial" w:hAnsi="Arial" w:eastAsia="Arial" w:cs="Arial"/>
                <w:b w:val="0"/>
                <w:bCs w:val="0"/>
                <w:color w:val="0D1F15"/>
                <w:sz w:val="19"/>
                <w:szCs w:val="19"/>
              </w:rPr>
              <w:t>Min. 1 year</w:t>
            </w:r>
          </w:p>
        </w:tc>
      </w:tr>
      <w:tr w14:paraId="4A38F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07A52D04">
            <w:pPr>
              <w:jc w:val="left"/>
            </w:pPr>
            <w:r>
              <w:rPr>
                <w:rFonts w:ascii="Arial" w:hAnsi="Arial" w:eastAsia="Arial" w:cs="Arial"/>
                <w:b/>
                <w:bCs/>
                <w:color w:val="0D1F15"/>
                <w:sz w:val="19"/>
                <w:szCs w:val="19"/>
              </w:rPr>
              <w:t>Mobile-first</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E6F5F54">
            <w:pPr>
              <w:jc w:val="left"/>
            </w:pPr>
            <w:r>
              <w:rPr>
                <w:rFonts w:ascii="Arial" w:hAnsi="Arial" w:eastAsia="Arial" w:cs="Arial"/>
                <w:b w:val="0"/>
                <w:bCs w:val="0"/>
                <w:color w:val="0D1F15"/>
                <w:sz w:val="19"/>
                <w:szCs w:val="19"/>
              </w:rPr>
              <w:t>Yes (MTN/Airtel)</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3B439FB">
            <w:pPr>
              <w:jc w:val="left"/>
            </w:pPr>
            <w:r>
              <w:rPr>
                <w:rFonts w:ascii="Arial" w:hAnsi="Arial" w:eastAsia="Arial" w:cs="Arial"/>
                <w:b w:val="0"/>
                <w:bCs w:val="0"/>
                <w:color w:val="0D1F15"/>
                <w:sz w:val="19"/>
                <w:szCs w:val="19"/>
              </w:rPr>
              <w:t>Partial</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0CFA3B4">
            <w:pPr>
              <w:jc w:val="left"/>
            </w:pPr>
            <w:r>
              <w:rPr>
                <w:rFonts w:ascii="Arial" w:hAnsi="Arial" w:eastAsia="Arial" w:cs="Arial"/>
                <w:b w:val="0"/>
                <w:bCs w:val="0"/>
                <w:color w:val="0D1F15"/>
                <w:sz w:val="19"/>
                <w:szCs w:val="19"/>
              </w:rPr>
              <w:t>No</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6059D6A">
            <w:pPr>
              <w:jc w:val="left"/>
            </w:pPr>
            <w:r>
              <w:rPr>
                <w:rFonts w:ascii="Arial" w:hAnsi="Arial" w:eastAsia="Arial" w:cs="Arial"/>
                <w:b w:val="0"/>
                <w:bCs w:val="0"/>
                <w:color w:val="0D1F15"/>
                <w:sz w:val="19"/>
                <w:szCs w:val="19"/>
              </w:rPr>
              <w:t>Yes (NSSFGO)</w:t>
            </w:r>
          </w:p>
        </w:tc>
      </w:tr>
      <w:tr w14:paraId="3886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6EC3813">
            <w:pPr>
              <w:jc w:val="left"/>
            </w:pPr>
            <w:r>
              <w:rPr>
                <w:rFonts w:ascii="Arial" w:hAnsi="Arial" w:eastAsia="Arial" w:cs="Arial"/>
                <w:b/>
                <w:bCs/>
                <w:color w:val="0D1F15"/>
                <w:sz w:val="19"/>
                <w:szCs w:val="19"/>
              </w:rPr>
              <w:t>Employer needed</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C71D033">
            <w:pPr>
              <w:jc w:val="left"/>
            </w:pPr>
            <w:r>
              <w:rPr>
                <w:rFonts w:ascii="Arial" w:hAnsi="Arial" w:eastAsia="Arial" w:cs="Arial"/>
                <w:b w:val="0"/>
                <w:bCs w:val="0"/>
                <w:color w:val="0D1F15"/>
                <w:sz w:val="19"/>
                <w:szCs w:val="19"/>
              </w:rPr>
              <w:t>No</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1E0F67F">
            <w:pPr>
              <w:jc w:val="left"/>
            </w:pPr>
            <w:r>
              <w:rPr>
                <w:rFonts w:ascii="Arial" w:hAnsi="Arial" w:eastAsia="Arial" w:cs="Arial"/>
                <w:b w:val="0"/>
                <w:bCs w:val="0"/>
                <w:color w:val="0D1F15"/>
                <w:sz w:val="19"/>
                <w:szCs w:val="19"/>
              </w:rPr>
              <w:t>No</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0F96D94">
            <w:pPr>
              <w:jc w:val="left"/>
            </w:pPr>
            <w:r>
              <w:rPr>
                <w:rFonts w:ascii="Arial" w:hAnsi="Arial" w:eastAsia="Arial" w:cs="Arial"/>
                <w:b w:val="0"/>
                <w:bCs w:val="0"/>
                <w:color w:val="0D1F15"/>
                <w:sz w:val="19"/>
                <w:szCs w:val="19"/>
              </w:rPr>
              <w:t>Group only</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EB46858">
            <w:pPr>
              <w:jc w:val="left"/>
            </w:pPr>
            <w:r>
              <w:rPr>
                <w:rFonts w:ascii="Arial" w:hAnsi="Arial" w:eastAsia="Arial" w:cs="Arial"/>
                <w:b w:val="0"/>
                <w:bCs w:val="0"/>
                <w:color w:val="0D1F15"/>
                <w:sz w:val="19"/>
                <w:szCs w:val="19"/>
              </w:rPr>
              <w:t>No</w:t>
            </w:r>
          </w:p>
        </w:tc>
      </w:tr>
      <w:tr w14:paraId="6777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67EDD42D">
            <w:pPr>
              <w:jc w:val="left"/>
            </w:pPr>
            <w:r>
              <w:rPr>
                <w:rFonts w:ascii="Arial" w:hAnsi="Arial" w:eastAsia="Arial" w:cs="Arial"/>
                <w:b/>
                <w:bCs/>
                <w:color w:val="0D1F15"/>
                <w:sz w:val="19"/>
                <w:szCs w:val="19"/>
              </w:rPr>
              <w:t>Near-term returns</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271A475">
            <w:pPr>
              <w:jc w:val="left"/>
            </w:pPr>
            <w:r>
              <w:rPr>
                <w:rFonts w:ascii="Arial" w:hAnsi="Arial" w:eastAsia="Arial" w:cs="Arial"/>
                <w:b w:val="0"/>
                <w:bCs w:val="0"/>
                <w:color w:val="0D1F15"/>
                <w:sz w:val="19"/>
                <w:szCs w:val="19"/>
              </w:rPr>
              <w:t>Yes (30–90 days)</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230958F">
            <w:pPr>
              <w:jc w:val="left"/>
            </w:pPr>
            <w:r>
              <w:rPr>
                <w:rFonts w:ascii="Arial" w:hAnsi="Arial" w:eastAsia="Arial" w:cs="Arial"/>
                <w:b w:val="0"/>
                <w:bCs w:val="0"/>
                <w:color w:val="0D1F15"/>
                <w:sz w:val="19"/>
                <w:szCs w:val="19"/>
              </w:rPr>
              <w:t>Limited</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3090570">
            <w:pPr>
              <w:jc w:val="left"/>
            </w:pPr>
            <w:r>
              <w:rPr>
                <w:rFonts w:ascii="Arial" w:hAnsi="Arial" w:eastAsia="Arial" w:cs="Arial"/>
                <w:b w:val="0"/>
                <w:bCs w:val="0"/>
                <w:color w:val="0D1F15"/>
                <w:sz w:val="19"/>
                <w:szCs w:val="19"/>
              </w:rPr>
              <w:t>No</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86DCA07">
            <w:pPr>
              <w:jc w:val="left"/>
            </w:pPr>
            <w:r>
              <w:rPr>
                <w:rFonts w:ascii="Arial" w:hAnsi="Arial" w:eastAsia="Arial" w:cs="Arial"/>
                <w:b w:val="0"/>
                <w:bCs w:val="0"/>
                <w:color w:val="0D1F15"/>
                <w:sz w:val="19"/>
                <w:szCs w:val="19"/>
              </w:rPr>
              <w:t>Monthly interest</w:t>
            </w:r>
          </w:p>
        </w:tc>
      </w:tr>
      <w:tr w14:paraId="4DDB5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CE24151">
            <w:pPr>
              <w:jc w:val="left"/>
            </w:pPr>
            <w:r>
              <w:rPr>
                <w:rFonts w:ascii="Arial" w:hAnsi="Arial" w:eastAsia="Arial" w:cs="Arial"/>
                <w:b/>
                <w:bCs/>
                <w:color w:val="0D1F15"/>
                <w:sz w:val="19"/>
                <w:szCs w:val="19"/>
              </w:rPr>
              <w:t>SmartLife integration</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B70100C">
            <w:pPr>
              <w:jc w:val="left"/>
            </w:pPr>
            <w:r>
              <w:rPr>
                <w:rFonts w:ascii="Arial" w:hAnsi="Arial" w:eastAsia="Arial" w:cs="Arial"/>
                <w:b w:val="0"/>
                <w:bCs w:val="0"/>
                <w:color w:val="0D1F15"/>
                <w:sz w:val="19"/>
                <w:szCs w:val="19"/>
              </w:rPr>
              <w:t>YES — built-in</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9A2E8EE">
            <w:pPr>
              <w:jc w:val="left"/>
            </w:pPr>
            <w:r>
              <w:rPr>
                <w:rFonts w:ascii="Arial" w:hAnsi="Arial" w:eastAsia="Arial" w:cs="Arial"/>
                <w:b w:val="0"/>
                <w:bCs w:val="0"/>
                <w:color w:val="0D1F15"/>
                <w:sz w:val="19"/>
                <w:szCs w:val="19"/>
              </w:rPr>
              <w:t>No</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EB7391E">
            <w:pPr>
              <w:jc w:val="left"/>
            </w:pPr>
            <w:r>
              <w:rPr>
                <w:rFonts w:ascii="Arial" w:hAnsi="Arial" w:eastAsia="Arial" w:cs="Arial"/>
                <w:b w:val="0"/>
                <w:bCs w:val="0"/>
                <w:color w:val="0D1F15"/>
                <w:sz w:val="19"/>
                <w:szCs w:val="19"/>
              </w:rPr>
              <w:t>No</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A585E5A">
            <w:pPr>
              <w:jc w:val="left"/>
            </w:pPr>
            <w:r>
              <w:rPr>
                <w:rFonts w:ascii="Arial" w:hAnsi="Arial" w:eastAsia="Arial" w:cs="Arial"/>
                <w:b w:val="0"/>
                <w:bCs w:val="0"/>
                <w:color w:val="0D1F15"/>
                <w:sz w:val="19"/>
                <w:szCs w:val="19"/>
              </w:rPr>
              <w:t>N/A</w:t>
            </w:r>
          </w:p>
        </w:tc>
      </w:tr>
      <w:tr w14:paraId="4E89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6ED35E8D">
            <w:pPr>
              <w:jc w:val="left"/>
              <w:rPr>
                <w:rFonts w:ascii="Arial" w:hAnsi="Arial" w:eastAsia="Arial" w:cs="Arial"/>
                <w:b/>
                <w:bCs/>
                <w:color w:val="0D1F15"/>
                <w:sz w:val="19"/>
                <w:szCs w:val="19"/>
              </w:rPr>
            </w:pPr>
            <w:r>
              <w:rPr>
                <w:rFonts w:ascii="Arial" w:hAnsi="Arial" w:eastAsia="Arial" w:cs="Arial"/>
                <w:b/>
                <w:bCs/>
                <w:color w:val="0D1F15"/>
                <w:sz w:val="19"/>
                <w:szCs w:val="19"/>
              </w:rPr>
              <w:t>NSSF auto-enroll</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893710B">
            <w:pPr>
              <w:jc w:val="left"/>
              <w:rPr>
                <w:rFonts w:ascii="Arial" w:hAnsi="Arial" w:eastAsia="Arial" w:cs="Arial"/>
                <w:b w:val="0"/>
                <w:bCs w:val="0"/>
                <w:color w:val="0D1F15"/>
                <w:sz w:val="19"/>
                <w:szCs w:val="19"/>
              </w:rPr>
            </w:pPr>
            <w:r>
              <w:rPr>
                <w:rFonts w:ascii="Arial" w:hAnsi="Arial" w:eastAsia="Arial" w:cs="Arial"/>
                <w:b w:val="0"/>
                <w:bCs w:val="0"/>
                <w:color w:val="0D1F15"/>
                <w:sz w:val="19"/>
                <w:szCs w:val="19"/>
              </w:rPr>
              <w:t>Yes</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2E35AC5">
            <w:pPr>
              <w:jc w:val="left"/>
              <w:rPr>
                <w:rFonts w:ascii="Arial" w:hAnsi="Arial" w:eastAsia="Arial" w:cs="Arial"/>
                <w:b w:val="0"/>
                <w:bCs w:val="0"/>
                <w:color w:val="0D1F15"/>
                <w:sz w:val="19"/>
                <w:szCs w:val="19"/>
              </w:rPr>
            </w:pPr>
            <w:r>
              <w:rPr>
                <w:rFonts w:ascii="Arial" w:hAnsi="Arial" w:eastAsia="Arial" w:cs="Arial"/>
                <w:b w:val="0"/>
                <w:bCs w:val="0"/>
                <w:color w:val="0D1F15"/>
                <w:sz w:val="19"/>
                <w:szCs w:val="19"/>
              </w:rPr>
              <w:t>No</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856A197">
            <w:pPr>
              <w:jc w:val="left"/>
              <w:rPr>
                <w:rFonts w:ascii="Arial" w:hAnsi="Arial" w:eastAsia="Arial" w:cs="Arial"/>
                <w:b w:val="0"/>
                <w:bCs w:val="0"/>
                <w:color w:val="0D1F15"/>
                <w:sz w:val="19"/>
                <w:szCs w:val="19"/>
              </w:rPr>
            </w:pPr>
            <w:r>
              <w:rPr>
                <w:rFonts w:ascii="Arial" w:hAnsi="Arial" w:eastAsia="Arial" w:cs="Arial"/>
                <w:b w:val="0"/>
                <w:bCs w:val="0"/>
                <w:color w:val="0D1F15"/>
                <w:sz w:val="19"/>
                <w:szCs w:val="19"/>
              </w:rPr>
              <w:t>No</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F7D5C92">
            <w:pPr>
              <w:jc w:val="left"/>
              <w:rPr>
                <w:rFonts w:ascii="Arial" w:hAnsi="Arial" w:eastAsia="Arial" w:cs="Arial"/>
                <w:b w:val="0"/>
                <w:bCs w:val="0"/>
                <w:color w:val="0D1F15"/>
                <w:sz w:val="19"/>
                <w:szCs w:val="19"/>
              </w:rPr>
            </w:pPr>
            <w:r>
              <w:rPr>
                <w:rFonts w:ascii="Arial" w:hAnsi="Arial" w:eastAsia="Arial" w:cs="Arial"/>
                <w:b w:val="0"/>
                <w:bCs w:val="0"/>
                <w:color w:val="0D1F15"/>
                <w:sz w:val="19"/>
                <w:szCs w:val="19"/>
              </w:rPr>
              <w:t>Yes (direct)</w:t>
            </w:r>
          </w:p>
        </w:tc>
      </w:tr>
    </w:tbl>
    <w:p w14:paraId="7ACF7AE8">
      <w:r>
        <w:br w:type="page"/>
      </w:r>
    </w:p>
    <w:p w14:paraId="1F588E73">
      <w:pPr>
        <w:pStyle w:val="2"/>
        <w:spacing w:before="360" w:after="120"/>
      </w:pPr>
      <w:r>
        <w:rPr>
          <w:rFonts w:ascii="Arial" w:hAnsi="Arial" w:eastAsia="Arial" w:cs="Arial"/>
          <w:b/>
          <w:bCs/>
          <w:color w:val="1A7A45"/>
          <w:sz w:val="32"/>
          <w:szCs w:val="32"/>
        </w:rPr>
        <w:t>4. The Nine Asset Classes</w:t>
      </w:r>
    </w:p>
    <w:p w14:paraId="39B58568">
      <w:pPr>
        <w:pBdr>
          <w:bottom w:val="single" w:color="1A7A45" w:sz="12" w:space="1"/>
        </w:pBdr>
        <w:spacing w:before="60" w:after="60"/>
      </w:pPr>
    </w:p>
    <w:p w14:paraId="71002FC5">
      <w:pPr>
        <w:spacing w:before="60" w:after="80"/>
        <w:jc w:val="left"/>
        <w:rPr>
          <w:rFonts w:ascii="Arial" w:hAnsi="Arial" w:eastAsia="Arial" w:cs="Arial"/>
          <w:color w:val="0D1F15"/>
        </w:rPr>
      </w:pPr>
      <w:r>
        <w:rPr>
          <w:rFonts w:ascii="Arial" w:hAnsi="Arial" w:eastAsia="Arial" w:cs="Arial"/>
          <w:b w:val="0"/>
          <w:bCs w:val="0"/>
          <w:color w:val="0D1F15"/>
          <w:sz w:val="22"/>
          <w:szCs w:val="22"/>
        </w:rPr>
        <w:t>OwnIt Uganda’s competitive moat is the breadth of its asset marketplace. Each asset class is independently structured with its own Lister partner type, return profile, payout mechanism, and risk disclosure. Together, they give investors the ability to build diversified, multi-class portfolios directly from their mobile phone.</w:t>
      </w:r>
    </w:p>
    <w:p w14:paraId="56AE6C66">
      <w:pPr>
        <w:spacing w:before="80" w:after="0"/>
      </w:pPr>
    </w:p>
    <w:p w14:paraId="14598CCD">
      <w:pPr>
        <w:spacing w:before="180" w:after="60"/>
      </w:pPr>
      <w:r>
        <w:rPr>
          <w:rFonts w:ascii="Arial" w:hAnsi="Arial" w:eastAsia="Arial" w:cs="Arial"/>
          <w:b/>
          <w:bCs/>
          <w:color w:val="1A7A45"/>
          <w:sz w:val="23"/>
          <w:szCs w:val="23"/>
        </w:rPr>
        <w:t>4.1  Real Estate — Rental Income &amp; Construction Projects</w:t>
      </w:r>
    </w:p>
    <w:p w14:paraId="561EAEB8">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45DE2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1A7A45"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61"/>
              <w:gridCol w:w="4399"/>
            </w:tblGrid>
            <w:tr w14:paraId="6BAA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4399" w:type="dxa"/>
              </w:trPr>
              <w:tc>
                <w:tcPr>
                  <w:tcW w:w="9360" w:type="dxa"/>
                  <w:tcBorders>
                    <w:top w:val="nil"/>
                    <w:left w:val="nil"/>
                    <w:bottom w:val="nil"/>
                    <w:right w:val="nil"/>
                  </w:tcBorders>
                  <w:shd w:val="clear" w:color="auto" w:fill="1A7A45"/>
                  <w:tcMar>
                    <w:top w:w="100" w:type="dxa"/>
                    <w:left w:w="160" w:type="dxa"/>
                    <w:bottom w:w="100" w:type="dxa"/>
                    <w:right w:w="160" w:type="dxa"/>
                  </w:tcMar>
                </w:tcPr>
                <w:p w14:paraId="4F2FAE75">
                  <w:r>
                    <w:rPr>
                      <w:rFonts w:ascii="Arial" w:hAnsi="Arial" w:eastAsia="Arial" w:cs="Arial"/>
                      <w:b/>
                      <w:bCs/>
                      <w:color w:val="FFFFFF"/>
                      <w:sz w:val="24"/>
                      <w:szCs w:val="24"/>
                    </w:rPr>
                    <w:t>🏢  Real Estate</w:t>
                  </w:r>
                </w:p>
              </w:tc>
            </w:tr>
            <w:tr w14:paraId="2F6D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4E018B5C">
                  <w:r>
                    <w:rPr>
                      <w:rFonts w:ascii="Arial" w:hAnsi="Arial" w:eastAsia="Arial" w:cs="Arial"/>
                      <w:b/>
                      <w:bCs/>
                      <w:color w:val="5A6B5E"/>
                      <w:sz w:val="19"/>
                      <w:szCs w:val="19"/>
                    </w:rPr>
                    <w:t>Includes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2D56203E">
                  <w:r>
                    <w:rPr>
                      <w:rFonts w:ascii="Arial" w:hAnsi="Arial" w:eastAsia="Arial" w:cs="Arial"/>
                      <w:color w:val="0D1F15"/>
                      <w:sz w:val="19"/>
                      <w:szCs w:val="19"/>
                    </w:rPr>
                    <w:t>Completed rental properties (apartments, commercial spaces, retail units); construction/development projects funded via crowd capital.</w:t>
                  </w:r>
                </w:p>
              </w:tc>
            </w:tr>
            <w:tr w14:paraId="56D2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532F757">
                  <w:r>
                    <w:rPr>
                      <w:rFonts w:ascii="Arial" w:hAnsi="Arial" w:eastAsia="Arial" w:cs="Arial"/>
                      <w:b/>
                      <w:bCs/>
                      <w:color w:val="5A6B5E"/>
                      <w:sz w:val="19"/>
                      <w:szCs w:val="19"/>
                    </w:rPr>
                    <w:t>Listers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75E8AF3A">
                  <w:r>
                    <w:rPr>
                      <w:rFonts w:ascii="Arial" w:hAnsi="Arial" w:eastAsia="Arial" w:cs="Arial"/>
                      <w:color w:val="0D1F15"/>
                      <w:sz w:val="19"/>
                      <w:szCs w:val="19"/>
                    </w:rPr>
                    <w:t>Individual property owners, real estate developers, property management companies registered with Uganda’s Ministry of Lands.</w:t>
                  </w:r>
                </w:p>
              </w:tc>
            </w:tr>
            <w:tr w14:paraId="3AFE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4B8E1BB3">
                  <w:r>
                    <w:rPr>
                      <w:rFonts w:ascii="Arial" w:hAnsi="Arial" w:eastAsia="Arial" w:cs="Arial"/>
                      <w:b/>
                      <w:bCs/>
                      <w:color w:val="5A6B5E"/>
                      <w:sz w:val="19"/>
                      <w:szCs w:val="19"/>
                    </w:rPr>
                    <w:t>Crowd Model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40CE1D09">
                  <w:r>
                    <w:rPr>
                      <w:rFonts w:ascii="Arial" w:hAnsi="Arial" w:eastAsia="Arial" w:cs="Arial"/>
                      <w:color w:val="0D1F15"/>
                      <w:sz w:val="19"/>
                      <w:szCs w:val="19"/>
                    </w:rPr>
                    <w:t>Investors fund fractional ownership of rental units or co-finance construction. Rental income distributed monthly; construction profit on completion.</w:t>
                  </w:r>
                </w:p>
              </w:tc>
            </w:tr>
            <w:tr w14:paraId="35C7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8ED6F9E">
                  <w:r>
                    <w:rPr>
                      <w:rFonts w:ascii="Arial" w:hAnsi="Arial" w:eastAsia="Arial" w:cs="Arial"/>
                      <w:b/>
                      <w:bCs/>
                      <w:color w:val="5A6B5E"/>
                      <w:sz w:val="19"/>
                      <w:szCs w:val="19"/>
                    </w:rPr>
                    <w:t>Return</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19319B90">
                  <w:r>
                    <w:rPr>
                      <w:rFonts w:ascii="Arial" w:hAnsi="Arial" w:eastAsia="Arial" w:cs="Arial"/>
                      <w:color w:val="0D1F15"/>
                      <w:sz w:val="19"/>
                      <w:szCs w:val="19"/>
                    </w:rPr>
                    <w:t>Rental: 10–16% p.a. | Construction: 20–35% total project return.</w:t>
                  </w:r>
                </w:p>
              </w:tc>
            </w:tr>
            <w:tr w14:paraId="3153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78BDD3D6">
                  <w:r>
                    <w:rPr>
                      <w:rFonts w:ascii="Arial" w:hAnsi="Arial" w:eastAsia="Arial" w:cs="Arial"/>
                      <w:b/>
                      <w:bCs/>
                      <w:color w:val="5A6B5E"/>
                      <w:sz w:val="19"/>
                      <w:szCs w:val="19"/>
                    </w:rPr>
                    <w:t>Payout Period</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609A5139">
                  <w:r>
                    <w:rPr>
                      <w:rFonts w:ascii="Arial" w:hAnsi="Arial" w:eastAsia="Arial" w:cs="Arial"/>
                      <w:color w:val="0D1F15"/>
                      <w:sz w:val="19"/>
                      <w:szCs w:val="19"/>
                    </w:rPr>
                    <w:t>Monthly (rental income) | 12–24 months (construction completion).</w:t>
                  </w:r>
                </w:p>
              </w:tc>
            </w:tr>
            <w:tr w14:paraId="6D99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4B142BE7">
                  <w:r>
                    <w:rPr>
                      <w:rFonts w:ascii="Arial" w:hAnsi="Arial" w:eastAsia="Arial" w:cs="Arial"/>
                      <w:b/>
                      <w:bCs/>
                      <w:color w:val="5A6B5E"/>
                      <w:sz w:val="19"/>
                      <w:szCs w:val="19"/>
                    </w:rPr>
                    <w:t>Risk Level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7A0BA53E">
                  <w:r>
                    <w:rPr>
                      <w:rFonts w:ascii="Arial" w:hAnsi="Arial" w:eastAsia="Arial" w:cs="Arial"/>
                      <w:color w:val="0D1F15"/>
                      <w:sz w:val="19"/>
                      <w:szCs w:val="19"/>
                    </w:rPr>
                    <w:t>Low–Medium | Backed by physical asset; title deed and permits verified before listing.</w:t>
                  </w:r>
                </w:p>
              </w:tc>
            </w:tr>
          </w:tbl>
          <w:p w14:paraId="353C5DAD"/>
        </w:tc>
      </w:tr>
    </w:tbl>
    <w:p w14:paraId="28416DE2">
      <w:pPr>
        <w:spacing w:before="80" w:after="0"/>
      </w:pPr>
    </w:p>
    <w:p w14:paraId="2DD90484">
      <w:pPr>
        <w:spacing w:before="180" w:after="60"/>
      </w:pPr>
      <w:r>
        <w:rPr>
          <w:rFonts w:ascii="Arial" w:hAnsi="Arial" w:eastAsia="Arial" w:cs="Arial"/>
          <w:b/>
          <w:bCs/>
          <w:color w:val="C17F00"/>
          <w:sz w:val="23"/>
          <w:szCs w:val="23"/>
        </w:rPr>
        <w:t>4.2  Petroleum, Energy &amp; Oil Options</w:t>
      </w:r>
    </w:p>
    <w:p w14:paraId="4A618674">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39E4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17F00"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85"/>
              <w:gridCol w:w="3975"/>
            </w:tblGrid>
            <w:tr w14:paraId="6799A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3975" w:type="dxa"/>
              </w:trPr>
              <w:tc>
                <w:tcPr>
                  <w:tcW w:w="9360" w:type="dxa"/>
                  <w:tcBorders>
                    <w:top w:val="nil"/>
                    <w:left w:val="nil"/>
                    <w:bottom w:val="nil"/>
                    <w:right w:val="nil"/>
                  </w:tcBorders>
                  <w:shd w:val="clear" w:color="auto" w:fill="C17F00"/>
                  <w:tcMar>
                    <w:top w:w="100" w:type="dxa"/>
                    <w:left w:w="160" w:type="dxa"/>
                    <w:bottom w:w="100" w:type="dxa"/>
                    <w:right w:w="160" w:type="dxa"/>
                  </w:tcMar>
                </w:tcPr>
                <w:p w14:paraId="2BB5F270">
                  <w:r>
                    <w:rPr>
                      <w:rFonts w:ascii="Arial" w:hAnsi="Arial" w:eastAsia="Arial" w:cs="Arial"/>
                      <w:b/>
                      <w:bCs/>
                      <w:color w:val="FFFFFF"/>
                      <w:sz w:val="24"/>
                      <w:szCs w:val="24"/>
                    </w:rPr>
                    <w:t>🛢️  Petroleum, Energy &amp; Oil Options</w:t>
                  </w:r>
                </w:p>
              </w:tc>
            </w:tr>
            <w:tr w14:paraId="793C6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07FF069E">
                  <w:r>
                    <w:rPr>
                      <w:rFonts w:ascii="Arial" w:hAnsi="Arial" w:eastAsia="Arial" w:cs="Arial"/>
                      <w:b/>
                      <w:bCs/>
                      <w:color w:val="5A6B5E"/>
                      <w:sz w:val="19"/>
                      <w:szCs w:val="19"/>
                    </w:rPr>
                    <w:t>Includes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7E287E93">
                  <w:r>
                    <w:rPr>
                      <w:rFonts w:ascii="Arial" w:hAnsi="Arial" w:eastAsia="Arial" w:cs="Arial"/>
                      <w:color w:val="0D1F15"/>
                      <w:sz w:val="19"/>
                      <w:szCs w:val="19"/>
                    </w:rPr>
                    <w:t>Fuel tanker consignments (petrol, diesel, kerosene, heavy fuel oil); LPG batches; lubricants; oil option contracts; solar energy project financing.</w:t>
                  </w:r>
                </w:p>
              </w:tc>
            </w:tr>
            <w:tr w14:paraId="74D8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58E3619D">
                  <w:r>
                    <w:rPr>
                      <w:rFonts w:ascii="Arial" w:hAnsi="Arial" w:eastAsia="Arial" w:cs="Arial"/>
                      <w:b/>
                      <w:bCs/>
                      <w:color w:val="5A6B5E"/>
                      <w:sz w:val="19"/>
                      <w:szCs w:val="19"/>
                    </w:rPr>
                    <w:t>Listers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78311027">
                  <w:r>
                    <w:rPr>
                      <w:rFonts w:ascii="Arial" w:hAnsi="Arial" w:eastAsia="Arial" w:cs="Arial"/>
                      <w:color w:val="0D1F15"/>
                      <w:sz w:val="19"/>
                      <w:szCs w:val="19"/>
                    </w:rPr>
                    <w:t>Licensed petroleum importers and distributors vetted by the Petroleum Authority of Uganda (PAU).</w:t>
                  </w:r>
                </w:p>
              </w:tc>
            </w:tr>
            <w:tr w14:paraId="5F9E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226225C1">
                  <w:r>
                    <w:rPr>
                      <w:rFonts w:ascii="Arial" w:hAnsi="Arial" w:eastAsia="Arial" w:cs="Arial"/>
                      <w:b/>
                      <w:bCs/>
                      <w:color w:val="5A6B5E"/>
                      <w:sz w:val="19"/>
                      <w:szCs w:val="19"/>
                    </w:rPr>
                    <w:t>Crowd Model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58FFA07E">
                  <w:r>
                    <w:rPr>
                      <w:rFonts w:ascii="Arial" w:hAnsi="Arial" w:eastAsia="Arial" w:cs="Arial"/>
                      <w:color w:val="0D1F15"/>
                      <w:sz w:val="19"/>
                      <w:szCs w:val="19"/>
                    </w:rPr>
                    <w:t>Investors fund a consignment purchase (e.g. 30,000 litres of diesel). Lister distributes the fuel to existing clients and returns principal + margin to investors.</w:t>
                  </w:r>
                </w:p>
              </w:tc>
            </w:tr>
            <w:tr w14:paraId="5673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7DD10F48">
                  <w:r>
                    <w:rPr>
                      <w:rFonts w:ascii="Arial" w:hAnsi="Arial" w:eastAsia="Arial" w:cs="Arial"/>
                      <w:b/>
                      <w:bCs/>
                      <w:color w:val="5A6B5E"/>
                      <w:sz w:val="19"/>
                      <w:szCs w:val="19"/>
                    </w:rPr>
                    <w:t>Return</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408477D0">
                  <w:r>
                    <w:rPr>
                      <w:rFonts w:ascii="Arial" w:hAnsi="Arial" w:eastAsia="Arial" w:cs="Arial"/>
                      <w:color w:val="0D1F15"/>
                      <w:sz w:val="19"/>
                      <w:szCs w:val="19"/>
                    </w:rPr>
                    <w:t>Physical consignment: 8–22% per cycle | Oil options: 10–40% depending on contract duration.</w:t>
                  </w:r>
                </w:p>
              </w:tc>
            </w:tr>
            <w:tr w14:paraId="027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210AA7BC">
                  <w:r>
                    <w:rPr>
                      <w:rFonts w:ascii="Arial" w:hAnsi="Arial" w:eastAsia="Arial" w:cs="Arial"/>
                      <w:b/>
                      <w:bCs/>
                      <w:color w:val="5A6B5E"/>
                      <w:sz w:val="19"/>
                      <w:szCs w:val="19"/>
                    </w:rPr>
                    <w:t>Payout Period</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4F2EF0EC">
                  <w:r>
                    <w:rPr>
                      <w:rFonts w:ascii="Arial" w:hAnsi="Arial" w:eastAsia="Arial" w:cs="Arial"/>
                      <w:color w:val="0D1F15"/>
                      <w:sz w:val="19"/>
                      <w:szCs w:val="19"/>
                    </w:rPr>
                    <w:t>30–90 days per physical cycle | 7–60 days for option contracts.</w:t>
                  </w:r>
                </w:p>
              </w:tc>
            </w:tr>
            <w:tr w14:paraId="6A82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4E1CBE96">
                  <w:r>
                    <w:rPr>
                      <w:rFonts w:ascii="Arial" w:hAnsi="Arial" w:eastAsia="Arial" w:cs="Arial"/>
                      <w:b/>
                      <w:bCs/>
                      <w:color w:val="5A6B5E"/>
                      <w:sz w:val="19"/>
                      <w:szCs w:val="19"/>
                    </w:rPr>
                    <w:t>Risk Level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08AAA549">
                  <w:r>
                    <w:rPr>
                      <w:rFonts w:ascii="Arial" w:hAnsi="Arial" w:eastAsia="Arial" w:cs="Arial"/>
                      <w:color w:val="0D1F15"/>
                      <w:sz w:val="19"/>
                      <w:szCs w:val="19"/>
                    </w:rPr>
                    <w:t>Medium | Price volatility managed via short-cycle design; licensed Lister requirement mitigates counterparty risk.</w:t>
                  </w:r>
                </w:p>
              </w:tc>
            </w:tr>
          </w:tbl>
          <w:p w14:paraId="058AC597"/>
        </w:tc>
      </w:tr>
    </w:tbl>
    <w:p w14:paraId="0C184FFB">
      <w:pPr>
        <w:spacing w:before="80" w:after="0"/>
      </w:pPr>
    </w:p>
    <w:p w14:paraId="3487810D">
      <w:pPr>
        <w:spacing w:before="180" w:after="60"/>
      </w:pPr>
      <w:r>
        <w:rPr>
          <w:rFonts w:ascii="Arial" w:hAnsi="Arial" w:eastAsia="Arial" w:cs="Arial"/>
          <w:b/>
          <w:bCs/>
          <w:color w:val="1A7A45"/>
          <w:sz w:val="23"/>
          <w:szCs w:val="23"/>
        </w:rPr>
        <w:t>4.3  Agricultural Commodities</w:t>
      </w:r>
    </w:p>
    <w:p w14:paraId="754B5558">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63E1E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1A7A45"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89"/>
              <w:gridCol w:w="3971"/>
            </w:tblGrid>
            <w:tr w14:paraId="267A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3971" w:type="dxa"/>
              </w:trPr>
              <w:tc>
                <w:tcPr>
                  <w:tcW w:w="5389" w:type="dxa"/>
                  <w:tcBorders>
                    <w:top w:val="nil"/>
                    <w:left w:val="nil"/>
                    <w:bottom w:val="nil"/>
                    <w:right w:val="nil"/>
                  </w:tcBorders>
                  <w:shd w:val="clear" w:color="auto" w:fill="1A7A45"/>
                  <w:tcMar>
                    <w:top w:w="100" w:type="dxa"/>
                    <w:left w:w="160" w:type="dxa"/>
                    <w:bottom w:w="100" w:type="dxa"/>
                    <w:right w:w="160" w:type="dxa"/>
                  </w:tcMar>
                </w:tcPr>
                <w:p w14:paraId="5ACCACA5">
                  <w:r>
                    <w:rPr>
                      <w:rFonts w:ascii="Arial" w:hAnsi="Arial" w:eastAsia="Arial" w:cs="Arial"/>
                      <w:b/>
                      <w:bCs/>
                      <w:color w:val="FFFFFF"/>
                      <w:sz w:val="24"/>
                      <w:szCs w:val="24"/>
                    </w:rPr>
                    <w:t>🌽  Agricultural Commodities</w:t>
                  </w:r>
                </w:p>
              </w:tc>
            </w:tr>
            <w:tr w14:paraId="4953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480DE28B">
                  <w:r>
                    <w:rPr>
                      <w:rFonts w:ascii="Arial" w:hAnsi="Arial" w:eastAsia="Arial" w:cs="Arial"/>
                      <w:b/>
                      <w:bCs/>
                      <w:color w:val="5A6B5E"/>
                      <w:sz w:val="19"/>
                      <w:szCs w:val="19"/>
                    </w:rPr>
                    <w:t>Includes</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45317E22">
                  <w:r>
                    <w:rPr>
                      <w:rFonts w:ascii="Arial" w:hAnsi="Arial" w:eastAsia="Arial" w:cs="Arial"/>
                      <w:color w:val="0D1F15"/>
                      <w:sz w:val="19"/>
                      <w:szCs w:val="19"/>
                    </w:rPr>
                    <w:t>Maize, beans, coffee, sesame, sunflower, soya, livestock, fish, and other agri-commodities purchased at harvest for domestic sale or export.</w:t>
                  </w:r>
                </w:p>
              </w:tc>
            </w:tr>
            <w:tr w14:paraId="182D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3171410B">
                  <w:r>
                    <w:rPr>
                      <w:rFonts w:ascii="Arial" w:hAnsi="Arial" w:eastAsia="Arial" w:cs="Arial"/>
                      <w:b/>
                      <w:bCs/>
                      <w:color w:val="5A6B5E"/>
                      <w:sz w:val="19"/>
                      <w:szCs w:val="19"/>
                    </w:rPr>
                    <w:t>Listers</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44B10635">
                  <w:r>
                    <w:rPr>
                      <w:rFonts w:ascii="Arial" w:hAnsi="Arial" w:eastAsia="Arial" w:cs="Arial"/>
                      <w:color w:val="0D1F15"/>
                      <w:sz w:val="19"/>
                      <w:szCs w:val="19"/>
                    </w:rPr>
                    <w:t>Licensed agri-traders, commodity exporters, NAADS/MAAIF-registered cooperatives, and certified agri-businesses with verified trading history.</w:t>
                  </w:r>
                </w:p>
              </w:tc>
            </w:tr>
            <w:tr w14:paraId="2235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561AAD0B">
                  <w:r>
                    <w:rPr>
                      <w:rFonts w:ascii="Arial" w:hAnsi="Arial" w:eastAsia="Arial" w:cs="Arial"/>
                      <w:b/>
                      <w:bCs/>
                      <w:color w:val="5A6B5E"/>
                      <w:sz w:val="19"/>
                      <w:szCs w:val="19"/>
                    </w:rPr>
                    <w:t>Crowd Model</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3AFA8169">
                  <w:r>
                    <w:rPr>
                      <w:rFonts w:ascii="Arial" w:hAnsi="Arial" w:eastAsia="Arial" w:cs="Arial"/>
                      <w:color w:val="0D1F15"/>
                      <w:sz w:val="19"/>
                      <w:szCs w:val="19"/>
                    </w:rPr>
                    <w:t>Investors crowd-fund the purchase of a commodity batch at harvest price. The lister sells to domestic buyers or exporters at market price and returns profit.</w:t>
                  </w:r>
                </w:p>
              </w:tc>
            </w:tr>
            <w:tr w14:paraId="37642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65A9FC70">
                  <w:r>
                    <w:rPr>
                      <w:rFonts w:ascii="Arial" w:hAnsi="Arial" w:eastAsia="Arial" w:cs="Arial"/>
                      <w:b/>
                      <w:bCs/>
                      <w:color w:val="5A6B5E"/>
                      <w:sz w:val="19"/>
                      <w:szCs w:val="19"/>
                    </w:rPr>
                    <w:t>Return</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1E4CC1B3">
                  <w:r>
                    <w:rPr>
                      <w:rFonts w:ascii="Arial" w:hAnsi="Arial" w:eastAsia="Arial" w:cs="Arial"/>
                      <w:color w:val="0D1F15"/>
                      <w:sz w:val="19"/>
                      <w:szCs w:val="19"/>
                    </w:rPr>
                    <w:t>Domestic sale: 15–25% per cycle | Export grade: 25–45% per cycle.</w:t>
                  </w:r>
                </w:p>
              </w:tc>
            </w:tr>
            <w:tr w14:paraId="4A7F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12CAC9D1">
                  <w:r>
                    <w:rPr>
                      <w:rFonts w:ascii="Arial" w:hAnsi="Arial" w:eastAsia="Arial" w:cs="Arial"/>
                      <w:b/>
                      <w:bCs/>
                      <w:color w:val="5A6B5E"/>
                      <w:sz w:val="19"/>
                      <w:szCs w:val="19"/>
                    </w:rPr>
                    <w:t>Payout Period</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0867B741">
                  <w:r>
                    <w:rPr>
                      <w:rFonts w:ascii="Arial" w:hAnsi="Arial" w:eastAsia="Arial" w:cs="Arial"/>
                      <w:color w:val="0D1F15"/>
                      <w:sz w:val="19"/>
                      <w:szCs w:val="19"/>
                    </w:rPr>
                    <w:t>30–120 days (seasonal and contract-dependent).</w:t>
                  </w:r>
                </w:p>
              </w:tc>
            </w:tr>
            <w:tr w14:paraId="5FC9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89" w:type="dxa"/>
                  <w:tcBorders>
                    <w:top w:val="nil"/>
                    <w:left w:val="nil"/>
                    <w:bottom w:val="nil"/>
                    <w:right w:val="nil"/>
                  </w:tcBorders>
                  <w:shd w:val="clear" w:color="auto" w:fill="F8F8F8"/>
                  <w:tcMar>
                    <w:top w:w="50" w:type="dxa"/>
                    <w:left w:w="160" w:type="dxa"/>
                    <w:bottom w:w="50" w:type="dxa"/>
                    <w:right w:w="80" w:type="dxa"/>
                  </w:tcMar>
                  <w:vAlign w:val="top"/>
                </w:tcPr>
                <w:p w14:paraId="2E6F34A5">
                  <w:r>
                    <w:rPr>
                      <w:rFonts w:ascii="Arial" w:hAnsi="Arial" w:eastAsia="Arial" w:cs="Arial"/>
                      <w:b/>
                      <w:bCs/>
                      <w:color w:val="5A6B5E"/>
                      <w:sz w:val="19"/>
                      <w:szCs w:val="19"/>
                    </w:rPr>
                    <w:t>Risk Level</w:t>
                  </w:r>
                </w:p>
              </w:tc>
              <w:tc>
                <w:tcPr>
                  <w:tcW w:w="3971" w:type="dxa"/>
                  <w:tcBorders>
                    <w:top w:val="nil"/>
                    <w:left w:val="nil"/>
                    <w:bottom w:val="nil"/>
                    <w:right w:val="nil"/>
                  </w:tcBorders>
                  <w:shd w:val="clear" w:color="auto" w:fill="F8F8F8"/>
                  <w:tcMar>
                    <w:top w:w="50" w:type="dxa"/>
                    <w:left w:w="80" w:type="dxa"/>
                    <w:bottom w:w="50" w:type="dxa"/>
                    <w:right w:w="120" w:type="dxa"/>
                  </w:tcMar>
                  <w:vAlign w:val="top"/>
                </w:tcPr>
                <w:p w14:paraId="61DB5C53">
                  <w:r>
                    <w:rPr>
                      <w:rFonts w:ascii="Arial" w:hAnsi="Arial" w:eastAsia="Arial" w:cs="Arial"/>
                      <w:color w:val="0D1F15"/>
                      <w:sz w:val="19"/>
                      <w:szCs w:val="19"/>
                    </w:rPr>
                    <w:t>Medium | Mitigated by warehouse receipt, commodity insurance, and export contract verification.</w:t>
                  </w:r>
                </w:p>
              </w:tc>
            </w:tr>
          </w:tbl>
          <w:p w14:paraId="14B9924B"/>
        </w:tc>
      </w:tr>
    </w:tbl>
    <w:p w14:paraId="3A1A9642">
      <w:pPr>
        <w:spacing w:before="80" w:after="0"/>
      </w:pPr>
    </w:p>
    <w:p w14:paraId="3BB14F89">
      <w:pPr>
        <w:spacing w:before="180" w:after="60"/>
      </w:pPr>
      <w:r>
        <w:rPr>
          <w:rFonts w:ascii="Arial" w:hAnsi="Arial" w:eastAsia="Arial" w:cs="Arial"/>
          <w:b/>
          <w:bCs/>
          <w:color w:val="003F87"/>
          <w:sz w:val="23"/>
          <w:szCs w:val="23"/>
        </w:rPr>
        <w:t>4.4  Government Securities: T-Bills, Treasury Bonds &amp; Treasury Notes</w:t>
      </w:r>
    </w:p>
    <w:p w14:paraId="34F02DA1">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1FE43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26" w:hRule="atLeast"/>
        </w:trPr>
        <w:tc>
          <w:tcPr>
            <w:tcW w:w="9360" w:type="dxa"/>
            <w:tcBorders>
              <w:top w:val="single" w:color="CCCCCC" w:sz="0" w:space="0"/>
              <w:left w:val="single" w:color="003F87"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49"/>
              <w:gridCol w:w="4011"/>
            </w:tblGrid>
            <w:tr w14:paraId="5397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4011" w:type="dxa"/>
              </w:trPr>
              <w:tc>
                <w:tcPr>
                  <w:tcW w:w="5349" w:type="dxa"/>
                  <w:tcBorders>
                    <w:top w:val="nil"/>
                    <w:left w:val="nil"/>
                    <w:bottom w:val="nil"/>
                    <w:right w:val="nil"/>
                  </w:tcBorders>
                  <w:shd w:val="clear" w:color="auto" w:fill="003F87"/>
                  <w:tcMar>
                    <w:top w:w="100" w:type="dxa"/>
                    <w:left w:w="160" w:type="dxa"/>
                    <w:bottom w:w="100" w:type="dxa"/>
                    <w:right w:w="160" w:type="dxa"/>
                  </w:tcMar>
                </w:tcPr>
                <w:p w14:paraId="3FF6B462">
                  <w:r>
                    <w:rPr>
                      <w:rFonts w:ascii="Arial" w:hAnsi="Arial" w:eastAsia="Arial" w:cs="Arial"/>
                      <w:b/>
                      <w:bCs/>
                      <w:color w:val="FFFFFF"/>
                      <w:sz w:val="24"/>
                      <w:szCs w:val="24"/>
                    </w:rPr>
                    <w:t>📊  T-Bills, Treasury Bonds &amp; Treasury Notes</w:t>
                  </w:r>
                </w:p>
              </w:tc>
            </w:tr>
            <w:tr w14:paraId="1F15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2C1C56BA">
                  <w:r>
                    <w:rPr>
                      <w:rFonts w:ascii="Arial" w:hAnsi="Arial" w:eastAsia="Arial" w:cs="Arial"/>
                      <w:b/>
                      <w:bCs/>
                      <w:color w:val="5A6B5E"/>
                      <w:sz w:val="19"/>
                      <w:szCs w:val="19"/>
                    </w:rPr>
                    <w:t>Includes</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5C5B9547">
                  <w:pPr>
                    <w:rPr>
                      <w:rFonts w:hint="default"/>
                      <w:lang w:val="en-US"/>
                    </w:rPr>
                  </w:pPr>
                  <w:r>
                    <w:rPr>
                      <w:rFonts w:ascii="Arial" w:hAnsi="Arial" w:eastAsia="Arial" w:cs="Arial"/>
                      <w:color w:val="0D1F15"/>
                      <w:sz w:val="19"/>
                      <w:szCs w:val="19"/>
                    </w:rPr>
                    <w:t>Fractional participation in Uganda Government 91-day, 182-day, and 364-day T-Bills; 2-year and 5-year Treasury Notes; long-dated Treasury Bonds; infrastructure bonds.</w:t>
                  </w:r>
                </w:p>
              </w:tc>
            </w:tr>
            <w:tr w14:paraId="37EB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724359B1">
                  <w:r>
                    <w:rPr>
                      <w:rFonts w:ascii="Arial" w:hAnsi="Arial" w:eastAsia="Arial" w:cs="Arial"/>
                      <w:b/>
                      <w:bCs/>
                      <w:color w:val="5A6B5E"/>
                      <w:sz w:val="19"/>
                      <w:szCs w:val="19"/>
                    </w:rPr>
                    <w:t>Listers</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0B60F520">
                  <w:r>
                    <w:rPr>
                      <w:rFonts w:ascii="Arial" w:hAnsi="Arial" w:eastAsia="Arial" w:cs="Arial"/>
                      <w:color w:val="0D1F15"/>
                      <w:sz w:val="19"/>
                      <w:szCs w:val="19"/>
                    </w:rPr>
                    <w:t>Bank of Uganda primary dealers; licensed securities dealers regulated by the Capital Markets Authority (CMA) Uganda.</w:t>
                  </w:r>
                </w:p>
              </w:tc>
            </w:tr>
            <w:tr w14:paraId="2E22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4A4AAF8C">
                  <w:r>
                    <w:rPr>
                      <w:rFonts w:ascii="Arial" w:hAnsi="Arial" w:eastAsia="Arial" w:cs="Arial"/>
                      <w:b/>
                      <w:bCs/>
                      <w:color w:val="5A6B5E"/>
                      <w:sz w:val="19"/>
                      <w:szCs w:val="19"/>
                    </w:rPr>
                    <w:t>Crowd Model</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20BC8FE6">
                  <w:r>
                    <w:rPr>
                      <w:rFonts w:ascii="Arial" w:hAnsi="Arial" w:eastAsia="Arial" w:cs="Arial"/>
                      <w:color w:val="0D1F15"/>
                      <w:sz w:val="19"/>
                      <w:szCs w:val="19"/>
                    </w:rPr>
                    <w:t>OwnIt pools retail investor funds to participate in BoU’s bi-weekly T-Bill and bond auctions through a licensed primary dealer. Returns proportionally distributed.</w:t>
                  </w:r>
                </w:p>
              </w:tc>
            </w:tr>
            <w:tr w14:paraId="4434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6FEB2C85">
                  <w:r>
                    <w:rPr>
                      <w:rFonts w:ascii="Arial" w:hAnsi="Arial" w:eastAsia="Arial" w:cs="Arial"/>
                      <w:b/>
                      <w:bCs/>
                      <w:color w:val="5A6B5E"/>
                      <w:sz w:val="19"/>
                      <w:szCs w:val="19"/>
                    </w:rPr>
                    <w:t>Return</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58C69A65">
                  <w:r>
                    <w:rPr>
                      <w:rFonts w:ascii="Arial" w:hAnsi="Arial" w:eastAsia="Arial" w:cs="Arial"/>
                      <w:color w:val="0D1F15"/>
                      <w:sz w:val="19"/>
                      <w:szCs w:val="19"/>
                    </w:rPr>
                    <w:t>T-Bills: 14–18% p.a. | Treasury Notes: 15–19% p.a. | Long Bonds: 16–20% p.a.</w:t>
                  </w:r>
                </w:p>
              </w:tc>
            </w:tr>
            <w:tr w14:paraId="3942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68E570FE">
                  <w:r>
                    <w:rPr>
                      <w:rFonts w:ascii="Arial" w:hAnsi="Arial" w:eastAsia="Arial" w:cs="Arial"/>
                      <w:b/>
                      <w:bCs/>
                      <w:color w:val="5A6B5E"/>
                      <w:sz w:val="19"/>
                      <w:szCs w:val="19"/>
                    </w:rPr>
                    <w:t>Payout Period</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65AE62FA">
                  <w:r>
                    <w:rPr>
                      <w:rFonts w:ascii="Arial" w:hAnsi="Arial" w:eastAsia="Arial" w:cs="Arial"/>
                      <w:color w:val="0D1F15"/>
                      <w:sz w:val="19"/>
                      <w:szCs w:val="19"/>
                    </w:rPr>
                    <w:t>91 days (T-Bills) | 182 days (short notes) | Semi-annual coupons (bonds).</w:t>
                  </w:r>
                </w:p>
              </w:tc>
            </w:tr>
            <w:tr w14:paraId="5BFC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49" w:type="dxa"/>
                  <w:tcBorders>
                    <w:top w:val="nil"/>
                    <w:left w:val="nil"/>
                    <w:bottom w:val="nil"/>
                    <w:right w:val="nil"/>
                  </w:tcBorders>
                  <w:shd w:val="clear" w:color="auto" w:fill="F8F8F8"/>
                  <w:tcMar>
                    <w:top w:w="50" w:type="dxa"/>
                    <w:left w:w="160" w:type="dxa"/>
                    <w:bottom w:w="50" w:type="dxa"/>
                    <w:right w:w="80" w:type="dxa"/>
                  </w:tcMar>
                  <w:vAlign w:val="top"/>
                </w:tcPr>
                <w:p w14:paraId="7B3F05FB">
                  <w:r>
                    <w:rPr>
                      <w:rFonts w:ascii="Arial" w:hAnsi="Arial" w:eastAsia="Arial" w:cs="Arial"/>
                      <w:b/>
                      <w:bCs/>
                      <w:color w:val="5A6B5E"/>
                      <w:sz w:val="19"/>
                      <w:szCs w:val="19"/>
                    </w:rPr>
                    <w:t>Risk Level</w:t>
                  </w:r>
                </w:p>
              </w:tc>
              <w:tc>
                <w:tcPr>
                  <w:tcW w:w="4011" w:type="dxa"/>
                  <w:tcBorders>
                    <w:top w:val="nil"/>
                    <w:left w:val="nil"/>
                    <w:bottom w:val="nil"/>
                    <w:right w:val="nil"/>
                  </w:tcBorders>
                  <w:shd w:val="clear" w:color="auto" w:fill="F8F8F8"/>
                  <w:tcMar>
                    <w:top w:w="50" w:type="dxa"/>
                    <w:left w:w="80" w:type="dxa"/>
                    <w:bottom w:w="50" w:type="dxa"/>
                    <w:right w:w="120" w:type="dxa"/>
                  </w:tcMar>
                  <w:vAlign w:val="top"/>
                </w:tcPr>
                <w:p w14:paraId="7102C34C">
                  <w:r>
                    <w:rPr>
                      <w:rFonts w:ascii="Arial" w:hAnsi="Arial" w:eastAsia="Arial" w:cs="Arial"/>
                      <w:color w:val="0D1F15"/>
                      <w:sz w:val="19"/>
                      <w:szCs w:val="19"/>
                    </w:rPr>
                    <w:t>Very Low | Government of Uganda sovereign obligation; lowest-risk asset class on platform.</w:t>
                  </w:r>
                </w:p>
              </w:tc>
            </w:tr>
          </w:tbl>
          <w:p w14:paraId="5CD49563"/>
        </w:tc>
      </w:tr>
    </w:tbl>
    <w:p w14:paraId="78A1AEB0">
      <w:pPr>
        <w:spacing w:before="80" w:after="0"/>
      </w:pPr>
    </w:p>
    <w:p w14:paraId="2E34EE2F">
      <w:pPr>
        <w:spacing w:before="180" w:after="60"/>
      </w:pPr>
      <w:r>
        <w:rPr>
          <w:rFonts w:ascii="Arial" w:hAnsi="Arial" w:eastAsia="Arial" w:cs="Arial"/>
          <w:b/>
          <w:bCs/>
          <w:color w:val="4A148C"/>
          <w:sz w:val="23"/>
          <w:szCs w:val="23"/>
        </w:rPr>
        <w:t>4.5  Foreign Exchange (FX) &amp; Currency Instruments</w:t>
      </w:r>
    </w:p>
    <w:p w14:paraId="60531207">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4A24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4A148C"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13"/>
              <w:gridCol w:w="3947"/>
            </w:tblGrid>
            <w:tr w14:paraId="66E2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3947" w:type="dxa"/>
              </w:trPr>
              <w:tc>
                <w:tcPr>
                  <w:tcW w:w="5413" w:type="dxa"/>
                  <w:tcBorders>
                    <w:top w:val="nil"/>
                    <w:left w:val="nil"/>
                    <w:bottom w:val="nil"/>
                    <w:right w:val="nil"/>
                  </w:tcBorders>
                  <w:shd w:val="clear" w:color="auto" w:fill="4A148C"/>
                  <w:tcMar>
                    <w:top w:w="100" w:type="dxa"/>
                    <w:left w:w="160" w:type="dxa"/>
                    <w:bottom w:w="100" w:type="dxa"/>
                    <w:right w:w="160" w:type="dxa"/>
                  </w:tcMar>
                </w:tcPr>
                <w:p w14:paraId="4437A766">
                  <w:r>
                    <w:rPr>
                      <w:rFonts w:ascii="Arial" w:hAnsi="Arial" w:eastAsia="Arial" w:cs="Arial"/>
                      <w:b/>
                      <w:bCs/>
                      <w:color w:val="FFFFFF"/>
                      <w:sz w:val="24"/>
                      <w:szCs w:val="24"/>
                    </w:rPr>
                    <w:t>💱  Foreign Exchange &amp; Currency Instruments</w:t>
                  </w:r>
                </w:p>
              </w:tc>
            </w:tr>
            <w:tr w14:paraId="7634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5E31040C">
                  <w:r>
                    <w:rPr>
                      <w:rFonts w:ascii="Arial" w:hAnsi="Arial" w:eastAsia="Arial" w:cs="Arial"/>
                      <w:b/>
                      <w:bCs/>
                      <w:color w:val="5A6B5E"/>
                      <w:sz w:val="19"/>
                      <w:szCs w:val="19"/>
                    </w:rPr>
                    <w:t>Includes</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1931EAE6">
                  <w:r>
                    <w:rPr>
                      <w:rFonts w:ascii="Arial" w:hAnsi="Arial" w:eastAsia="Arial" w:cs="Arial"/>
                      <w:color w:val="0D1F15"/>
                      <w:sz w:val="19"/>
                      <w:szCs w:val="19"/>
                    </w:rPr>
                    <w:t>Crowd-funded FX positions in major pairs (UGX/USD, UGX/KES, UGX/EUR, UGX/GBP); structured FX forwards; remittance arbitrage; diaspora-backed FX products.</w:t>
                  </w:r>
                </w:p>
              </w:tc>
            </w:tr>
            <w:tr w14:paraId="03F52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4F178F40">
                  <w:r>
                    <w:rPr>
                      <w:rFonts w:ascii="Arial" w:hAnsi="Arial" w:eastAsia="Arial" w:cs="Arial"/>
                      <w:b/>
                      <w:bCs/>
                      <w:color w:val="5A6B5E"/>
                      <w:sz w:val="19"/>
                      <w:szCs w:val="19"/>
                    </w:rPr>
                    <w:t>Listers</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76BE87E8">
                  <w:r>
                    <w:rPr>
                      <w:rFonts w:ascii="Arial" w:hAnsi="Arial" w:eastAsia="Arial" w:cs="Arial"/>
                      <w:color w:val="0D1F15"/>
                      <w:sz w:val="19"/>
                      <w:szCs w:val="19"/>
                    </w:rPr>
                    <w:t>Bank of Uganda-licensed forex bureaux and commercial banks; regulated FX dealing firms with proven trading track records.</w:t>
                  </w:r>
                </w:p>
              </w:tc>
            </w:tr>
            <w:tr w14:paraId="0B00A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67241504">
                  <w:r>
                    <w:rPr>
                      <w:rFonts w:ascii="Arial" w:hAnsi="Arial" w:eastAsia="Arial" w:cs="Arial"/>
                      <w:b/>
                      <w:bCs/>
                      <w:color w:val="5A6B5E"/>
                      <w:sz w:val="19"/>
                      <w:szCs w:val="19"/>
                    </w:rPr>
                    <w:t>Crowd Model</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0F972209">
                  <w:r>
                    <w:rPr>
                      <w:rFonts w:ascii="Arial" w:hAnsi="Arial" w:eastAsia="Arial" w:cs="Arial"/>
                      <w:color w:val="0D1F15"/>
                      <w:sz w:val="19"/>
                      <w:szCs w:val="19"/>
                    </w:rPr>
                    <w:t>Investors fund a structured FX position operated by the licensed lister. Gains from exchange rate movements distributed proportionally on position close.</w:t>
                  </w:r>
                </w:p>
              </w:tc>
            </w:tr>
            <w:tr w14:paraId="27B6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4BDBD47C">
                  <w:r>
                    <w:rPr>
                      <w:rFonts w:ascii="Arial" w:hAnsi="Arial" w:eastAsia="Arial" w:cs="Arial"/>
                      <w:b/>
                      <w:bCs/>
                      <w:color w:val="5A6B5E"/>
                      <w:sz w:val="19"/>
                      <w:szCs w:val="19"/>
                    </w:rPr>
                    <w:t>Return</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788472CF">
                  <w:r>
                    <w:rPr>
                      <w:rFonts w:ascii="Arial" w:hAnsi="Arial" w:eastAsia="Arial" w:cs="Arial"/>
                      <w:color w:val="0D1F15"/>
                      <w:sz w:val="19"/>
                      <w:szCs w:val="19"/>
                    </w:rPr>
                    <w:t>Structured FX: 8–30% per contract | Diaspora FX: 10–25% depending on exchange rate movement and duration.</w:t>
                  </w:r>
                </w:p>
              </w:tc>
            </w:tr>
            <w:tr w14:paraId="4E55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19829786">
                  <w:r>
                    <w:rPr>
                      <w:rFonts w:ascii="Arial" w:hAnsi="Arial" w:eastAsia="Arial" w:cs="Arial"/>
                      <w:b/>
                      <w:bCs/>
                      <w:color w:val="5A6B5E"/>
                      <w:sz w:val="19"/>
                      <w:szCs w:val="19"/>
                    </w:rPr>
                    <w:t>Payout Period</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0C1786A9">
                  <w:r>
                    <w:rPr>
                      <w:rFonts w:ascii="Arial" w:hAnsi="Arial" w:eastAsia="Arial" w:cs="Arial"/>
                      <w:color w:val="0D1F15"/>
                      <w:sz w:val="19"/>
                      <w:szCs w:val="19"/>
                    </w:rPr>
                    <w:t>7–90 days per contract.</w:t>
                  </w:r>
                </w:p>
              </w:tc>
            </w:tr>
            <w:tr w14:paraId="6F4C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13" w:type="dxa"/>
                  <w:tcBorders>
                    <w:top w:val="nil"/>
                    <w:left w:val="nil"/>
                    <w:bottom w:val="nil"/>
                    <w:right w:val="nil"/>
                  </w:tcBorders>
                  <w:shd w:val="clear" w:color="auto" w:fill="F8F8F8"/>
                  <w:tcMar>
                    <w:top w:w="50" w:type="dxa"/>
                    <w:left w:w="160" w:type="dxa"/>
                    <w:bottom w:w="50" w:type="dxa"/>
                    <w:right w:w="80" w:type="dxa"/>
                  </w:tcMar>
                  <w:vAlign w:val="top"/>
                </w:tcPr>
                <w:p w14:paraId="1AF6A9E4">
                  <w:r>
                    <w:rPr>
                      <w:rFonts w:ascii="Arial" w:hAnsi="Arial" w:eastAsia="Arial" w:cs="Arial"/>
                      <w:b/>
                      <w:bCs/>
                      <w:color w:val="5A6B5E"/>
                      <w:sz w:val="19"/>
                      <w:szCs w:val="19"/>
                    </w:rPr>
                    <w:t>Risk Level</w:t>
                  </w:r>
                </w:p>
              </w:tc>
              <w:tc>
                <w:tcPr>
                  <w:tcW w:w="3947" w:type="dxa"/>
                  <w:tcBorders>
                    <w:top w:val="nil"/>
                    <w:left w:val="nil"/>
                    <w:bottom w:val="nil"/>
                    <w:right w:val="nil"/>
                  </w:tcBorders>
                  <w:shd w:val="clear" w:color="auto" w:fill="F8F8F8"/>
                  <w:tcMar>
                    <w:top w:w="50" w:type="dxa"/>
                    <w:left w:w="80" w:type="dxa"/>
                    <w:bottom w:w="50" w:type="dxa"/>
                    <w:right w:w="120" w:type="dxa"/>
                  </w:tcMar>
                  <w:vAlign w:val="top"/>
                </w:tcPr>
                <w:p w14:paraId="39DB6346">
                  <w:r>
                    <w:rPr>
                      <w:rFonts w:ascii="Arial" w:hAnsi="Arial" w:eastAsia="Arial" w:cs="Arial"/>
                      <w:color w:val="0D1F15"/>
                      <w:sz w:val="19"/>
                      <w:szCs w:val="19"/>
                    </w:rPr>
                    <w:t>Medium–High | Managed by licensed operators; position parameters disclosed; currency risk is inherent and fully disclosed at listing.</w:t>
                  </w:r>
                </w:p>
              </w:tc>
            </w:tr>
          </w:tbl>
          <w:p w14:paraId="7BD0911E"/>
        </w:tc>
      </w:tr>
    </w:tbl>
    <w:p w14:paraId="727E1FE1">
      <w:pPr>
        <w:spacing w:before="80" w:after="0"/>
      </w:pPr>
    </w:p>
    <w:p w14:paraId="215BC485">
      <w:r>
        <w:br w:type="page"/>
      </w:r>
    </w:p>
    <w:p w14:paraId="25A34A21">
      <w:pPr>
        <w:spacing w:before="180" w:after="60"/>
      </w:pPr>
      <w:r>
        <w:rPr>
          <w:rFonts w:ascii="Arial" w:hAnsi="Arial" w:eastAsia="Arial" w:cs="Arial"/>
          <w:b/>
          <w:bCs/>
          <w:color w:val="00695C"/>
          <w:sz w:val="23"/>
          <w:szCs w:val="23"/>
        </w:rPr>
        <w:t>4.6  Rare Earth Minerals &amp; Precious Commodities</w:t>
      </w:r>
    </w:p>
    <w:p w14:paraId="173A658F">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1C1E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00695C"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44"/>
              <w:gridCol w:w="3916"/>
            </w:tblGrid>
            <w:tr w14:paraId="6671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3916" w:type="dxa"/>
              </w:trPr>
              <w:tc>
                <w:tcPr>
                  <w:tcW w:w="5444" w:type="dxa"/>
                  <w:tcBorders>
                    <w:top w:val="nil"/>
                    <w:left w:val="nil"/>
                    <w:bottom w:val="nil"/>
                    <w:right w:val="nil"/>
                  </w:tcBorders>
                  <w:shd w:val="clear" w:color="auto" w:fill="00695C"/>
                  <w:tcMar>
                    <w:top w:w="100" w:type="dxa"/>
                    <w:left w:w="160" w:type="dxa"/>
                    <w:bottom w:w="100" w:type="dxa"/>
                    <w:right w:w="160" w:type="dxa"/>
                  </w:tcMar>
                </w:tcPr>
                <w:p w14:paraId="3486621C">
                  <w:r>
                    <w:rPr>
                      <w:rFonts w:ascii="Arial" w:hAnsi="Arial" w:eastAsia="Arial" w:cs="Arial"/>
                      <w:b/>
                      <w:bCs/>
                      <w:color w:val="FFFFFF"/>
                      <w:sz w:val="24"/>
                      <w:szCs w:val="24"/>
                    </w:rPr>
                    <w:t>⛏️  Rare Earth Minerals &amp; Precious Commodities</w:t>
                  </w:r>
                </w:p>
              </w:tc>
            </w:tr>
            <w:tr w14:paraId="5C0A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0B7DEDCC">
                  <w:r>
                    <w:rPr>
                      <w:rFonts w:ascii="Arial" w:hAnsi="Arial" w:eastAsia="Arial" w:cs="Arial"/>
                      <w:b/>
                      <w:bCs/>
                      <w:color w:val="5A6B5E"/>
                      <w:sz w:val="19"/>
                      <w:szCs w:val="19"/>
                    </w:rPr>
                    <w:t>Includes</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05BECC90">
                  <w:r>
                    <w:rPr>
                      <w:rFonts w:ascii="Arial" w:hAnsi="Arial" w:eastAsia="Arial" w:cs="Arial"/>
                      <w:color w:val="0D1F15"/>
                      <w:sz w:val="19"/>
                      <w:szCs w:val="19"/>
                    </w:rPr>
                    <w:t>Gold, coltan, cobalt, lithium-bearing ores, tantalum, tungsten, tin (3TG), marble, and other certified minerals legally extracted and traded in Uganda.</w:t>
                  </w:r>
                </w:p>
              </w:tc>
            </w:tr>
            <w:tr w14:paraId="3BEE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34783318">
                  <w:r>
                    <w:rPr>
                      <w:rFonts w:ascii="Arial" w:hAnsi="Arial" w:eastAsia="Arial" w:cs="Arial"/>
                      <w:b/>
                      <w:bCs/>
                      <w:color w:val="5A6B5E"/>
                      <w:sz w:val="19"/>
                      <w:szCs w:val="19"/>
                    </w:rPr>
                    <w:t>Listers</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6F2920D5">
                  <w:r>
                    <w:rPr>
                      <w:rFonts w:ascii="Arial" w:hAnsi="Arial" w:eastAsia="Arial" w:cs="Arial"/>
                      <w:color w:val="0D1F15"/>
                      <w:sz w:val="19"/>
                      <w:szCs w:val="19"/>
                    </w:rPr>
                    <w:t>DGSM-licensed mining companies; certified artisanal and small-scale miners (ASM) organised through verified cooperatives with conflict-free certification.</w:t>
                  </w:r>
                </w:p>
              </w:tc>
            </w:tr>
            <w:tr w14:paraId="01E4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2B133448">
                  <w:r>
                    <w:rPr>
                      <w:rFonts w:ascii="Arial" w:hAnsi="Arial" w:eastAsia="Arial" w:cs="Arial"/>
                      <w:b/>
                      <w:bCs/>
                      <w:color w:val="5A6B5E"/>
                      <w:sz w:val="19"/>
                      <w:szCs w:val="19"/>
                    </w:rPr>
                    <w:t>Crowd Model</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262E2D4C">
                  <w:r>
                    <w:rPr>
                      <w:rFonts w:ascii="Arial" w:hAnsi="Arial" w:eastAsia="Arial" w:cs="Arial"/>
                      <w:color w:val="0D1F15"/>
                      <w:sz w:val="19"/>
                      <w:szCs w:val="19"/>
                    </w:rPr>
                    <w:t>Investors fund the purchase of a certified mineral lot. The lister sells to a verified international buyer and returns principal + margin to investors on sale.</w:t>
                  </w:r>
                </w:p>
              </w:tc>
            </w:tr>
            <w:tr w14:paraId="6565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1526D55C">
                  <w:r>
                    <w:rPr>
                      <w:rFonts w:ascii="Arial" w:hAnsi="Arial" w:eastAsia="Arial" w:cs="Arial"/>
                      <w:b/>
                      <w:bCs/>
                      <w:color w:val="5A6B5E"/>
                      <w:sz w:val="19"/>
                      <w:szCs w:val="19"/>
                    </w:rPr>
                    <w:t>Return</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1CC9EFA3">
                  <w:r>
                    <w:rPr>
                      <w:rFonts w:ascii="Arial" w:hAnsi="Arial" w:eastAsia="Arial" w:cs="Arial"/>
                      <w:color w:val="0D1F15"/>
                      <w:sz w:val="19"/>
                      <w:szCs w:val="19"/>
                    </w:rPr>
                    <w:t>20–60% per lot depending on mineral type, grade, and prevailing market conditions.</w:t>
                  </w:r>
                </w:p>
              </w:tc>
            </w:tr>
            <w:tr w14:paraId="1E1C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54EBFCD8">
                  <w:r>
                    <w:rPr>
                      <w:rFonts w:ascii="Arial" w:hAnsi="Arial" w:eastAsia="Arial" w:cs="Arial"/>
                      <w:b/>
                      <w:bCs/>
                      <w:color w:val="5A6B5E"/>
                      <w:sz w:val="19"/>
                      <w:szCs w:val="19"/>
                    </w:rPr>
                    <w:t>Payout Period</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5E7577D0">
                  <w:r>
                    <w:rPr>
                      <w:rFonts w:ascii="Arial" w:hAnsi="Arial" w:eastAsia="Arial" w:cs="Arial"/>
                      <w:color w:val="0D1F15"/>
                      <w:sz w:val="19"/>
                      <w:szCs w:val="19"/>
                    </w:rPr>
                    <w:t>30–180 days per lot.</w:t>
                  </w:r>
                </w:p>
              </w:tc>
            </w:tr>
            <w:tr w14:paraId="7A00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32747221">
                  <w:r>
                    <w:rPr>
                      <w:rFonts w:ascii="Arial" w:hAnsi="Arial" w:eastAsia="Arial" w:cs="Arial"/>
                      <w:b/>
                      <w:bCs/>
                      <w:color w:val="5A6B5E"/>
                      <w:sz w:val="19"/>
                      <w:szCs w:val="19"/>
                    </w:rPr>
                    <w:t>Risk Level</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2BF44C80">
                  <w:r>
                    <w:rPr>
                      <w:rFonts w:ascii="Arial" w:hAnsi="Arial" w:eastAsia="Arial" w:cs="Arial"/>
                      <w:color w:val="0D1F15"/>
                      <w:sz w:val="19"/>
                      <w:szCs w:val="19"/>
                    </w:rPr>
                    <w:t>Medium–High | Mitigated by assay certification, escrow-based payment, and licensed international buyer pre-agreements.</w:t>
                  </w:r>
                </w:p>
              </w:tc>
            </w:tr>
            <w:tr w14:paraId="1AFE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44" w:type="dxa"/>
                  <w:tcBorders>
                    <w:top w:val="nil"/>
                    <w:left w:val="nil"/>
                    <w:bottom w:val="nil"/>
                    <w:right w:val="nil"/>
                  </w:tcBorders>
                  <w:shd w:val="clear" w:color="auto" w:fill="F8F8F8"/>
                  <w:tcMar>
                    <w:top w:w="50" w:type="dxa"/>
                    <w:left w:w="160" w:type="dxa"/>
                    <w:bottom w:w="50" w:type="dxa"/>
                    <w:right w:w="80" w:type="dxa"/>
                  </w:tcMar>
                  <w:vAlign w:val="top"/>
                </w:tcPr>
                <w:p w14:paraId="3865660A">
                  <w:r>
                    <w:rPr>
                      <w:rFonts w:ascii="Arial" w:hAnsi="Arial" w:eastAsia="Arial" w:cs="Arial"/>
                      <w:b/>
                      <w:bCs/>
                      <w:color w:val="5A6B5E"/>
                      <w:sz w:val="19"/>
                      <w:szCs w:val="19"/>
                    </w:rPr>
                    <w:t>Includes</w:t>
                  </w:r>
                </w:p>
              </w:tc>
              <w:tc>
                <w:tcPr>
                  <w:tcW w:w="3916" w:type="dxa"/>
                  <w:tcBorders>
                    <w:top w:val="nil"/>
                    <w:left w:val="nil"/>
                    <w:bottom w:val="nil"/>
                    <w:right w:val="nil"/>
                  </w:tcBorders>
                  <w:shd w:val="clear" w:color="auto" w:fill="F8F8F8"/>
                  <w:tcMar>
                    <w:top w:w="50" w:type="dxa"/>
                    <w:left w:w="80" w:type="dxa"/>
                    <w:bottom w:w="50" w:type="dxa"/>
                    <w:right w:w="120" w:type="dxa"/>
                  </w:tcMar>
                  <w:vAlign w:val="top"/>
                </w:tcPr>
                <w:p w14:paraId="61F1899D">
                  <w:r>
                    <w:rPr>
                      <w:rFonts w:ascii="Arial" w:hAnsi="Arial" w:eastAsia="Arial" w:cs="Arial"/>
                      <w:color w:val="0D1F15"/>
                      <w:sz w:val="19"/>
                      <w:szCs w:val="19"/>
                    </w:rPr>
                    <w:t>Gold, coltan, cobalt, lithium-bearing ores, tantalum, tungsten, tin (3TG), marble, and other certified minerals legally extracted and traded in Uganda.</w:t>
                  </w:r>
                </w:p>
              </w:tc>
            </w:tr>
          </w:tbl>
          <w:p w14:paraId="6C549E19"/>
        </w:tc>
      </w:tr>
    </w:tbl>
    <w:p w14:paraId="78CCDFA7">
      <w:pPr>
        <w:spacing w:before="80" w:after="0"/>
      </w:pPr>
    </w:p>
    <w:p w14:paraId="044D9250">
      <w:pPr>
        <w:spacing w:before="180" w:after="60"/>
      </w:pPr>
      <w:r>
        <w:rPr>
          <w:rFonts w:ascii="Arial" w:hAnsi="Arial" w:eastAsia="Arial" w:cs="Arial"/>
          <w:b/>
          <w:bCs/>
          <w:color w:val="283593"/>
          <w:sz w:val="23"/>
          <w:szCs w:val="23"/>
        </w:rPr>
        <w:t>4.7  Domestic &amp; Foreign Company Stocks / Shares</w:t>
      </w:r>
    </w:p>
    <w:p w14:paraId="0645F95E">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6058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283593"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81"/>
              <w:gridCol w:w="4079"/>
            </w:tblGrid>
            <w:tr w14:paraId="4042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4079" w:type="dxa"/>
              </w:trPr>
              <w:tc>
                <w:tcPr>
                  <w:tcW w:w="5281" w:type="dxa"/>
                  <w:tcBorders>
                    <w:top w:val="nil"/>
                    <w:left w:val="nil"/>
                    <w:bottom w:val="nil"/>
                    <w:right w:val="nil"/>
                  </w:tcBorders>
                  <w:shd w:val="clear" w:color="auto" w:fill="283593"/>
                  <w:tcMar>
                    <w:top w:w="100" w:type="dxa"/>
                    <w:left w:w="160" w:type="dxa"/>
                    <w:bottom w:w="100" w:type="dxa"/>
                    <w:right w:w="160" w:type="dxa"/>
                  </w:tcMar>
                </w:tcPr>
                <w:p w14:paraId="24793C6E">
                  <w:r>
                    <w:rPr>
                      <w:rFonts w:ascii="Arial" w:hAnsi="Arial" w:eastAsia="Arial" w:cs="Arial"/>
                      <w:b/>
                      <w:bCs/>
                      <w:color w:val="FFFFFF"/>
                      <w:sz w:val="24"/>
                      <w:szCs w:val="24"/>
                    </w:rPr>
                    <w:t>📈  Domestic &amp; Foreign Stocks &amp; Shares</w:t>
                  </w:r>
                </w:p>
              </w:tc>
            </w:tr>
            <w:tr w14:paraId="3D12A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0487C5E6">
                  <w:r>
                    <w:rPr>
                      <w:rFonts w:ascii="Arial" w:hAnsi="Arial" w:eastAsia="Arial" w:cs="Arial"/>
                      <w:b/>
                      <w:bCs/>
                      <w:color w:val="5A6B5E"/>
                      <w:sz w:val="19"/>
                      <w:szCs w:val="19"/>
                    </w:rPr>
                    <w:t>Includes</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4F82175A">
                  <w:r>
                    <w:rPr>
                      <w:rFonts w:ascii="Arial" w:hAnsi="Arial" w:eastAsia="Arial" w:cs="Arial"/>
                      <w:color w:val="0D1F15"/>
                      <w:sz w:val="19"/>
                      <w:szCs w:val="19"/>
                    </w:rPr>
                    <w:t>Fractional shares in companies listed on the Uganda Securities Exchange (USE); East African exchanges (NSE Kenya, DSE Tanzania, RSE Rwanda); international markets (NYSE, LSE, JSE).</w:t>
                  </w:r>
                </w:p>
              </w:tc>
            </w:tr>
            <w:tr w14:paraId="65BD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0F37BDB1">
                  <w:r>
                    <w:rPr>
                      <w:rFonts w:ascii="Arial" w:hAnsi="Arial" w:eastAsia="Arial" w:cs="Arial"/>
                      <w:b/>
                      <w:bCs/>
                      <w:color w:val="5A6B5E"/>
                      <w:sz w:val="19"/>
                      <w:szCs w:val="19"/>
                    </w:rPr>
                    <w:t>Listers</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77E66C28">
                  <w:r>
                    <w:rPr>
                      <w:rFonts w:ascii="Arial" w:hAnsi="Arial" w:eastAsia="Arial" w:cs="Arial"/>
                      <w:color w:val="0D1F15"/>
                      <w:sz w:val="19"/>
                      <w:szCs w:val="19"/>
                    </w:rPr>
                    <w:t>Licensed stockbrokers and USE-registered dealing members; CMA-approved investment advisors managing pooled retail equity vehicles.</w:t>
                  </w:r>
                </w:p>
              </w:tc>
            </w:tr>
            <w:tr w14:paraId="120D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0A7A48DF">
                  <w:r>
                    <w:rPr>
                      <w:rFonts w:ascii="Arial" w:hAnsi="Arial" w:eastAsia="Arial" w:cs="Arial"/>
                      <w:b/>
                      <w:bCs/>
                      <w:color w:val="5A6B5E"/>
                      <w:sz w:val="19"/>
                      <w:szCs w:val="19"/>
                    </w:rPr>
                    <w:t>Crowd Model</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64D0670E">
                  <w:r>
                    <w:rPr>
                      <w:rFonts w:ascii="Arial" w:hAnsi="Arial" w:eastAsia="Arial" w:cs="Arial"/>
                      <w:color w:val="0D1F15"/>
                      <w:sz w:val="19"/>
                      <w:szCs w:val="19"/>
                    </w:rPr>
                    <w:t>OwnIt pools retail funds into a managed equity pool operated by a CMA-licensed broker. Dividends and capital gains distributed proportionally to Hisa holders.</w:t>
                  </w:r>
                </w:p>
              </w:tc>
            </w:tr>
            <w:tr w14:paraId="0938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47D20781">
                  <w:r>
                    <w:rPr>
                      <w:rFonts w:ascii="Arial" w:hAnsi="Arial" w:eastAsia="Arial" w:cs="Arial"/>
                      <w:b/>
                      <w:bCs/>
                      <w:color w:val="5A6B5E"/>
                      <w:sz w:val="19"/>
                      <w:szCs w:val="19"/>
                    </w:rPr>
                    <w:t>Return</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4CF4E89F">
                  <w:r>
                    <w:rPr>
                      <w:rFonts w:ascii="Arial" w:hAnsi="Arial" w:eastAsia="Arial" w:cs="Arial"/>
                      <w:color w:val="0D1F15"/>
                      <w:sz w:val="19"/>
                      <w:szCs w:val="19"/>
                    </w:rPr>
                    <w:t>Dividend yield: 4–15% p.a. | Capital gain: variable (10–100%+ for growth stocks).</w:t>
                  </w:r>
                </w:p>
              </w:tc>
            </w:tr>
            <w:tr w14:paraId="50523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4E7FAB7D">
                  <w:r>
                    <w:rPr>
                      <w:rFonts w:ascii="Arial" w:hAnsi="Arial" w:eastAsia="Arial" w:cs="Arial"/>
                      <w:b/>
                      <w:bCs/>
                      <w:color w:val="5A6B5E"/>
                      <w:sz w:val="19"/>
                      <w:szCs w:val="19"/>
                    </w:rPr>
                    <w:t>Payout Period</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05466A43">
                  <w:r>
                    <w:rPr>
                      <w:rFonts w:ascii="Arial" w:hAnsi="Arial" w:eastAsia="Arial" w:cs="Arial"/>
                      <w:color w:val="0D1F15"/>
                      <w:sz w:val="19"/>
                      <w:szCs w:val="19"/>
                    </w:rPr>
                    <w:t>Quarterly/annual dividends; capital gains on hold-period exit (12–36 months typical).</w:t>
                  </w:r>
                </w:p>
              </w:tc>
            </w:tr>
            <w:tr w14:paraId="7869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2DEF5AD4">
                  <w:r>
                    <w:rPr>
                      <w:rFonts w:ascii="Arial" w:hAnsi="Arial" w:eastAsia="Arial" w:cs="Arial"/>
                      <w:b/>
                      <w:bCs/>
                      <w:color w:val="5A6B5E"/>
                      <w:sz w:val="19"/>
                      <w:szCs w:val="19"/>
                    </w:rPr>
                    <w:t>Risk Level</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603ED352">
                  <w:r>
                    <w:rPr>
                      <w:rFonts w:ascii="Arial" w:hAnsi="Arial" w:eastAsia="Arial" w:cs="Arial"/>
                      <w:color w:val="0D1F15"/>
                      <w:sz w:val="19"/>
                      <w:szCs w:val="19"/>
                    </w:rPr>
                    <w:t>Medium–High (market-linked) | Diversification across multiple stocks reduces individual company risk.</w:t>
                  </w:r>
                </w:p>
              </w:tc>
            </w:tr>
            <w:tr w14:paraId="7289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81" w:type="dxa"/>
                  <w:tcBorders>
                    <w:top w:val="nil"/>
                    <w:left w:val="nil"/>
                    <w:bottom w:val="nil"/>
                    <w:right w:val="nil"/>
                  </w:tcBorders>
                  <w:shd w:val="clear" w:color="auto" w:fill="F8F8F8"/>
                  <w:tcMar>
                    <w:top w:w="50" w:type="dxa"/>
                    <w:left w:w="160" w:type="dxa"/>
                    <w:bottom w:w="50" w:type="dxa"/>
                    <w:right w:w="80" w:type="dxa"/>
                  </w:tcMar>
                  <w:vAlign w:val="top"/>
                </w:tcPr>
                <w:p w14:paraId="0CCBDB75">
                  <w:r>
                    <w:rPr>
                      <w:rFonts w:ascii="Arial" w:hAnsi="Arial" w:eastAsia="Arial" w:cs="Arial"/>
                      <w:b/>
                      <w:bCs/>
                      <w:color w:val="5A6B5E"/>
                      <w:sz w:val="19"/>
                      <w:szCs w:val="19"/>
                    </w:rPr>
                    <w:t>Includes</w:t>
                  </w:r>
                </w:p>
              </w:tc>
              <w:tc>
                <w:tcPr>
                  <w:tcW w:w="4079" w:type="dxa"/>
                  <w:tcBorders>
                    <w:top w:val="nil"/>
                    <w:left w:val="nil"/>
                    <w:bottom w:val="nil"/>
                    <w:right w:val="nil"/>
                  </w:tcBorders>
                  <w:shd w:val="clear" w:color="auto" w:fill="F8F8F8"/>
                  <w:tcMar>
                    <w:top w:w="50" w:type="dxa"/>
                    <w:left w:w="80" w:type="dxa"/>
                    <w:bottom w:w="50" w:type="dxa"/>
                    <w:right w:w="120" w:type="dxa"/>
                  </w:tcMar>
                  <w:vAlign w:val="top"/>
                </w:tcPr>
                <w:p w14:paraId="3297644D">
                  <w:r>
                    <w:rPr>
                      <w:rFonts w:ascii="Arial" w:hAnsi="Arial" w:eastAsia="Arial" w:cs="Arial"/>
                      <w:color w:val="0D1F15"/>
                      <w:sz w:val="19"/>
                      <w:szCs w:val="19"/>
                    </w:rPr>
                    <w:t>Fractional shares in companies listed on the Uganda Securities Exchange (USE); East African exchanges (NSE Kenya, DSE Tanzania, RSE Rwanda); international markets (NYSE, LSE, JSE).</w:t>
                  </w:r>
                </w:p>
              </w:tc>
            </w:tr>
          </w:tbl>
          <w:p w14:paraId="25893C63"/>
        </w:tc>
      </w:tr>
    </w:tbl>
    <w:p w14:paraId="7A828617">
      <w:pPr>
        <w:spacing w:before="80" w:after="0"/>
      </w:pPr>
    </w:p>
    <w:p w14:paraId="1CF5FCD5">
      <w:pPr>
        <w:spacing w:before="180" w:after="60"/>
      </w:pPr>
      <w:r>
        <w:rPr>
          <w:rFonts w:ascii="Arial" w:hAnsi="Arial" w:eastAsia="Arial" w:cs="Arial"/>
          <w:b/>
          <w:bCs/>
          <w:color w:val="4E342E"/>
          <w:sz w:val="23"/>
          <w:szCs w:val="23"/>
        </w:rPr>
        <w:t>4.8  SME &amp; Private Equity</w:t>
      </w:r>
    </w:p>
    <w:p w14:paraId="05CF81AD">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2AC7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4E342E"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07"/>
              <w:gridCol w:w="4053"/>
            </w:tblGrid>
            <w:tr w14:paraId="4DBC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4069" w:type="dxa"/>
              </w:trPr>
              <w:tc>
                <w:tcPr>
                  <w:tcW w:w="9360" w:type="dxa"/>
                  <w:tcBorders>
                    <w:top w:val="nil"/>
                    <w:left w:val="nil"/>
                    <w:bottom w:val="nil"/>
                    <w:right w:val="nil"/>
                  </w:tcBorders>
                  <w:shd w:val="clear" w:color="auto" w:fill="4E342E"/>
                  <w:tcMar>
                    <w:top w:w="100" w:type="dxa"/>
                    <w:left w:w="160" w:type="dxa"/>
                    <w:bottom w:w="100" w:type="dxa"/>
                    <w:right w:w="160" w:type="dxa"/>
                  </w:tcMar>
                </w:tcPr>
                <w:p w14:paraId="7DA2B91F">
                  <w:r>
                    <w:rPr>
                      <w:rFonts w:ascii="Arial" w:hAnsi="Arial" w:eastAsia="Arial" w:cs="Arial"/>
                      <w:b/>
                      <w:bCs/>
                      <w:color w:val="FFFFFF"/>
                      <w:sz w:val="24"/>
                      <w:szCs w:val="24"/>
                    </w:rPr>
                    <w:t>🏭  SME &amp; Private Equity</w:t>
                  </w:r>
                </w:p>
              </w:tc>
            </w:tr>
            <w:tr w14:paraId="5569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9580B0F">
                  <w:r>
                    <w:rPr>
                      <w:rFonts w:ascii="Arial" w:hAnsi="Arial" w:eastAsia="Arial" w:cs="Arial"/>
                      <w:b/>
                      <w:bCs/>
                      <w:color w:val="5A6B5E"/>
                      <w:sz w:val="19"/>
                      <w:szCs w:val="19"/>
                    </w:rPr>
                    <w:t>Includes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178592CA">
                  <w:r>
                    <w:rPr>
                      <w:rFonts w:ascii="Arial" w:hAnsi="Arial" w:eastAsia="Arial" w:cs="Arial"/>
                      <w:color w:val="0D1F15"/>
                      <w:sz w:val="19"/>
                      <w:szCs w:val="19"/>
                    </w:rPr>
                    <w:t>Equity stakes in verified Ugandan SMEs raising growth capital; profit-sharing schemes from established private businesses; pre-IPO stakes in high-growth startups.</w:t>
                  </w:r>
                </w:p>
              </w:tc>
            </w:tr>
            <w:tr w14:paraId="4CFC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69769399">
                  <w:r>
                    <w:rPr>
                      <w:rFonts w:ascii="Arial" w:hAnsi="Arial" w:eastAsia="Arial" w:cs="Arial"/>
                      <w:b/>
                      <w:bCs/>
                      <w:color w:val="5A6B5E"/>
                      <w:sz w:val="19"/>
                      <w:szCs w:val="19"/>
                    </w:rPr>
                    <w:t>Listers</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5DF61D7D">
                  <w:r>
                    <w:rPr>
                      <w:rFonts w:ascii="Arial" w:hAnsi="Arial" w:eastAsia="Arial" w:cs="Arial"/>
                      <w:color w:val="0D1F15"/>
                      <w:sz w:val="19"/>
                      <w:szCs w:val="19"/>
                    </w:rPr>
                    <w:t>CMA-registered companies; SMEs that pass OwnIt’s financial disclosure and audit requirements (minimum 2 years of audited accounts required).</w:t>
                  </w:r>
                </w:p>
              </w:tc>
            </w:tr>
            <w:tr w14:paraId="180C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18CF98E">
                  <w:r>
                    <w:rPr>
                      <w:rFonts w:ascii="Arial" w:hAnsi="Arial" w:eastAsia="Arial" w:cs="Arial"/>
                      <w:b/>
                      <w:bCs/>
                      <w:color w:val="5A6B5E"/>
                      <w:sz w:val="19"/>
                      <w:szCs w:val="19"/>
                    </w:rPr>
                    <w:t>Crowd Model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1E32622B">
                  <w:r>
                    <w:rPr>
                      <w:rFonts w:ascii="Arial" w:hAnsi="Arial" w:eastAsia="Arial" w:cs="Arial"/>
                      <w:color w:val="0D1F15"/>
                      <w:sz w:val="19"/>
                      <w:szCs w:val="19"/>
                    </w:rPr>
                    <w:t>Investors acquire fractional equity or profit-share rights in an SME. Quarterly profit distributions paid as agreed; full capital return on exit event or IPO.</w:t>
                  </w:r>
                </w:p>
              </w:tc>
            </w:tr>
            <w:tr w14:paraId="7A0F2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6E9A2679">
                  <w:r>
                    <w:rPr>
                      <w:rFonts w:ascii="Arial" w:hAnsi="Arial" w:eastAsia="Arial" w:cs="Arial"/>
                      <w:b/>
                      <w:bCs/>
                      <w:color w:val="5A6B5E"/>
                      <w:sz w:val="19"/>
                      <w:szCs w:val="19"/>
                    </w:rPr>
                    <w:t>Return</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7A53D377">
                  <w:r>
                    <w:rPr>
                      <w:rFonts w:ascii="Arial" w:hAnsi="Arial" w:eastAsia="Arial" w:cs="Arial"/>
                      <w:color w:val="0D1F15"/>
                      <w:sz w:val="19"/>
                      <w:szCs w:val="19"/>
                    </w:rPr>
                    <w:t>Profit share: 20–40% p.a. | Exit/IPO upside: 50–300%+ (variable and not guaranteed).</w:t>
                  </w:r>
                </w:p>
              </w:tc>
            </w:tr>
            <w:tr w14:paraId="07D2C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7939F73">
                  <w:r>
                    <w:rPr>
                      <w:rFonts w:ascii="Arial" w:hAnsi="Arial" w:eastAsia="Arial" w:cs="Arial"/>
                      <w:b/>
                      <w:bCs/>
                      <w:color w:val="5A6B5E"/>
                      <w:sz w:val="19"/>
                      <w:szCs w:val="19"/>
                    </w:rPr>
                    <w:t>Payout Period</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2C3E0539">
                  <w:r>
                    <w:rPr>
                      <w:rFonts w:ascii="Arial" w:hAnsi="Arial" w:eastAsia="Arial" w:cs="Arial"/>
                      <w:color w:val="0D1F15"/>
                      <w:sz w:val="19"/>
                      <w:szCs w:val="19"/>
                    </w:rPr>
                    <w:t>Quarterly profit distributions; capital gain on exit (24–60 months).</w:t>
                  </w:r>
                </w:p>
              </w:tc>
            </w:tr>
            <w:tr w14:paraId="06C0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8F8F8"/>
                  <w:tcMar>
                    <w:top w:w="50" w:type="dxa"/>
                    <w:left w:w="160" w:type="dxa"/>
                    <w:bottom w:w="50" w:type="dxa"/>
                    <w:right w:w="80" w:type="dxa"/>
                  </w:tcMar>
                  <w:vAlign w:val="top"/>
                </w:tcPr>
                <w:p w14:paraId="39F71788">
                  <w:r>
                    <w:rPr>
                      <w:rFonts w:ascii="Arial" w:hAnsi="Arial" w:eastAsia="Arial" w:cs="Arial"/>
                      <w:b/>
                      <w:bCs/>
                      <w:color w:val="5A6B5E"/>
                      <w:sz w:val="19"/>
                      <w:szCs w:val="19"/>
                    </w:rPr>
                    <w:t>Risk Level</w:t>
                  </w:r>
                </w:p>
              </w:tc>
              <w:tc>
                <w:tcPr>
                  <w:tcW w:w="6680" w:type="dxa"/>
                  <w:tcBorders>
                    <w:top w:val="nil"/>
                    <w:left w:val="nil"/>
                    <w:bottom w:val="nil"/>
                    <w:right w:val="nil"/>
                  </w:tcBorders>
                  <w:shd w:val="clear" w:color="auto" w:fill="F8F8F8"/>
                  <w:tcMar>
                    <w:top w:w="50" w:type="dxa"/>
                    <w:left w:w="80" w:type="dxa"/>
                    <w:bottom w:w="50" w:type="dxa"/>
                    <w:right w:w="120" w:type="dxa"/>
                  </w:tcMar>
                  <w:vAlign w:val="top"/>
                </w:tcPr>
                <w:p w14:paraId="073C9287">
                  <w:r>
                    <w:rPr>
                      <w:rFonts w:ascii="Arial" w:hAnsi="Arial" w:eastAsia="Arial" w:cs="Arial"/>
                      <w:color w:val="0D1F15"/>
                      <w:sz w:val="19"/>
                      <w:szCs w:val="19"/>
                    </w:rPr>
                    <w:t>High | Highest-risk class; compensated by highest return potential. Investors limited to maximum 20% of portfolio in this class.</w:t>
                  </w:r>
                </w:p>
              </w:tc>
            </w:tr>
          </w:tbl>
          <w:p w14:paraId="15740A6C"/>
        </w:tc>
      </w:tr>
    </w:tbl>
    <w:p w14:paraId="0F953477">
      <w:pPr>
        <w:spacing w:before="80" w:after="0"/>
      </w:pPr>
    </w:p>
    <w:p w14:paraId="4DC50F3B">
      <w:pPr>
        <w:spacing w:before="180" w:after="60"/>
      </w:pPr>
      <w:r>
        <w:rPr>
          <w:rFonts w:ascii="Arial" w:hAnsi="Arial" w:eastAsia="Arial" w:cs="Arial"/>
          <w:b/>
          <w:bCs/>
          <w:color w:val="37474F"/>
          <w:sz w:val="23"/>
          <w:szCs w:val="23"/>
        </w:rPr>
        <w:t>4.9  Open Asset Class — The Catch-All Framework</w:t>
      </w:r>
    </w:p>
    <w:p w14:paraId="76DDABFF">
      <w:pPr>
        <w:spacing w:before="4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5"/>
      </w:tblGrid>
      <w:tr w14:paraId="2280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37474F" w:sz="18" w:space="0"/>
              <w:bottom w:val="single" w:color="CCCCCC" w:sz="0" w:space="0"/>
              <w:right w:val="single" w:color="CCCCCC" w:sz="0" w:space="0"/>
            </w:tcBorders>
            <w:shd w:val="clear" w:color="auto" w:fill="F8F8F8"/>
            <w:tcMar>
              <w:top w:w="0" w:type="dxa"/>
              <w:left w:w="0" w:type="dxa"/>
              <w:bottom w:w="0" w:type="dxa"/>
              <w:right w:w="0" w:type="dxa"/>
            </w:tcMar>
          </w:tcPr>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8"/>
              <w:gridCol w:w="3992"/>
            </w:tblGrid>
            <w:tr w14:paraId="4EF6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3992" w:type="dxa"/>
              </w:trPr>
              <w:tc>
                <w:tcPr>
                  <w:tcW w:w="5368" w:type="dxa"/>
                  <w:tcBorders>
                    <w:top w:val="nil"/>
                    <w:left w:val="nil"/>
                    <w:bottom w:val="nil"/>
                    <w:right w:val="nil"/>
                  </w:tcBorders>
                  <w:shd w:val="clear" w:color="auto" w:fill="37474F"/>
                  <w:tcMar>
                    <w:top w:w="100" w:type="dxa"/>
                    <w:left w:w="160" w:type="dxa"/>
                    <w:bottom w:w="100" w:type="dxa"/>
                    <w:right w:w="160" w:type="dxa"/>
                  </w:tcMar>
                </w:tcPr>
                <w:p w14:paraId="2CD353B8">
                  <w:r>
                    <w:rPr>
                      <w:rFonts w:ascii="Arial" w:hAnsi="Arial" w:eastAsia="Arial" w:cs="Arial"/>
                      <w:b/>
                      <w:bCs/>
                      <w:color w:val="FFFFFF"/>
                      <w:sz w:val="24"/>
                      <w:szCs w:val="24"/>
                    </w:rPr>
                    <w:t>💡  Open Asset Framework</w:t>
                  </w:r>
                </w:p>
              </w:tc>
            </w:tr>
            <w:tr w14:paraId="50880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8" w:type="dxa"/>
                  <w:tcBorders>
                    <w:top w:val="nil"/>
                    <w:left w:val="nil"/>
                    <w:bottom w:val="nil"/>
                    <w:right w:val="nil"/>
                  </w:tcBorders>
                  <w:shd w:val="clear" w:color="auto" w:fill="F8F8F8"/>
                  <w:tcMar>
                    <w:top w:w="50" w:type="dxa"/>
                    <w:left w:w="160" w:type="dxa"/>
                    <w:bottom w:w="50" w:type="dxa"/>
                    <w:right w:w="80" w:type="dxa"/>
                  </w:tcMar>
                  <w:vAlign w:val="top"/>
                </w:tcPr>
                <w:p w14:paraId="73E6612F">
                  <w:r>
                    <w:rPr>
                      <w:rFonts w:ascii="Arial" w:hAnsi="Arial" w:eastAsia="Arial" w:cs="Arial"/>
                      <w:b/>
                      <w:bCs/>
                      <w:color w:val="5A6B5E"/>
                      <w:sz w:val="19"/>
                      <w:szCs w:val="19"/>
                    </w:rPr>
                    <w:t>Concept</w:t>
                  </w:r>
                </w:p>
              </w:tc>
              <w:tc>
                <w:tcPr>
                  <w:tcW w:w="3992" w:type="dxa"/>
                  <w:tcBorders>
                    <w:top w:val="nil"/>
                    <w:left w:val="nil"/>
                    <w:bottom w:val="nil"/>
                    <w:right w:val="nil"/>
                  </w:tcBorders>
                  <w:shd w:val="clear" w:color="auto" w:fill="F8F8F8"/>
                  <w:tcMar>
                    <w:top w:w="50" w:type="dxa"/>
                    <w:left w:w="80" w:type="dxa"/>
                    <w:bottom w:w="50" w:type="dxa"/>
                    <w:right w:w="120" w:type="dxa"/>
                  </w:tcMar>
                  <w:vAlign w:val="top"/>
                </w:tcPr>
                <w:p w14:paraId="555D419C">
                  <w:r>
                    <w:rPr>
                      <w:rFonts w:ascii="Arial" w:hAnsi="Arial" w:eastAsia="Arial" w:cs="Arial"/>
                      <w:color w:val="0D1F15"/>
                      <w:sz w:val="19"/>
                      <w:szCs w:val="19"/>
                    </w:rPr>
                    <w:t>OwnIt’s platform architecture is designed to accommodate any income-generating, legally compliant asset that does not fit the above eight classes.</w:t>
                  </w:r>
                </w:p>
              </w:tc>
            </w:tr>
            <w:tr w14:paraId="6C27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8" w:type="dxa"/>
                  <w:tcBorders>
                    <w:top w:val="nil"/>
                    <w:left w:val="nil"/>
                    <w:bottom w:val="nil"/>
                    <w:right w:val="nil"/>
                  </w:tcBorders>
                  <w:shd w:val="clear" w:color="auto" w:fill="F8F8F8"/>
                  <w:tcMar>
                    <w:top w:w="50" w:type="dxa"/>
                    <w:left w:w="160" w:type="dxa"/>
                    <w:bottom w:w="50" w:type="dxa"/>
                    <w:right w:w="80" w:type="dxa"/>
                  </w:tcMar>
                  <w:vAlign w:val="top"/>
                </w:tcPr>
                <w:p w14:paraId="45E0D12D">
                  <w:r>
                    <w:rPr>
                      <w:rFonts w:ascii="Arial" w:hAnsi="Arial" w:eastAsia="Arial" w:cs="Arial"/>
                      <w:b/>
                      <w:bCs/>
                      <w:color w:val="5A6B5E"/>
                      <w:sz w:val="19"/>
                      <w:szCs w:val="19"/>
                    </w:rPr>
                    <w:t>Examples</w:t>
                  </w:r>
                </w:p>
              </w:tc>
              <w:tc>
                <w:tcPr>
                  <w:tcW w:w="3992" w:type="dxa"/>
                  <w:tcBorders>
                    <w:top w:val="nil"/>
                    <w:left w:val="nil"/>
                    <w:bottom w:val="nil"/>
                    <w:right w:val="nil"/>
                  </w:tcBorders>
                  <w:shd w:val="clear" w:color="auto" w:fill="F8F8F8"/>
                  <w:tcMar>
                    <w:top w:w="50" w:type="dxa"/>
                    <w:left w:w="80" w:type="dxa"/>
                    <w:bottom w:w="50" w:type="dxa"/>
                    <w:right w:w="120" w:type="dxa"/>
                  </w:tcMar>
                  <w:vAlign w:val="top"/>
                </w:tcPr>
                <w:p w14:paraId="3B7595C9">
                  <w:pPr>
                    <w:rPr>
                      <w:rFonts w:hint="default"/>
                      <w:lang w:val="en-US"/>
                    </w:rPr>
                  </w:pPr>
                  <w:r>
                    <w:rPr>
                      <w:rFonts w:ascii="Arial" w:hAnsi="Arial" w:eastAsia="Arial" w:cs="Arial"/>
                      <w:color w:val="0D1F15"/>
                      <w:sz w:val="19"/>
                      <w:szCs w:val="19"/>
                    </w:rPr>
                    <w:t>Film/music production funding; sports athlete sponsorship contracts; water infrastructure projects; hospital/school construction; carbon credit trading; loan financing.</w:t>
                  </w:r>
                </w:p>
              </w:tc>
            </w:tr>
            <w:tr w14:paraId="47BAF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8" w:type="dxa"/>
                  <w:tcBorders>
                    <w:top w:val="nil"/>
                    <w:left w:val="nil"/>
                    <w:bottom w:val="nil"/>
                    <w:right w:val="nil"/>
                  </w:tcBorders>
                  <w:shd w:val="clear" w:color="auto" w:fill="F8F8F8"/>
                  <w:tcMar>
                    <w:top w:w="50" w:type="dxa"/>
                    <w:left w:w="160" w:type="dxa"/>
                    <w:bottom w:w="50" w:type="dxa"/>
                    <w:right w:w="80" w:type="dxa"/>
                  </w:tcMar>
                  <w:vAlign w:val="top"/>
                </w:tcPr>
                <w:p w14:paraId="137AEB09">
                  <w:r>
                    <w:rPr>
                      <w:rFonts w:ascii="Arial" w:hAnsi="Arial" w:eastAsia="Arial" w:cs="Arial"/>
                      <w:b/>
                      <w:bCs/>
                      <w:color w:val="5A6B5E"/>
                      <w:sz w:val="19"/>
                      <w:szCs w:val="19"/>
                    </w:rPr>
                    <w:t>Approval</w:t>
                  </w:r>
                </w:p>
              </w:tc>
              <w:tc>
                <w:tcPr>
                  <w:tcW w:w="3992" w:type="dxa"/>
                  <w:tcBorders>
                    <w:top w:val="nil"/>
                    <w:left w:val="nil"/>
                    <w:bottom w:val="nil"/>
                    <w:right w:val="nil"/>
                  </w:tcBorders>
                  <w:shd w:val="clear" w:color="auto" w:fill="F8F8F8"/>
                  <w:tcMar>
                    <w:top w:w="50" w:type="dxa"/>
                    <w:left w:w="80" w:type="dxa"/>
                    <w:bottom w:w="50" w:type="dxa"/>
                    <w:right w:w="120" w:type="dxa"/>
                  </w:tcMar>
                  <w:vAlign w:val="top"/>
                </w:tcPr>
                <w:p w14:paraId="21EB0C45">
                  <w:r>
                    <w:rPr>
                      <w:rFonts w:ascii="Arial" w:hAnsi="Arial" w:eastAsia="Arial" w:cs="Arial"/>
                      <w:color w:val="0D1F15"/>
                      <w:sz w:val="19"/>
                      <w:szCs w:val="19"/>
                    </w:rPr>
                    <w:t>Open-class assets require enhanced due diligence and must receive sign-off from OwnIt’s Asset Admissions Committee (which includes an NSSF nominee).</w:t>
                  </w:r>
                </w:p>
              </w:tc>
            </w:tr>
            <w:tr w14:paraId="1EBF6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8" w:type="dxa"/>
                  <w:tcBorders>
                    <w:top w:val="nil"/>
                    <w:left w:val="nil"/>
                    <w:bottom w:val="nil"/>
                    <w:right w:val="nil"/>
                  </w:tcBorders>
                  <w:shd w:val="clear" w:color="auto" w:fill="F8F8F8"/>
                  <w:tcMar>
                    <w:top w:w="50" w:type="dxa"/>
                    <w:left w:w="160" w:type="dxa"/>
                    <w:bottom w:w="50" w:type="dxa"/>
                    <w:right w:w="80" w:type="dxa"/>
                  </w:tcMar>
                  <w:vAlign w:val="top"/>
                </w:tcPr>
                <w:p w14:paraId="1E9E8E4C">
                  <w:r>
                    <w:rPr>
                      <w:rFonts w:ascii="Arial" w:hAnsi="Arial" w:eastAsia="Arial" w:cs="Arial"/>
                      <w:b/>
                      <w:bCs/>
                      <w:color w:val="5A6B5E"/>
                      <w:sz w:val="19"/>
                      <w:szCs w:val="19"/>
                    </w:rPr>
                    <w:t>Return</w:t>
                  </w:r>
                </w:p>
              </w:tc>
              <w:tc>
                <w:tcPr>
                  <w:tcW w:w="3992" w:type="dxa"/>
                  <w:tcBorders>
                    <w:top w:val="nil"/>
                    <w:left w:val="nil"/>
                    <w:bottom w:val="nil"/>
                    <w:right w:val="nil"/>
                  </w:tcBorders>
                  <w:shd w:val="clear" w:color="auto" w:fill="F8F8F8"/>
                  <w:tcMar>
                    <w:top w:w="50" w:type="dxa"/>
                    <w:left w:w="80" w:type="dxa"/>
                    <w:bottom w:w="50" w:type="dxa"/>
                    <w:right w:w="120" w:type="dxa"/>
                  </w:tcMar>
                  <w:vAlign w:val="top"/>
                </w:tcPr>
                <w:p w14:paraId="24428808">
                  <w:r>
                    <w:rPr>
                      <w:rFonts w:ascii="Arial" w:hAnsi="Arial" w:eastAsia="Arial" w:cs="Arial"/>
                      <w:color w:val="0D1F15"/>
                      <w:sz w:val="19"/>
                      <w:szCs w:val="19"/>
                    </w:rPr>
                    <w:t>Highly variable — disclosed per listing prior to funding opening.</w:t>
                  </w:r>
                </w:p>
              </w:tc>
            </w:tr>
            <w:tr w14:paraId="2309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8" w:type="dxa"/>
                  <w:tcBorders>
                    <w:top w:val="nil"/>
                    <w:left w:val="nil"/>
                    <w:bottom w:val="nil"/>
                    <w:right w:val="nil"/>
                  </w:tcBorders>
                  <w:shd w:val="clear" w:color="auto" w:fill="F8F8F8"/>
                  <w:tcMar>
                    <w:top w:w="50" w:type="dxa"/>
                    <w:left w:w="160" w:type="dxa"/>
                    <w:bottom w:w="50" w:type="dxa"/>
                    <w:right w:w="80" w:type="dxa"/>
                  </w:tcMar>
                  <w:vAlign w:val="top"/>
                </w:tcPr>
                <w:p w14:paraId="55C16E17">
                  <w:r>
                    <w:rPr>
                      <w:rFonts w:ascii="Arial" w:hAnsi="Arial" w:eastAsia="Arial" w:cs="Arial"/>
                      <w:b/>
                      <w:bCs/>
                      <w:color w:val="5A6B5E"/>
                      <w:sz w:val="19"/>
                      <w:szCs w:val="19"/>
                    </w:rPr>
                    <w:t>Risk Level</w:t>
                  </w:r>
                </w:p>
              </w:tc>
              <w:tc>
                <w:tcPr>
                  <w:tcW w:w="3992" w:type="dxa"/>
                  <w:tcBorders>
                    <w:top w:val="nil"/>
                    <w:left w:val="nil"/>
                    <w:bottom w:val="nil"/>
                    <w:right w:val="nil"/>
                  </w:tcBorders>
                  <w:shd w:val="clear" w:color="auto" w:fill="F8F8F8"/>
                  <w:tcMar>
                    <w:top w:w="50" w:type="dxa"/>
                    <w:left w:w="80" w:type="dxa"/>
                    <w:bottom w:w="50" w:type="dxa"/>
                    <w:right w:w="120" w:type="dxa"/>
                  </w:tcMar>
                  <w:vAlign w:val="top"/>
                </w:tcPr>
                <w:p w14:paraId="1C17078E">
                  <w:r>
                    <w:rPr>
                      <w:rFonts w:ascii="Arial" w:hAnsi="Arial" w:eastAsia="Arial" w:cs="Arial"/>
                      <w:color w:val="0D1F15"/>
                      <w:sz w:val="19"/>
                      <w:szCs w:val="19"/>
                    </w:rPr>
                    <w:t>Variable — disclosed per listing; higher-risk open assets carry mandatory investor education warnings and reduced portfolio allocation limits.</w:t>
                  </w:r>
                </w:p>
              </w:tc>
            </w:tr>
          </w:tbl>
          <w:p w14:paraId="49F76B3B"/>
        </w:tc>
      </w:tr>
    </w:tbl>
    <w:p w14:paraId="5975B261">
      <w:pPr>
        <w:spacing w:before="80" w:after="0"/>
      </w:pPr>
    </w:p>
    <w:p w14:paraId="1A990CCF">
      <w:pPr>
        <w:pStyle w:val="3"/>
        <w:spacing w:before="240" w:after="80"/>
      </w:pPr>
      <w:r>
        <w:rPr>
          <w:rFonts w:ascii="Arial" w:hAnsi="Arial" w:eastAsia="Arial" w:cs="Arial"/>
          <w:b/>
          <w:bCs/>
          <w:color w:val="0D1F15"/>
          <w:sz w:val="26"/>
          <w:szCs w:val="26"/>
        </w:rPr>
        <w:t>4.10 Asset Class Master Summary</w:t>
      </w:r>
    </w:p>
    <w:tbl>
      <w:tblPr>
        <w:tblStyle w:val="9"/>
        <w:tblW w:w="95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
        <w:gridCol w:w="2158"/>
        <w:gridCol w:w="1027"/>
        <w:gridCol w:w="1541"/>
        <w:gridCol w:w="1439"/>
        <w:gridCol w:w="1541"/>
        <w:gridCol w:w="1541"/>
      </w:tblGrid>
      <w:tr w14:paraId="2BEC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D4D612E">
            <w:pPr>
              <w:jc w:val="left"/>
            </w:pPr>
            <w:r>
              <w:rPr>
                <w:rFonts w:ascii="Arial" w:hAnsi="Arial" w:eastAsia="Arial" w:cs="Arial"/>
                <w:b/>
                <w:bCs/>
                <w:color w:val="FFFFFF"/>
                <w:sz w:val="19"/>
                <w:szCs w:val="19"/>
              </w:rPr>
              <w:t>#</w:t>
            </w:r>
          </w:p>
        </w:tc>
        <w:tc>
          <w:tcPr>
            <w:tcW w:w="2158"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24DB029">
            <w:pPr>
              <w:jc w:val="left"/>
            </w:pPr>
            <w:r>
              <w:rPr>
                <w:rFonts w:ascii="Arial" w:hAnsi="Arial" w:eastAsia="Arial" w:cs="Arial"/>
                <w:b/>
                <w:bCs/>
                <w:color w:val="FFFFFF"/>
                <w:sz w:val="19"/>
                <w:szCs w:val="19"/>
              </w:rPr>
              <w:t>Asset Class</w:t>
            </w:r>
          </w:p>
        </w:tc>
        <w:tc>
          <w:tcPr>
            <w:tcW w:w="1027"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1710017E">
            <w:pPr>
              <w:jc w:val="left"/>
            </w:pPr>
            <w:r>
              <w:rPr>
                <w:rFonts w:ascii="Arial" w:hAnsi="Arial" w:eastAsia="Arial" w:cs="Arial"/>
                <w:b/>
                <w:bCs/>
                <w:color w:val="FFFFFF"/>
                <w:sz w:val="19"/>
                <w:szCs w:val="19"/>
              </w:rPr>
              <w:t>Min. Invest</w:t>
            </w:r>
          </w:p>
        </w:tc>
        <w:tc>
          <w:tcPr>
            <w:tcW w:w="1541"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399AC8A">
            <w:pPr>
              <w:jc w:val="left"/>
            </w:pPr>
            <w:r>
              <w:rPr>
                <w:rFonts w:ascii="Arial" w:hAnsi="Arial" w:eastAsia="Arial" w:cs="Arial"/>
                <w:b/>
                <w:bCs/>
                <w:color w:val="FFFFFF"/>
                <w:sz w:val="19"/>
                <w:szCs w:val="19"/>
              </w:rPr>
              <w:t>Expected Return</w:t>
            </w:r>
          </w:p>
        </w:tc>
        <w:tc>
          <w:tcPr>
            <w:tcW w:w="1439"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53C7CB02">
            <w:pPr>
              <w:jc w:val="left"/>
            </w:pPr>
            <w:r>
              <w:rPr>
                <w:rFonts w:ascii="Arial" w:hAnsi="Arial" w:eastAsia="Arial" w:cs="Arial"/>
                <w:b/>
                <w:bCs/>
                <w:color w:val="FFFFFF"/>
                <w:sz w:val="19"/>
                <w:szCs w:val="19"/>
              </w:rPr>
              <w:t>Payout Period</w:t>
            </w:r>
          </w:p>
        </w:tc>
        <w:tc>
          <w:tcPr>
            <w:tcW w:w="1541"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47BA6AC3">
            <w:pPr>
              <w:jc w:val="left"/>
            </w:pPr>
            <w:r>
              <w:rPr>
                <w:rFonts w:ascii="Arial" w:hAnsi="Arial" w:eastAsia="Arial" w:cs="Arial"/>
                <w:b/>
                <w:bCs/>
                <w:color w:val="FFFFFF"/>
                <w:sz w:val="19"/>
                <w:szCs w:val="19"/>
              </w:rPr>
              <w:t>Risk</w:t>
            </w:r>
          </w:p>
        </w:tc>
        <w:tc>
          <w:tcPr>
            <w:tcW w:w="1541"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5291A371">
            <w:pPr>
              <w:jc w:val="left"/>
              <w:rPr>
                <w:rFonts w:ascii="Arial" w:hAnsi="Arial" w:eastAsia="Arial" w:cs="Arial"/>
                <w:b/>
                <w:bCs/>
                <w:color w:val="FFFFFF"/>
                <w:sz w:val="19"/>
                <w:szCs w:val="19"/>
              </w:rPr>
            </w:pPr>
            <w:r>
              <w:rPr>
                <w:rFonts w:ascii="Arial" w:hAnsi="Arial" w:eastAsia="Arial" w:cs="Arial"/>
                <w:b/>
                <w:bCs/>
                <w:color w:val="FFFFFF"/>
                <w:sz w:val="19"/>
                <w:szCs w:val="19"/>
              </w:rPr>
              <w:t>SFL
Synergy</w:t>
            </w:r>
          </w:p>
        </w:tc>
      </w:tr>
      <w:tr w14:paraId="0461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6378B4E7">
            <w:pPr>
              <w:jc w:val="center"/>
            </w:pPr>
            <w:r>
              <w:rPr>
                <w:rFonts w:ascii="Arial" w:hAnsi="Arial" w:eastAsia="Arial" w:cs="Arial"/>
                <w:b/>
                <w:bCs/>
                <w:color w:val="0D1F15"/>
                <w:sz w:val="19"/>
                <w:szCs w:val="19"/>
              </w:rPr>
              <w:t>1</w:t>
            </w:r>
          </w:p>
        </w:tc>
        <w:tc>
          <w:tcPr>
            <w:tcW w:w="215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C66A5D7">
            <w:pPr>
              <w:jc w:val="left"/>
            </w:pPr>
            <w:r>
              <w:rPr>
                <w:rFonts w:ascii="Arial" w:hAnsi="Arial" w:eastAsia="Arial" w:cs="Arial"/>
                <w:b/>
                <w:bCs/>
                <w:color w:val="0D1F15"/>
                <w:sz w:val="19"/>
                <w:szCs w:val="19"/>
              </w:rPr>
              <w:t>Real Estate (Rental)</w:t>
            </w:r>
          </w:p>
        </w:tc>
        <w:tc>
          <w:tcPr>
            <w:tcW w:w="1027"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07401B7">
            <w:pPr>
              <w:jc w:val="left"/>
            </w:pPr>
            <w:r>
              <w:rPr>
                <w:rFonts w:ascii="Arial" w:hAnsi="Arial" w:eastAsia="Arial" w:cs="Arial"/>
                <w:b w:val="0"/>
                <w:bCs w:val="0"/>
                <w:color w:val="0D1F15"/>
                <w:sz w:val="19"/>
                <w:szCs w:val="19"/>
              </w:rPr>
              <w:t>UGX 50K</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DB3A61C">
            <w:pPr>
              <w:jc w:val="left"/>
            </w:pPr>
            <w:r>
              <w:rPr>
                <w:rFonts w:ascii="Arial" w:hAnsi="Arial" w:eastAsia="Arial" w:cs="Arial"/>
                <w:b w:val="0"/>
                <w:bCs w:val="0"/>
                <w:color w:val="0D1F15"/>
                <w:sz w:val="19"/>
                <w:szCs w:val="19"/>
              </w:rPr>
              <w:t>10–16% p.a.</w:t>
            </w:r>
          </w:p>
        </w:tc>
        <w:tc>
          <w:tcPr>
            <w:tcW w:w="143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C6A6B0D">
            <w:pPr>
              <w:jc w:val="left"/>
            </w:pPr>
            <w:r>
              <w:rPr>
                <w:rFonts w:ascii="Arial" w:hAnsi="Arial" w:eastAsia="Arial" w:cs="Arial"/>
                <w:b w:val="0"/>
                <w:bCs w:val="0"/>
                <w:color w:val="0D1F15"/>
                <w:sz w:val="19"/>
                <w:szCs w:val="19"/>
              </w:rPr>
              <w:t>Monthly</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4F77762">
            <w:pPr>
              <w:jc w:val="left"/>
            </w:pPr>
            <w:r>
              <w:rPr>
                <w:rFonts w:ascii="Arial" w:hAnsi="Arial" w:eastAsia="Arial" w:cs="Arial"/>
                <w:b w:val="0"/>
                <w:bCs w:val="0"/>
                <w:color w:val="0D1F15"/>
                <w:sz w:val="19"/>
                <w:szCs w:val="19"/>
              </w:rPr>
              <w:t>Low–Med</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DB67FC2">
            <w:pPr>
              <w:jc w:val="left"/>
              <w:rPr>
                <w:rFonts w:ascii="Arial" w:hAnsi="Arial" w:eastAsia="Arial" w:cs="Arial"/>
                <w:color w:val="0D1F15"/>
                <w:sz w:val="19"/>
                <w:szCs w:val="19"/>
              </w:rPr>
            </w:pPr>
            <w:r>
              <w:rPr>
                <w:rFonts w:ascii="Arial" w:hAnsi="Arial" w:eastAsia="Arial" w:cs="Arial"/>
                <w:b w:val="0"/>
                <w:bCs w:val="0"/>
                <w:color w:val="0D1F15"/>
                <w:sz w:val="19"/>
                <w:szCs w:val="19"/>
              </w:rPr>
              <w:t>High</w:t>
            </w:r>
          </w:p>
        </w:tc>
      </w:tr>
      <w:tr w14:paraId="108E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0F4F81C7">
            <w:pPr>
              <w:jc w:val="center"/>
            </w:pPr>
            <w:r>
              <w:rPr>
                <w:rFonts w:ascii="Arial" w:hAnsi="Arial" w:eastAsia="Arial" w:cs="Arial"/>
                <w:b/>
                <w:bCs/>
                <w:color w:val="0D1F15"/>
                <w:sz w:val="19"/>
                <w:szCs w:val="19"/>
              </w:rPr>
              <w:t>2</w:t>
            </w:r>
          </w:p>
        </w:tc>
        <w:tc>
          <w:tcPr>
            <w:tcW w:w="2158"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1CE42BE">
            <w:pPr>
              <w:jc w:val="left"/>
            </w:pPr>
            <w:r>
              <w:rPr>
                <w:rFonts w:ascii="Arial" w:hAnsi="Arial" w:eastAsia="Arial" w:cs="Arial"/>
                <w:b/>
                <w:bCs/>
                <w:color w:val="0D1F15"/>
                <w:sz w:val="19"/>
                <w:szCs w:val="19"/>
              </w:rPr>
              <w:t>Real Estate (Construction)</w:t>
            </w:r>
          </w:p>
        </w:tc>
        <w:tc>
          <w:tcPr>
            <w:tcW w:w="1027"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3F809FF">
            <w:pPr>
              <w:jc w:val="left"/>
            </w:pPr>
            <w:r>
              <w:rPr>
                <w:rFonts w:ascii="Arial" w:hAnsi="Arial" w:eastAsia="Arial" w:cs="Arial"/>
                <w:b w:val="0"/>
                <w:bCs w:val="0"/>
                <w:color w:val="0D1F15"/>
                <w:sz w:val="19"/>
                <w:szCs w:val="19"/>
              </w:rPr>
              <w:t>UGX 100K</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2F82A00">
            <w:pPr>
              <w:jc w:val="left"/>
            </w:pPr>
            <w:r>
              <w:rPr>
                <w:rFonts w:ascii="Arial" w:hAnsi="Arial" w:eastAsia="Arial" w:cs="Arial"/>
                <w:b w:val="0"/>
                <w:bCs w:val="0"/>
                <w:color w:val="0D1F15"/>
                <w:sz w:val="19"/>
                <w:szCs w:val="19"/>
              </w:rPr>
              <w:t>20–35% total</w:t>
            </w:r>
          </w:p>
        </w:tc>
        <w:tc>
          <w:tcPr>
            <w:tcW w:w="1439"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ECC4CAF">
            <w:pPr>
              <w:jc w:val="left"/>
            </w:pPr>
            <w:r>
              <w:rPr>
                <w:rFonts w:ascii="Arial" w:hAnsi="Arial" w:eastAsia="Arial" w:cs="Arial"/>
                <w:b w:val="0"/>
                <w:bCs w:val="0"/>
                <w:color w:val="0D1F15"/>
                <w:sz w:val="19"/>
                <w:szCs w:val="19"/>
              </w:rPr>
              <w:t>12–24 months</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5D4102B">
            <w:pPr>
              <w:jc w:val="left"/>
            </w:pPr>
            <w:r>
              <w:rPr>
                <w:rFonts w:ascii="Arial" w:hAnsi="Arial" w:eastAsia="Arial" w:cs="Arial"/>
                <w:b w:val="0"/>
                <w:bCs w:val="0"/>
                <w:color w:val="0D1F15"/>
                <w:sz w:val="19"/>
                <w:szCs w:val="19"/>
              </w:rPr>
              <w:t>Medium</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06FE16E">
            <w:pPr>
              <w:jc w:val="left"/>
              <w:rPr>
                <w:rFonts w:ascii="Arial" w:hAnsi="Arial" w:eastAsia="Arial" w:cs="Arial"/>
                <w:color w:val="0D1F15"/>
                <w:sz w:val="19"/>
                <w:szCs w:val="19"/>
              </w:rPr>
            </w:pPr>
            <w:r>
              <w:rPr>
                <w:rFonts w:ascii="Arial" w:hAnsi="Arial" w:eastAsia="Arial" w:cs="Arial"/>
                <w:b w:val="0"/>
                <w:bCs w:val="0"/>
                <w:color w:val="0D1F15"/>
                <w:sz w:val="19"/>
                <w:szCs w:val="19"/>
              </w:rPr>
              <w:t>Med</w:t>
            </w:r>
          </w:p>
        </w:tc>
      </w:tr>
      <w:tr w14:paraId="5B9B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DF3D605">
            <w:pPr>
              <w:jc w:val="center"/>
            </w:pPr>
            <w:r>
              <w:rPr>
                <w:rFonts w:ascii="Arial" w:hAnsi="Arial" w:eastAsia="Arial" w:cs="Arial"/>
                <w:b/>
                <w:bCs/>
                <w:color w:val="0D1F15"/>
                <w:sz w:val="19"/>
                <w:szCs w:val="19"/>
              </w:rPr>
              <w:t>3</w:t>
            </w:r>
          </w:p>
        </w:tc>
        <w:tc>
          <w:tcPr>
            <w:tcW w:w="215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9BAC64A">
            <w:pPr>
              <w:jc w:val="left"/>
            </w:pPr>
            <w:r>
              <w:rPr>
                <w:rFonts w:ascii="Arial" w:hAnsi="Arial" w:eastAsia="Arial" w:cs="Arial"/>
                <w:b/>
                <w:bCs/>
                <w:color w:val="0D1F15"/>
                <w:sz w:val="19"/>
                <w:szCs w:val="19"/>
              </w:rPr>
              <w:t>Petroleum / Oil Options</w:t>
            </w:r>
          </w:p>
        </w:tc>
        <w:tc>
          <w:tcPr>
            <w:tcW w:w="1027"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9F1CC28">
            <w:pPr>
              <w:jc w:val="left"/>
            </w:pPr>
            <w:r>
              <w:rPr>
                <w:rFonts w:ascii="Arial" w:hAnsi="Arial" w:eastAsia="Arial" w:cs="Arial"/>
                <w:b w:val="0"/>
                <w:bCs w:val="0"/>
                <w:color w:val="0D1F15"/>
                <w:sz w:val="19"/>
                <w:szCs w:val="19"/>
              </w:rPr>
              <w:t>UGX 100K</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D85AED8">
            <w:pPr>
              <w:jc w:val="left"/>
            </w:pPr>
            <w:r>
              <w:rPr>
                <w:rFonts w:ascii="Arial" w:hAnsi="Arial" w:eastAsia="Arial" w:cs="Arial"/>
                <w:b w:val="0"/>
                <w:bCs w:val="0"/>
                <w:color w:val="0D1F15"/>
                <w:sz w:val="19"/>
                <w:szCs w:val="19"/>
              </w:rPr>
              <w:t>8–40%/cycle</w:t>
            </w:r>
          </w:p>
        </w:tc>
        <w:tc>
          <w:tcPr>
            <w:tcW w:w="143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98A5E2E">
            <w:pPr>
              <w:jc w:val="left"/>
            </w:pPr>
            <w:r>
              <w:rPr>
                <w:rFonts w:ascii="Arial" w:hAnsi="Arial" w:eastAsia="Arial" w:cs="Arial"/>
                <w:b w:val="0"/>
                <w:bCs w:val="0"/>
                <w:color w:val="0D1F15"/>
                <w:sz w:val="19"/>
                <w:szCs w:val="19"/>
              </w:rPr>
              <w:t>7–90 days</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70D38A3">
            <w:pPr>
              <w:jc w:val="left"/>
            </w:pPr>
            <w:r>
              <w:rPr>
                <w:rFonts w:ascii="Arial" w:hAnsi="Arial" w:eastAsia="Arial" w:cs="Arial"/>
                <w:b w:val="0"/>
                <w:bCs w:val="0"/>
                <w:color w:val="0D1F15"/>
                <w:sz w:val="19"/>
                <w:szCs w:val="19"/>
              </w:rPr>
              <w:t>Medium</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2ADE352">
            <w:pPr>
              <w:jc w:val="left"/>
              <w:rPr>
                <w:rFonts w:ascii="Arial" w:hAnsi="Arial" w:eastAsia="Arial" w:cs="Arial"/>
                <w:color w:val="0D1F15"/>
                <w:sz w:val="19"/>
                <w:szCs w:val="19"/>
              </w:rPr>
            </w:pPr>
            <w:r>
              <w:rPr>
                <w:rFonts w:ascii="Arial" w:hAnsi="Arial" w:eastAsia="Arial" w:cs="Arial"/>
                <w:b w:val="0"/>
                <w:bCs w:val="0"/>
                <w:color w:val="0D1F15"/>
                <w:sz w:val="19"/>
                <w:szCs w:val="19"/>
              </w:rPr>
              <w:t>High</w:t>
            </w:r>
          </w:p>
        </w:tc>
      </w:tr>
      <w:tr w14:paraId="3194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C3502B9">
            <w:pPr>
              <w:jc w:val="center"/>
            </w:pPr>
            <w:r>
              <w:rPr>
                <w:rFonts w:ascii="Arial" w:hAnsi="Arial" w:eastAsia="Arial" w:cs="Arial"/>
                <w:b/>
                <w:bCs/>
                <w:color w:val="0D1F15"/>
                <w:sz w:val="19"/>
                <w:szCs w:val="19"/>
              </w:rPr>
              <w:t>4</w:t>
            </w:r>
          </w:p>
        </w:tc>
        <w:tc>
          <w:tcPr>
            <w:tcW w:w="2158"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AF2AE69">
            <w:pPr>
              <w:jc w:val="left"/>
            </w:pPr>
            <w:r>
              <w:rPr>
                <w:rFonts w:ascii="Arial" w:hAnsi="Arial" w:eastAsia="Arial" w:cs="Arial"/>
                <w:b/>
                <w:bCs/>
                <w:color w:val="0D1F15"/>
                <w:sz w:val="19"/>
                <w:szCs w:val="19"/>
              </w:rPr>
              <w:t>Agri-Commodities</w:t>
            </w:r>
          </w:p>
        </w:tc>
        <w:tc>
          <w:tcPr>
            <w:tcW w:w="1027"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57F70DF">
            <w:pPr>
              <w:jc w:val="left"/>
            </w:pPr>
            <w:r>
              <w:rPr>
                <w:rFonts w:ascii="Arial" w:hAnsi="Arial" w:eastAsia="Arial" w:cs="Arial"/>
                <w:b w:val="0"/>
                <w:bCs w:val="0"/>
                <w:color w:val="0D1F15"/>
                <w:sz w:val="19"/>
                <w:szCs w:val="19"/>
              </w:rPr>
              <w:t>UGX 50K</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6313CD9">
            <w:pPr>
              <w:jc w:val="left"/>
            </w:pPr>
            <w:r>
              <w:rPr>
                <w:rFonts w:ascii="Arial" w:hAnsi="Arial" w:eastAsia="Arial" w:cs="Arial"/>
                <w:b w:val="0"/>
                <w:bCs w:val="0"/>
                <w:color w:val="0D1F15"/>
                <w:sz w:val="19"/>
                <w:szCs w:val="19"/>
              </w:rPr>
              <w:t>15–45%/cycle</w:t>
            </w:r>
          </w:p>
        </w:tc>
        <w:tc>
          <w:tcPr>
            <w:tcW w:w="1439"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7088F04">
            <w:pPr>
              <w:jc w:val="left"/>
            </w:pPr>
            <w:r>
              <w:rPr>
                <w:rFonts w:ascii="Arial" w:hAnsi="Arial" w:eastAsia="Arial" w:cs="Arial"/>
                <w:b w:val="0"/>
                <w:bCs w:val="0"/>
                <w:color w:val="0D1F15"/>
                <w:sz w:val="19"/>
                <w:szCs w:val="19"/>
              </w:rPr>
              <w:t>30–120 days</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1778921">
            <w:pPr>
              <w:jc w:val="left"/>
            </w:pPr>
            <w:r>
              <w:rPr>
                <w:rFonts w:ascii="Arial" w:hAnsi="Arial" w:eastAsia="Arial" w:cs="Arial"/>
                <w:b w:val="0"/>
                <w:bCs w:val="0"/>
                <w:color w:val="0D1F15"/>
                <w:sz w:val="19"/>
                <w:szCs w:val="19"/>
              </w:rPr>
              <w:t>Medium</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D6C9D5B">
            <w:pPr>
              <w:jc w:val="left"/>
              <w:rPr>
                <w:rFonts w:ascii="Arial" w:hAnsi="Arial" w:eastAsia="Arial" w:cs="Arial"/>
                <w:color w:val="0D1F15"/>
                <w:sz w:val="19"/>
                <w:szCs w:val="19"/>
              </w:rPr>
            </w:pPr>
            <w:r>
              <w:rPr>
                <w:rFonts w:ascii="Arial" w:hAnsi="Arial" w:eastAsia="Arial" w:cs="Arial"/>
                <w:b w:val="0"/>
                <w:bCs w:val="0"/>
                <w:color w:val="0D1F15"/>
                <w:sz w:val="19"/>
                <w:szCs w:val="19"/>
              </w:rPr>
              <w:t>High</w:t>
            </w:r>
          </w:p>
        </w:tc>
      </w:tr>
      <w:tr w14:paraId="48F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52CC058">
            <w:pPr>
              <w:jc w:val="center"/>
            </w:pPr>
            <w:r>
              <w:rPr>
                <w:rFonts w:ascii="Arial" w:hAnsi="Arial" w:eastAsia="Arial" w:cs="Arial"/>
                <w:b/>
                <w:bCs/>
                <w:color w:val="0D1F15"/>
                <w:sz w:val="19"/>
                <w:szCs w:val="19"/>
              </w:rPr>
              <w:t>5</w:t>
            </w:r>
          </w:p>
        </w:tc>
        <w:tc>
          <w:tcPr>
            <w:tcW w:w="215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5F16B7D">
            <w:pPr>
              <w:jc w:val="left"/>
            </w:pPr>
            <w:r>
              <w:rPr>
                <w:rFonts w:ascii="Arial" w:hAnsi="Arial" w:eastAsia="Arial" w:cs="Arial"/>
                <w:b/>
                <w:bCs/>
                <w:color w:val="0D1F15"/>
                <w:sz w:val="19"/>
                <w:szCs w:val="19"/>
              </w:rPr>
              <w:t>T-Bills / Bonds / Notes</w:t>
            </w:r>
          </w:p>
        </w:tc>
        <w:tc>
          <w:tcPr>
            <w:tcW w:w="1027"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01FF01A">
            <w:pPr>
              <w:jc w:val="left"/>
            </w:pPr>
            <w:r>
              <w:rPr>
                <w:rFonts w:ascii="Arial" w:hAnsi="Arial" w:eastAsia="Arial" w:cs="Arial"/>
                <w:b w:val="0"/>
                <w:bCs w:val="0"/>
                <w:color w:val="0D1F15"/>
                <w:sz w:val="19"/>
                <w:szCs w:val="19"/>
              </w:rPr>
              <w:t>UGX 50K</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0DCFD4E">
            <w:pPr>
              <w:jc w:val="left"/>
            </w:pPr>
            <w:r>
              <w:rPr>
                <w:rFonts w:ascii="Arial" w:hAnsi="Arial" w:eastAsia="Arial" w:cs="Arial"/>
                <w:b w:val="0"/>
                <w:bCs w:val="0"/>
                <w:color w:val="0D1F15"/>
                <w:sz w:val="19"/>
                <w:szCs w:val="19"/>
              </w:rPr>
              <w:t>14–20% p.a.</w:t>
            </w:r>
          </w:p>
        </w:tc>
        <w:tc>
          <w:tcPr>
            <w:tcW w:w="143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E16DA28">
            <w:pPr>
              <w:jc w:val="left"/>
            </w:pPr>
            <w:r>
              <w:rPr>
                <w:rFonts w:ascii="Arial" w:hAnsi="Arial" w:eastAsia="Arial" w:cs="Arial"/>
                <w:b w:val="0"/>
                <w:bCs w:val="0"/>
                <w:color w:val="0D1F15"/>
                <w:sz w:val="19"/>
                <w:szCs w:val="19"/>
              </w:rPr>
              <w:t>91–364 days</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1C33248">
            <w:pPr>
              <w:jc w:val="left"/>
            </w:pPr>
            <w:r>
              <w:rPr>
                <w:rFonts w:ascii="Arial" w:hAnsi="Arial" w:eastAsia="Arial" w:cs="Arial"/>
                <w:b w:val="0"/>
                <w:bCs w:val="0"/>
                <w:color w:val="0D1F15"/>
                <w:sz w:val="19"/>
                <w:szCs w:val="19"/>
              </w:rPr>
              <w:t>Very Low</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7AC8E7A">
            <w:pPr>
              <w:jc w:val="left"/>
              <w:rPr>
                <w:rFonts w:ascii="Arial" w:hAnsi="Arial" w:eastAsia="Arial" w:cs="Arial"/>
                <w:color w:val="0D1F15"/>
                <w:sz w:val="19"/>
                <w:szCs w:val="19"/>
              </w:rPr>
            </w:pPr>
            <w:r>
              <w:rPr>
                <w:rFonts w:ascii="Arial" w:hAnsi="Arial" w:eastAsia="Arial" w:cs="Arial"/>
                <w:b w:val="0"/>
                <w:bCs w:val="0"/>
                <w:color w:val="0D1F15"/>
                <w:sz w:val="19"/>
                <w:szCs w:val="19"/>
              </w:rPr>
              <w:t>High</w:t>
            </w:r>
          </w:p>
        </w:tc>
      </w:tr>
      <w:tr w14:paraId="426D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1B0CE62">
            <w:pPr>
              <w:jc w:val="center"/>
            </w:pPr>
            <w:r>
              <w:rPr>
                <w:rFonts w:ascii="Arial" w:hAnsi="Arial" w:eastAsia="Arial" w:cs="Arial"/>
                <w:b/>
                <w:bCs/>
                <w:color w:val="0D1F15"/>
                <w:sz w:val="19"/>
                <w:szCs w:val="19"/>
              </w:rPr>
              <w:t>6</w:t>
            </w:r>
          </w:p>
        </w:tc>
        <w:tc>
          <w:tcPr>
            <w:tcW w:w="2158"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6B75819">
            <w:pPr>
              <w:jc w:val="left"/>
            </w:pPr>
            <w:r>
              <w:rPr>
                <w:rFonts w:ascii="Arial" w:hAnsi="Arial" w:eastAsia="Arial" w:cs="Arial"/>
                <w:b/>
                <w:bCs/>
                <w:color w:val="0D1F15"/>
                <w:sz w:val="19"/>
                <w:szCs w:val="19"/>
              </w:rPr>
              <w:t>FX &amp; Currency</w:t>
            </w:r>
          </w:p>
        </w:tc>
        <w:tc>
          <w:tcPr>
            <w:tcW w:w="1027"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A5FABAD">
            <w:pPr>
              <w:jc w:val="left"/>
            </w:pPr>
            <w:r>
              <w:rPr>
                <w:rFonts w:ascii="Arial" w:hAnsi="Arial" w:eastAsia="Arial" w:cs="Arial"/>
                <w:b w:val="0"/>
                <w:bCs w:val="0"/>
                <w:color w:val="0D1F15"/>
                <w:sz w:val="19"/>
                <w:szCs w:val="19"/>
              </w:rPr>
              <w:t>UGX 100K</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640E423">
            <w:pPr>
              <w:jc w:val="left"/>
            </w:pPr>
            <w:r>
              <w:rPr>
                <w:rFonts w:ascii="Arial" w:hAnsi="Arial" w:eastAsia="Arial" w:cs="Arial"/>
                <w:b w:val="0"/>
                <w:bCs w:val="0"/>
                <w:color w:val="0D1F15"/>
                <w:sz w:val="19"/>
                <w:szCs w:val="19"/>
              </w:rPr>
              <w:t>8–30%/contract</w:t>
            </w:r>
          </w:p>
        </w:tc>
        <w:tc>
          <w:tcPr>
            <w:tcW w:w="1439"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BD43047">
            <w:pPr>
              <w:jc w:val="left"/>
            </w:pPr>
            <w:r>
              <w:rPr>
                <w:rFonts w:ascii="Arial" w:hAnsi="Arial" w:eastAsia="Arial" w:cs="Arial"/>
                <w:b w:val="0"/>
                <w:bCs w:val="0"/>
                <w:color w:val="0D1F15"/>
                <w:sz w:val="19"/>
                <w:szCs w:val="19"/>
              </w:rPr>
              <w:t>7–90 days</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4AFDA09">
            <w:pPr>
              <w:jc w:val="left"/>
            </w:pPr>
            <w:r>
              <w:rPr>
                <w:rFonts w:ascii="Arial" w:hAnsi="Arial" w:eastAsia="Arial" w:cs="Arial"/>
                <w:b w:val="0"/>
                <w:bCs w:val="0"/>
                <w:color w:val="0D1F15"/>
                <w:sz w:val="19"/>
                <w:szCs w:val="19"/>
              </w:rPr>
              <w:t>Med–High</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6956B95">
            <w:pPr>
              <w:jc w:val="left"/>
              <w:rPr>
                <w:rFonts w:ascii="Arial" w:hAnsi="Arial" w:eastAsia="Arial" w:cs="Arial"/>
                <w:color w:val="0D1F15"/>
                <w:sz w:val="19"/>
                <w:szCs w:val="19"/>
              </w:rPr>
            </w:pPr>
            <w:r>
              <w:rPr>
                <w:rFonts w:ascii="Arial" w:hAnsi="Arial" w:eastAsia="Arial" w:cs="Arial"/>
                <w:b w:val="0"/>
                <w:bCs w:val="0"/>
                <w:color w:val="0D1F15"/>
                <w:sz w:val="19"/>
                <w:szCs w:val="19"/>
              </w:rPr>
              <w:t>Med</w:t>
            </w:r>
          </w:p>
        </w:tc>
      </w:tr>
      <w:tr w14:paraId="0FBF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152C1F68">
            <w:pPr>
              <w:jc w:val="center"/>
            </w:pPr>
            <w:r>
              <w:rPr>
                <w:rFonts w:ascii="Arial" w:hAnsi="Arial" w:eastAsia="Arial" w:cs="Arial"/>
                <w:b/>
                <w:bCs/>
                <w:color w:val="0D1F15"/>
                <w:sz w:val="19"/>
                <w:szCs w:val="19"/>
              </w:rPr>
              <w:t>7</w:t>
            </w:r>
          </w:p>
        </w:tc>
        <w:tc>
          <w:tcPr>
            <w:tcW w:w="215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291D788">
            <w:pPr>
              <w:jc w:val="left"/>
            </w:pPr>
            <w:r>
              <w:rPr>
                <w:rFonts w:ascii="Arial" w:hAnsi="Arial" w:eastAsia="Arial" w:cs="Arial"/>
                <w:b/>
                <w:bCs/>
                <w:color w:val="0D1F15"/>
                <w:sz w:val="19"/>
                <w:szCs w:val="19"/>
              </w:rPr>
              <w:t>Rare Earth Minerals</w:t>
            </w:r>
          </w:p>
        </w:tc>
        <w:tc>
          <w:tcPr>
            <w:tcW w:w="1027"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26CF7ED">
            <w:pPr>
              <w:jc w:val="left"/>
            </w:pPr>
            <w:r>
              <w:rPr>
                <w:rFonts w:ascii="Arial" w:hAnsi="Arial" w:eastAsia="Arial" w:cs="Arial"/>
                <w:b w:val="0"/>
                <w:bCs w:val="0"/>
                <w:color w:val="0D1F15"/>
                <w:sz w:val="19"/>
                <w:szCs w:val="19"/>
              </w:rPr>
              <w:t>UGX 200K</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3BF8EBE">
            <w:pPr>
              <w:jc w:val="left"/>
            </w:pPr>
            <w:r>
              <w:rPr>
                <w:rFonts w:ascii="Arial" w:hAnsi="Arial" w:eastAsia="Arial" w:cs="Arial"/>
                <w:b w:val="0"/>
                <w:bCs w:val="0"/>
                <w:color w:val="0D1F15"/>
                <w:sz w:val="19"/>
                <w:szCs w:val="19"/>
              </w:rPr>
              <w:t>20–60%/lot</w:t>
            </w:r>
          </w:p>
        </w:tc>
        <w:tc>
          <w:tcPr>
            <w:tcW w:w="143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F29B38B">
            <w:pPr>
              <w:jc w:val="left"/>
            </w:pPr>
            <w:r>
              <w:rPr>
                <w:rFonts w:ascii="Arial" w:hAnsi="Arial" w:eastAsia="Arial" w:cs="Arial"/>
                <w:b w:val="0"/>
                <w:bCs w:val="0"/>
                <w:color w:val="0D1F15"/>
                <w:sz w:val="19"/>
                <w:szCs w:val="19"/>
              </w:rPr>
              <w:t>30–180 days</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9803A30">
            <w:pPr>
              <w:jc w:val="left"/>
            </w:pPr>
            <w:r>
              <w:rPr>
                <w:rFonts w:ascii="Arial" w:hAnsi="Arial" w:eastAsia="Arial" w:cs="Arial"/>
                <w:b w:val="0"/>
                <w:bCs w:val="0"/>
                <w:color w:val="0D1F15"/>
                <w:sz w:val="19"/>
                <w:szCs w:val="19"/>
              </w:rPr>
              <w:t>Med–High</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6E62919">
            <w:pPr>
              <w:jc w:val="left"/>
              <w:rPr>
                <w:rFonts w:ascii="Arial" w:hAnsi="Arial" w:eastAsia="Arial" w:cs="Arial"/>
                <w:color w:val="0D1F15"/>
                <w:sz w:val="19"/>
                <w:szCs w:val="19"/>
              </w:rPr>
            </w:pPr>
            <w:r>
              <w:rPr>
                <w:rFonts w:ascii="Arial" w:hAnsi="Arial" w:eastAsia="Arial" w:cs="Arial"/>
                <w:b w:val="0"/>
                <w:bCs w:val="0"/>
                <w:color w:val="0D1F15"/>
                <w:sz w:val="19"/>
                <w:szCs w:val="19"/>
              </w:rPr>
              <w:t>Med</w:t>
            </w:r>
          </w:p>
        </w:tc>
      </w:tr>
      <w:tr w14:paraId="1B44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05E07AD2">
            <w:pPr>
              <w:jc w:val="center"/>
            </w:pPr>
            <w:r>
              <w:rPr>
                <w:rFonts w:ascii="Arial" w:hAnsi="Arial" w:eastAsia="Arial" w:cs="Arial"/>
                <w:b/>
                <w:bCs/>
                <w:color w:val="0D1F15"/>
                <w:sz w:val="19"/>
                <w:szCs w:val="19"/>
              </w:rPr>
              <w:t>8</w:t>
            </w:r>
          </w:p>
        </w:tc>
        <w:tc>
          <w:tcPr>
            <w:tcW w:w="2158"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E3E35C0">
            <w:pPr>
              <w:jc w:val="left"/>
            </w:pPr>
            <w:r>
              <w:rPr>
                <w:rFonts w:ascii="Arial" w:hAnsi="Arial" w:eastAsia="Arial" w:cs="Arial"/>
                <w:b/>
                <w:bCs/>
                <w:color w:val="0D1F15"/>
                <w:sz w:val="19"/>
                <w:szCs w:val="19"/>
              </w:rPr>
              <w:t>Stocks / Shares</w:t>
            </w:r>
          </w:p>
        </w:tc>
        <w:tc>
          <w:tcPr>
            <w:tcW w:w="1027"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BB2FE31">
            <w:pPr>
              <w:jc w:val="left"/>
            </w:pPr>
            <w:r>
              <w:rPr>
                <w:rFonts w:ascii="Arial" w:hAnsi="Arial" w:eastAsia="Arial" w:cs="Arial"/>
                <w:b w:val="0"/>
                <w:bCs w:val="0"/>
                <w:color w:val="0D1F15"/>
                <w:sz w:val="19"/>
                <w:szCs w:val="19"/>
              </w:rPr>
              <w:t>UGX 50K</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C1BE30B">
            <w:pPr>
              <w:jc w:val="left"/>
            </w:pPr>
            <w:r>
              <w:rPr>
                <w:rFonts w:ascii="Arial" w:hAnsi="Arial" w:eastAsia="Arial" w:cs="Arial"/>
                <w:b w:val="0"/>
                <w:bCs w:val="0"/>
                <w:color w:val="0D1F15"/>
                <w:sz w:val="19"/>
                <w:szCs w:val="19"/>
              </w:rPr>
              <w:t>4–15% div+gains</w:t>
            </w:r>
          </w:p>
        </w:tc>
        <w:tc>
          <w:tcPr>
            <w:tcW w:w="1439"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6393053">
            <w:pPr>
              <w:jc w:val="left"/>
            </w:pPr>
            <w:r>
              <w:rPr>
                <w:rFonts w:ascii="Arial" w:hAnsi="Arial" w:eastAsia="Arial" w:cs="Arial"/>
                <w:b w:val="0"/>
                <w:bCs w:val="0"/>
                <w:color w:val="0D1F15"/>
                <w:sz w:val="19"/>
                <w:szCs w:val="19"/>
              </w:rPr>
              <w:t>Qtrly/Annual</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86E7A74">
            <w:pPr>
              <w:jc w:val="left"/>
            </w:pPr>
            <w:r>
              <w:rPr>
                <w:rFonts w:ascii="Arial" w:hAnsi="Arial" w:eastAsia="Arial" w:cs="Arial"/>
                <w:b w:val="0"/>
                <w:bCs w:val="0"/>
                <w:color w:val="0D1F15"/>
                <w:sz w:val="19"/>
                <w:szCs w:val="19"/>
              </w:rPr>
              <w:t>Med–High</w:t>
            </w:r>
          </w:p>
        </w:tc>
        <w:tc>
          <w:tcPr>
            <w:tcW w:w="1541"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617BDA1">
            <w:pPr>
              <w:jc w:val="left"/>
              <w:rPr>
                <w:rFonts w:ascii="Arial" w:hAnsi="Arial" w:eastAsia="Arial" w:cs="Arial"/>
                <w:color w:val="0D1F15"/>
                <w:sz w:val="19"/>
                <w:szCs w:val="19"/>
              </w:rPr>
            </w:pPr>
            <w:r>
              <w:rPr>
                <w:rFonts w:ascii="Arial" w:hAnsi="Arial" w:eastAsia="Arial" w:cs="Arial"/>
                <w:b w:val="0"/>
                <w:bCs w:val="0"/>
                <w:color w:val="0D1F15"/>
                <w:sz w:val="19"/>
                <w:szCs w:val="19"/>
              </w:rPr>
              <w:t>High</w:t>
            </w:r>
          </w:p>
        </w:tc>
      </w:tr>
      <w:tr w14:paraId="328DF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8"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063B54C">
            <w:pPr>
              <w:jc w:val="center"/>
            </w:pPr>
            <w:r>
              <w:rPr>
                <w:rFonts w:ascii="Arial" w:hAnsi="Arial" w:eastAsia="Arial" w:cs="Arial"/>
                <w:b/>
                <w:bCs/>
                <w:color w:val="0D1F15"/>
                <w:sz w:val="19"/>
                <w:szCs w:val="19"/>
              </w:rPr>
              <w:t>9</w:t>
            </w:r>
          </w:p>
        </w:tc>
        <w:tc>
          <w:tcPr>
            <w:tcW w:w="2158"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0BBA6AF">
            <w:pPr>
              <w:jc w:val="left"/>
            </w:pPr>
            <w:r>
              <w:rPr>
                <w:rFonts w:ascii="Arial" w:hAnsi="Arial" w:eastAsia="Arial" w:cs="Arial"/>
                <w:b/>
                <w:bCs/>
                <w:color w:val="0D1F15"/>
                <w:sz w:val="19"/>
                <w:szCs w:val="19"/>
              </w:rPr>
              <w:t>SME &amp; Private Equity</w:t>
            </w:r>
          </w:p>
        </w:tc>
        <w:tc>
          <w:tcPr>
            <w:tcW w:w="1027"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5D178A9">
            <w:pPr>
              <w:jc w:val="left"/>
            </w:pPr>
            <w:r>
              <w:rPr>
                <w:rFonts w:ascii="Arial" w:hAnsi="Arial" w:eastAsia="Arial" w:cs="Arial"/>
                <w:b w:val="0"/>
                <w:bCs w:val="0"/>
                <w:color w:val="0D1F15"/>
                <w:sz w:val="19"/>
                <w:szCs w:val="19"/>
              </w:rPr>
              <w:t>UGX 250K</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8230807">
            <w:pPr>
              <w:jc w:val="left"/>
            </w:pPr>
            <w:r>
              <w:rPr>
                <w:rFonts w:ascii="Arial" w:hAnsi="Arial" w:eastAsia="Arial" w:cs="Arial"/>
                <w:b w:val="0"/>
                <w:bCs w:val="0"/>
                <w:color w:val="0D1F15"/>
                <w:sz w:val="19"/>
                <w:szCs w:val="19"/>
              </w:rPr>
              <w:t>20–40%+exit</w:t>
            </w:r>
          </w:p>
        </w:tc>
        <w:tc>
          <w:tcPr>
            <w:tcW w:w="1439"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BB26EB6">
            <w:pPr>
              <w:jc w:val="left"/>
            </w:pPr>
            <w:r>
              <w:rPr>
                <w:rFonts w:ascii="Arial" w:hAnsi="Arial" w:eastAsia="Arial" w:cs="Arial"/>
                <w:b w:val="0"/>
                <w:bCs w:val="0"/>
                <w:color w:val="0D1F15"/>
                <w:sz w:val="19"/>
                <w:szCs w:val="19"/>
              </w:rPr>
              <w:t>Qtrly/Exit</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7F1C9E0">
            <w:pPr>
              <w:jc w:val="left"/>
            </w:pPr>
            <w:r>
              <w:rPr>
                <w:rFonts w:ascii="Arial" w:hAnsi="Arial" w:eastAsia="Arial" w:cs="Arial"/>
                <w:b w:val="0"/>
                <w:bCs w:val="0"/>
                <w:color w:val="0D1F15"/>
                <w:sz w:val="19"/>
                <w:szCs w:val="19"/>
              </w:rPr>
              <w:t>High</w:t>
            </w:r>
          </w:p>
        </w:tc>
        <w:tc>
          <w:tcPr>
            <w:tcW w:w="1541"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9CE5B14">
            <w:pPr>
              <w:jc w:val="left"/>
              <w:rPr>
                <w:rFonts w:ascii="Arial" w:hAnsi="Arial" w:eastAsia="Arial" w:cs="Arial"/>
                <w:color w:val="0D1F15"/>
                <w:sz w:val="19"/>
                <w:szCs w:val="19"/>
              </w:rPr>
            </w:pPr>
            <w:r>
              <w:rPr>
                <w:rFonts w:ascii="Arial" w:hAnsi="Arial" w:eastAsia="Arial" w:cs="Arial"/>
                <w:b w:val="0"/>
                <w:bCs w:val="0"/>
                <w:color w:val="0D1F15"/>
                <w:sz w:val="19"/>
                <w:szCs w:val="19"/>
              </w:rPr>
              <w:t>Low</w:t>
            </w:r>
          </w:p>
        </w:tc>
      </w:tr>
    </w:tbl>
    <w:p w14:paraId="5FB08A33">
      <w:r>
        <w:br w:type="page"/>
      </w:r>
    </w:p>
    <w:p w14:paraId="1BDAE133">
      <w:pPr>
        <w:pStyle w:val="2"/>
        <w:spacing w:before="360" w:after="120"/>
      </w:pPr>
      <w:r>
        <w:rPr>
          <w:rFonts w:ascii="Arial" w:hAnsi="Arial" w:eastAsia="Arial" w:cs="Arial"/>
          <w:b/>
          <w:bCs/>
          <w:color w:val="1A7A45"/>
          <w:sz w:val="32"/>
          <w:szCs w:val="32"/>
        </w:rPr>
        <w:t>5. The Lister Partner Ecosystem</w:t>
      </w:r>
    </w:p>
    <w:p w14:paraId="138D99A9">
      <w:pPr>
        <w:pBdr>
          <w:bottom w:val="single" w:color="1A7A45" w:sz="12" w:space="1"/>
        </w:pBdr>
        <w:spacing w:before="60" w:after="60"/>
      </w:pPr>
    </w:p>
    <w:p w14:paraId="7416E5BF">
      <w:pPr>
        <w:spacing w:before="60" w:after="80"/>
        <w:jc w:val="left"/>
        <w:rPr>
          <w:rFonts w:ascii="Arial" w:hAnsi="Arial" w:eastAsia="Arial" w:cs="Arial"/>
          <w:b w:val="0"/>
          <w:bCs w:val="0"/>
          <w:color w:val="0D1F15"/>
          <w:sz w:val="22"/>
          <w:szCs w:val="22"/>
        </w:rPr>
      </w:pPr>
      <w:r>
        <w:rPr>
          <w:rFonts w:ascii="Arial" w:hAnsi="Arial" w:eastAsia="Arial" w:cs="Arial"/>
          <w:b w:val="0"/>
          <w:bCs w:val="0"/>
          <w:color w:val="0D1F15"/>
          <w:sz w:val="22"/>
          <w:szCs w:val="22"/>
        </w:rPr>
        <w:t>Listers are the supply side of OwnIt’s marketplace — the vetted, licensed commercial entities that list income-generating assets on the platform and use OwnIt to raise capital from the crowd. Listers are not passive; they are active commercial partners with skin in the game. Their relationship with OwnIt is governed by a Lister Agreement specifying financial disclosure requirements, payout obligations, default protocols, and NSSF service charge acceptance.</w:t>
      </w:r>
    </w:p>
    <w:p w14:paraId="58A1EA86">
      <w:pPr>
        <w:spacing w:before="60" w:after="80"/>
        <w:jc w:val="left"/>
        <w:rPr>
          <w:rFonts w:ascii="Arial" w:hAnsi="Arial" w:eastAsia="Arial" w:cs="Arial"/>
          <w:b w:val="0"/>
          <w:bCs w:val="0"/>
          <w:color w:val="0D1F15"/>
          <w:sz w:val="22"/>
          <w:szCs w:val="22"/>
        </w:rPr>
      </w:pPr>
    </w:p>
    <w:p w14:paraId="4C30E67D">
      <w:pPr>
        <w:spacing w:before="240" w:after="80"/>
        <w:rPr>
          <w:rFonts w:ascii="Arial" w:hAnsi="Arial" w:eastAsia="Arial" w:cs="Arial"/>
          <w:color w:val="0D1F15"/>
        </w:rPr>
      </w:pPr>
      <w:r>
        <w:rPr>
          <w:rFonts w:ascii="Arial" w:hAnsi="Arial" w:eastAsia="Arial" w:cs="Arial"/>
          <w:b/>
          <w:bCs/>
          <w:color w:val="0D1F15"/>
          <w:sz w:val="26"/>
          <w:szCs w:val="26"/>
        </w:rPr>
        <w:t>5.1 Lister Vetting Requirements</w:t>
      </w:r>
    </w:p>
    <w:p w14:paraId="21EFF85C">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Legal standing: Registered entity with valid business registration certificate, TIN, and sector-specific licence (PAU for petroleum, DGSM for minerals, CMA for securities, etc.)</w:t>
      </w:r>
    </w:p>
    <w:p w14:paraId="377E5075">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Track record: Minimum 2 years of verified commercial operations in their sector (waived for pre-approved startups under the SME class).</w:t>
      </w:r>
    </w:p>
    <w:p w14:paraId="23E6FFE2">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Financial disclosure: Audited financial statements or verified bank statements for the most recent 12 months.</w:t>
      </w:r>
    </w:p>
    <w:p w14:paraId="65B40D0C">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Escrow acceptance: Lister must accept OwnIt’s escrow mechanism — investor funds are only released to the lister on delivery/completion milestones, not upfront.</w:t>
      </w:r>
    </w:p>
    <w:p w14:paraId="12A6F8B7">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Insurance: Petroleum and agricultural listers must carry commercial insurance on listed assets.</w:t>
      </w:r>
    </w:p>
    <w:p w14:paraId="3D32556D">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NSSF charge acceptance: Lister explicitly agrees in the Lister Agreement that 3% of their proceeds will be deducted at payout and remitted to NSSF.</w:t>
      </w:r>
    </w:p>
    <w:p w14:paraId="264B0D56">
      <w:pPr>
        <w:spacing w:before="80" w:after="0"/>
      </w:pPr>
    </w:p>
    <w:p w14:paraId="75C48C14">
      <w:pPr>
        <w:pStyle w:val="3"/>
        <w:spacing w:before="240" w:after="80"/>
      </w:pPr>
      <w:r>
        <w:rPr>
          <w:rFonts w:ascii="Arial" w:hAnsi="Arial" w:eastAsia="Arial" w:cs="Arial"/>
          <w:b/>
          <w:bCs/>
          <w:color w:val="0D1F15"/>
          <w:sz w:val="26"/>
          <w:szCs w:val="26"/>
        </w:rPr>
        <w:t>5.2 Lister Fee Schedule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400"/>
        <w:gridCol w:w="3840"/>
      </w:tblGrid>
      <w:tr w14:paraId="7E36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67C4BEB2">
            <w:pPr>
              <w:jc w:val="left"/>
            </w:pPr>
            <w:r>
              <w:rPr>
                <w:rFonts w:ascii="Arial" w:hAnsi="Arial" w:eastAsia="Arial" w:cs="Arial"/>
                <w:b/>
                <w:bCs/>
                <w:color w:val="FFFFFF"/>
                <w:sz w:val="19"/>
                <w:szCs w:val="19"/>
              </w:rPr>
              <w:t>Asset Class</w:t>
            </w:r>
          </w:p>
        </w:tc>
        <w:tc>
          <w:tcPr>
            <w:tcW w:w="24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5F93317C">
            <w:pPr>
              <w:jc w:val="left"/>
            </w:pPr>
            <w:r>
              <w:rPr>
                <w:rFonts w:ascii="Arial" w:hAnsi="Arial" w:eastAsia="Arial" w:cs="Arial"/>
                <w:b/>
                <w:bCs/>
                <w:color w:val="FFFFFF"/>
                <w:sz w:val="19"/>
                <w:szCs w:val="19"/>
              </w:rPr>
              <w:t>Listing Fee</w:t>
            </w:r>
          </w:p>
        </w:tc>
        <w:tc>
          <w:tcPr>
            <w:tcW w:w="38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1087CB63">
            <w:pPr>
              <w:jc w:val="left"/>
            </w:pPr>
            <w:r>
              <w:rPr>
                <w:rFonts w:ascii="Arial" w:hAnsi="Arial" w:eastAsia="Arial" w:cs="Arial"/>
                <w:b/>
                <w:bCs/>
                <w:color w:val="FFFFFF"/>
                <w:sz w:val="19"/>
                <w:szCs w:val="19"/>
              </w:rPr>
              <w:t>Notes</w:t>
            </w:r>
          </w:p>
        </w:tc>
      </w:tr>
      <w:tr w14:paraId="377D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154DDF1">
            <w:pPr>
              <w:jc w:val="left"/>
            </w:pPr>
            <w:r>
              <w:rPr>
                <w:rFonts w:ascii="Arial" w:hAnsi="Arial" w:eastAsia="Arial" w:cs="Arial"/>
                <w:b/>
                <w:bCs/>
                <w:color w:val="0D1F15"/>
                <w:sz w:val="19"/>
                <w:szCs w:val="19"/>
              </w:rPr>
              <w:t>Real Estate (Rental)</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54CEA66">
            <w:pPr>
              <w:jc w:val="left"/>
            </w:pPr>
            <w:r>
              <w:rPr>
                <w:rFonts w:ascii="Arial" w:hAnsi="Arial" w:eastAsia="Arial" w:cs="Arial"/>
                <w:b w:val="0"/>
                <w:bCs w:val="0"/>
                <w:color w:val="0D1F15"/>
                <w:sz w:val="19"/>
                <w:szCs w:val="19"/>
              </w:rPr>
              <w:t>UGX 500,000 flat</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C5FCF79">
            <w:pPr>
              <w:jc w:val="left"/>
            </w:pPr>
            <w:r>
              <w:rPr>
                <w:rFonts w:ascii="Arial" w:hAnsi="Arial" w:eastAsia="Arial" w:cs="Arial"/>
                <w:b w:val="0"/>
                <w:bCs w:val="0"/>
                <w:color w:val="0D1F15"/>
                <w:sz w:val="19"/>
                <w:szCs w:val="19"/>
              </w:rPr>
              <w:t>Per property listed</w:t>
            </w:r>
          </w:p>
        </w:tc>
      </w:tr>
      <w:tr w14:paraId="7131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59CF64D9">
            <w:pPr>
              <w:jc w:val="left"/>
            </w:pPr>
            <w:r>
              <w:rPr>
                <w:rFonts w:ascii="Arial" w:hAnsi="Arial" w:eastAsia="Arial" w:cs="Arial"/>
                <w:b/>
                <w:bCs/>
                <w:color w:val="0D1F15"/>
                <w:sz w:val="19"/>
                <w:szCs w:val="19"/>
              </w:rPr>
              <w:t>Real Estate (Construction)</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F2EFC6D">
            <w:pPr>
              <w:jc w:val="left"/>
            </w:pPr>
            <w:r>
              <w:rPr>
                <w:rFonts w:ascii="Arial" w:hAnsi="Arial" w:eastAsia="Arial" w:cs="Arial"/>
                <w:b w:val="0"/>
                <w:bCs w:val="0"/>
                <w:color w:val="0D1F15"/>
                <w:sz w:val="19"/>
                <w:szCs w:val="19"/>
              </w:rPr>
              <w:t>1% of fundraising target</w:t>
            </w:r>
          </w:p>
        </w:tc>
        <w:tc>
          <w:tcPr>
            <w:tcW w:w="38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A104D2C">
            <w:pPr>
              <w:jc w:val="left"/>
            </w:pPr>
            <w:r>
              <w:rPr>
                <w:rFonts w:ascii="Arial" w:hAnsi="Arial" w:eastAsia="Arial" w:cs="Arial"/>
                <w:b w:val="0"/>
                <w:bCs w:val="0"/>
                <w:color w:val="0D1F15"/>
                <w:sz w:val="19"/>
                <w:szCs w:val="19"/>
              </w:rPr>
              <w:t>Paid on successful funding close</w:t>
            </w:r>
          </w:p>
        </w:tc>
      </w:tr>
      <w:tr w14:paraId="23F2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2A78ABB0">
            <w:pPr>
              <w:jc w:val="left"/>
            </w:pPr>
            <w:r>
              <w:rPr>
                <w:rFonts w:ascii="Arial" w:hAnsi="Arial" w:eastAsia="Arial" w:cs="Arial"/>
                <w:b/>
                <w:bCs/>
                <w:color w:val="0D1F15"/>
                <w:sz w:val="19"/>
                <w:szCs w:val="19"/>
              </w:rPr>
              <w:t>Petroleum / Oil Consignment</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3241545">
            <w:pPr>
              <w:jc w:val="left"/>
            </w:pPr>
            <w:r>
              <w:rPr>
                <w:rFonts w:ascii="Arial" w:hAnsi="Arial" w:eastAsia="Arial" w:cs="Arial"/>
                <w:b w:val="0"/>
                <w:bCs w:val="0"/>
                <w:color w:val="0D1F15"/>
                <w:sz w:val="19"/>
                <w:szCs w:val="19"/>
              </w:rPr>
              <w:t>UGX 750,000 flat</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D8EF22B">
            <w:pPr>
              <w:jc w:val="left"/>
            </w:pPr>
            <w:r>
              <w:rPr>
                <w:rFonts w:ascii="Arial" w:hAnsi="Arial" w:eastAsia="Arial" w:cs="Arial"/>
                <w:b w:val="0"/>
                <w:bCs w:val="0"/>
                <w:color w:val="0D1F15"/>
                <w:sz w:val="19"/>
                <w:szCs w:val="19"/>
              </w:rPr>
              <w:t>Per consignment cycle</w:t>
            </w:r>
          </w:p>
        </w:tc>
      </w:tr>
      <w:tr w14:paraId="0C8C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3299C62C">
            <w:pPr>
              <w:jc w:val="left"/>
            </w:pPr>
            <w:r>
              <w:rPr>
                <w:rFonts w:ascii="Arial" w:hAnsi="Arial" w:eastAsia="Arial" w:cs="Arial"/>
                <w:b/>
                <w:bCs/>
                <w:color w:val="0D1F15"/>
                <w:sz w:val="19"/>
                <w:szCs w:val="19"/>
              </w:rPr>
              <w:t>Agricultural Commodity</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92EE46F">
            <w:pPr>
              <w:jc w:val="left"/>
            </w:pPr>
            <w:r>
              <w:rPr>
                <w:rFonts w:ascii="Arial" w:hAnsi="Arial" w:eastAsia="Arial" w:cs="Arial"/>
                <w:b w:val="0"/>
                <w:bCs w:val="0"/>
                <w:color w:val="0D1F15"/>
                <w:sz w:val="19"/>
                <w:szCs w:val="19"/>
              </w:rPr>
              <w:t>UGX 250,000 flat</w:t>
            </w:r>
          </w:p>
        </w:tc>
        <w:tc>
          <w:tcPr>
            <w:tcW w:w="38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2B6A294">
            <w:pPr>
              <w:jc w:val="left"/>
            </w:pPr>
            <w:r>
              <w:rPr>
                <w:rFonts w:ascii="Arial" w:hAnsi="Arial" w:eastAsia="Arial" w:cs="Arial"/>
                <w:b w:val="0"/>
                <w:bCs w:val="0"/>
                <w:color w:val="0D1F15"/>
                <w:sz w:val="19"/>
                <w:szCs w:val="19"/>
              </w:rPr>
              <w:t>Per commodity batch</w:t>
            </w:r>
          </w:p>
        </w:tc>
      </w:tr>
      <w:tr w14:paraId="3FC3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3E1A19D">
            <w:pPr>
              <w:jc w:val="left"/>
            </w:pPr>
            <w:r>
              <w:rPr>
                <w:rFonts w:ascii="Arial" w:hAnsi="Arial" w:eastAsia="Arial" w:cs="Arial"/>
                <w:b/>
                <w:bCs/>
                <w:color w:val="0D1F15"/>
                <w:sz w:val="19"/>
                <w:szCs w:val="19"/>
              </w:rPr>
              <w:t>T-Bills / Bonds</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A6F78BF">
            <w:pPr>
              <w:jc w:val="left"/>
            </w:pPr>
            <w:r>
              <w:rPr>
                <w:rFonts w:ascii="Arial" w:hAnsi="Arial" w:eastAsia="Arial" w:cs="Arial"/>
                <w:b w:val="0"/>
                <w:bCs w:val="0"/>
                <w:color w:val="0D1F15"/>
                <w:sz w:val="19"/>
                <w:szCs w:val="19"/>
              </w:rPr>
              <w:t>0.5% of pooled capital</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44855B3">
            <w:pPr>
              <w:jc w:val="left"/>
            </w:pPr>
            <w:r>
              <w:rPr>
                <w:rFonts w:ascii="Arial" w:hAnsi="Arial" w:eastAsia="Arial" w:cs="Arial"/>
                <w:b w:val="0"/>
                <w:bCs w:val="0"/>
                <w:color w:val="0D1F15"/>
                <w:sz w:val="19"/>
                <w:szCs w:val="19"/>
              </w:rPr>
              <w:t>Per auction participation cycle</w:t>
            </w:r>
          </w:p>
        </w:tc>
      </w:tr>
      <w:tr w14:paraId="76B8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05ABC40">
            <w:pPr>
              <w:jc w:val="left"/>
            </w:pPr>
            <w:r>
              <w:rPr>
                <w:rFonts w:ascii="Arial" w:hAnsi="Arial" w:eastAsia="Arial" w:cs="Arial"/>
                <w:b/>
                <w:bCs/>
                <w:color w:val="0D1F15"/>
                <w:sz w:val="19"/>
                <w:szCs w:val="19"/>
              </w:rPr>
              <w:t>FX Instrument</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FA856D7">
            <w:pPr>
              <w:jc w:val="left"/>
            </w:pPr>
            <w:r>
              <w:rPr>
                <w:rFonts w:ascii="Arial" w:hAnsi="Arial" w:eastAsia="Arial" w:cs="Arial"/>
                <w:b w:val="0"/>
                <w:bCs w:val="0"/>
                <w:color w:val="0D1F15"/>
                <w:sz w:val="19"/>
                <w:szCs w:val="19"/>
              </w:rPr>
              <w:t>0.5% of position size</w:t>
            </w:r>
          </w:p>
        </w:tc>
        <w:tc>
          <w:tcPr>
            <w:tcW w:w="38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BDF7CD4">
            <w:pPr>
              <w:jc w:val="left"/>
            </w:pPr>
            <w:r>
              <w:rPr>
                <w:rFonts w:ascii="Arial" w:hAnsi="Arial" w:eastAsia="Arial" w:cs="Arial"/>
                <w:b w:val="0"/>
                <w:bCs w:val="0"/>
                <w:color w:val="0D1F15"/>
                <w:sz w:val="19"/>
                <w:szCs w:val="19"/>
              </w:rPr>
              <w:t>Per structured FX listing</w:t>
            </w:r>
          </w:p>
        </w:tc>
      </w:tr>
      <w:tr w14:paraId="43C0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3032F1A4">
            <w:pPr>
              <w:jc w:val="left"/>
            </w:pPr>
            <w:r>
              <w:rPr>
                <w:rFonts w:ascii="Arial" w:hAnsi="Arial" w:eastAsia="Arial" w:cs="Arial"/>
                <w:b/>
                <w:bCs/>
                <w:color w:val="0D1F15"/>
                <w:sz w:val="19"/>
                <w:szCs w:val="19"/>
              </w:rPr>
              <w:t>Rare Earth Minerals</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127C32C">
            <w:pPr>
              <w:jc w:val="left"/>
            </w:pPr>
            <w:r>
              <w:rPr>
                <w:rFonts w:ascii="Arial" w:hAnsi="Arial" w:eastAsia="Arial" w:cs="Arial"/>
                <w:b w:val="0"/>
                <w:bCs w:val="0"/>
                <w:color w:val="0D1F15"/>
                <w:sz w:val="19"/>
                <w:szCs w:val="19"/>
              </w:rPr>
              <w:t>1% of lot value</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F6A4DA9">
            <w:pPr>
              <w:jc w:val="left"/>
            </w:pPr>
            <w:r>
              <w:rPr>
                <w:rFonts w:ascii="Arial" w:hAnsi="Arial" w:eastAsia="Arial" w:cs="Arial"/>
                <w:b w:val="0"/>
                <w:bCs w:val="0"/>
                <w:color w:val="0D1F15"/>
                <w:sz w:val="19"/>
                <w:szCs w:val="19"/>
              </w:rPr>
              <w:t>Per mineral lot (post-assay)</w:t>
            </w:r>
          </w:p>
        </w:tc>
      </w:tr>
      <w:tr w14:paraId="6485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6AF4C788">
            <w:pPr>
              <w:jc w:val="left"/>
            </w:pPr>
            <w:r>
              <w:rPr>
                <w:rFonts w:ascii="Arial" w:hAnsi="Arial" w:eastAsia="Arial" w:cs="Arial"/>
                <w:b/>
                <w:bCs/>
                <w:color w:val="0D1F15"/>
                <w:sz w:val="19"/>
                <w:szCs w:val="19"/>
              </w:rPr>
              <w:t>Domestic Stocks (USE)</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412034B">
            <w:pPr>
              <w:jc w:val="left"/>
            </w:pPr>
            <w:r>
              <w:rPr>
                <w:rFonts w:ascii="Arial" w:hAnsi="Arial" w:eastAsia="Arial" w:cs="Arial"/>
                <w:b w:val="0"/>
                <w:bCs w:val="0"/>
                <w:color w:val="0D1F15"/>
                <w:sz w:val="19"/>
                <w:szCs w:val="19"/>
              </w:rPr>
              <w:t>UGX 400,000 flat</w:t>
            </w:r>
          </w:p>
        </w:tc>
        <w:tc>
          <w:tcPr>
            <w:tcW w:w="38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4F16DF7">
            <w:pPr>
              <w:jc w:val="left"/>
            </w:pPr>
            <w:r>
              <w:rPr>
                <w:rFonts w:ascii="Arial" w:hAnsi="Arial" w:eastAsia="Arial" w:cs="Arial"/>
                <w:b w:val="0"/>
                <w:bCs w:val="0"/>
                <w:color w:val="0D1F15"/>
                <w:sz w:val="19"/>
                <w:szCs w:val="19"/>
              </w:rPr>
              <w:t>Per equity pool listing</w:t>
            </w:r>
          </w:p>
        </w:tc>
      </w:tr>
      <w:tr w14:paraId="107F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C917B11">
            <w:pPr>
              <w:jc w:val="left"/>
            </w:pPr>
            <w:r>
              <w:rPr>
                <w:rFonts w:ascii="Arial" w:hAnsi="Arial" w:eastAsia="Arial" w:cs="Arial"/>
                <w:b/>
                <w:bCs/>
                <w:color w:val="0D1F15"/>
                <w:sz w:val="19"/>
                <w:szCs w:val="19"/>
              </w:rPr>
              <w:t>Foreign Stocks</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AB28E6A">
            <w:pPr>
              <w:jc w:val="left"/>
            </w:pPr>
            <w:r>
              <w:rPr>
                <w:rFonts w:ascii="Arial" w:hAnsi="Arial" w:eastAsia="Arial" w:cs="Arial"/>
                <w:b w:val="0"/>
                <w:bCs w:val="0"/>
                <w:color w:val="0D1F15"/>
                <w:sz w:val="19"/>
                <w:szCs w:val="19"/>
              </w:rPr>
              <w:t>0.75% of pool value</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8B84E04">
            <w:pPr>
              <w:jc w:val="left"/>
            </w:pPr>
            <w:r>
              <w:rPr>
                <w:rFonts w:ascii="Arial" w:hAnsi="Arial" w:eastAsia="Arial" w:cs="Arial"/>
                <w:b w:val="0"/>
                <w:bCs w:val="0"/>
                <w:color w:val="0D1F15"/>
                <w:sz w:val="19"/>
                <w:szCs w:val="19"/>
              </w:rPr>
              <w:t>Per international equity pool</w:t>
            </w:r>
          </w:p>
        </w:tc>
      </w:tr>
      <w:tr w14:paraId="0CC2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7DD60678">
            <w:pPr>
              <w:jc w:val="left"/>
            </w:pPr>
            <w:r>
              <w:rPr>
                <w:rFonts w:ascii="Arial" w:hAnsi="Arial" w:eastAsia="Arial" w:cs="Arial"/>
                <w:b/>
                <w:bCs/>
                <w:color w:val="0D1F15"/>
                <w:sz w:val="19"/>
                <w:szCs w:val="19"/>
              </w:rPr>
              <w:t>SME / Private Equity</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E0D2168">
            <w:pPr>
              <w:jc w:val="left"/>
            </w:pPr>
            <w:r>
              <w:rPr>
                <w:rFonts w:ascii="Arial" w:hAnsi="Arial" w:eastAsia="Arial" w:cs="Arial"/>
                <w:b w:val="0"/>
                <w:bCs w:val="0"/>
                <w:color w:val="0D1F15"/>
                <w:sz w:val="19"/>
                <w:szCs w:val="19"/>
              </w:rPr>
              <w:t>1.5% of fundraising target</w:t>
            </w:r>
          </w:p>
        </w:tc>
        <w:tc>
          <w:tcPr>
            <w:tcW w:w="38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D719732">
            <w:pPr>
              <w:jc w:val="left"/>
            </w:pPr>
            <w:r>
              <w:rPr>
                <w:rFonts w:ascii="Arial" w:hAnsi="Arial" w:eastAsia="Arial" w:cs="Arial"/>
                <w:b w:val="0"/>
                <w:bCs w:val="0"/>
                <w:color w:val="0D1F15"/>
                <w:sz w:val="19"/>
                <w:szCs w:val="19"/>
              </w:rPr>
              <w:t>On successful funding close</w:t>
            </w:r>
          </w:p>
        </w:tc>
      </w:tr>
      <w:tr w14:paraId="27C6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08D992F5">
            <w:pPr>
              <w:jc w:val="left"/>
            </w:pPr>
            <w:r>
              <w:rPr>
                <w:rFonts w:ascii="Arial" w:hAnsi="Arial" w:eastAsia="Arial" w:cs="Arial"/>
                <w:b/>
                <w:bCs/>
                <w:color w:val="0D1F15"/>
                <w:sz w:val="19"/>
                <w:szCs w:val="19"/>
              </w:rPr>
              <w:t>Open Asset Class</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B84D511">
            <w:pPr>
              <w:jc w:val="left"/>
            </w:pPr>
            <w:r>
              <w:rPr>
                <w:rFonts w:ascii="Arial" w:hAnsi="Arial" w:eastAsia="Arial" w:cs="Arial"/>
                <w:b w:val="0"/>
                <w:bCs w:val="0"/>
                <w:color w:val="0D1F15"/>
                <w:sz w:val="19"/>
                <w:szCs w:val="19"/>
              </w:rPr>
              <w:t>Case-by-case (min UGX 1M)</w:t>
            </w:r>
          </w:p>
        </w:tc>
        <w:tc>
          <w:tcPr>
            <w:tcW w:w="38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887D530">
            <w:pPr>
              <w:jc w:val="left"/>
            </w:pPr>
            <w:r>
              <w:rPr>
                <w:rFonts w:ascii="Arial" w:hAnsi="Arial" w:eastAsia="Arial" w:cs="Arial"/>
                <w:b w:val="0"/>
                <w:bCs w:val="0"/>
                <w:color w:val="0D1F15"/>
                <w:sz w:val="19"/>
                <w:szCs w:val="19"/>
              </w:rPr>
              <w:t>Subject to Asset Admissions Committee</w:t>
            </w:r>
          </w:p>
        </w:tc>
      </w:tr>
    </w:tbl>
    <w:p w14:paraId="30B0E597">
      <w:pPr>
        <w:spacing w:before="80" w:after="0"/>
      </w:pPr>
    </w:p>
    <w:p w14:paraId="504E8CBA">
      <w:pPr>
        <w:pStyle w:val="3"/>
        <w:spacing w:before="240" w:after="80"/>
      </w:pPr>
      <w:r>
        <w:rPr>
          <w:rFonts w:ascii="Arial" w:hAnsi="Arial" w:eastAsia="Arial" w:cs="Arial"/>
          <w:b/>
          <w:bCs/>
          <w:color w:val="0D1F15"/>
          <w:sz w:val="26"/>
          <w:szCs w:val="26"/>
        </w:rPr>
        <w:t>5.3 Lister Revenue Share with NSSF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096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64D4CE26">
            <w:r>
              <w:rPr>
                <w:rFonts w:ascii="Arial" w:hAnsi="Arial" w:eastAsia="Arial" w:cs="Arial"/>
                <w:color w:val="0D1F15"/>
                <w:sz w:val="21"/>
                <w:szCs w:val="21"/>
              </w:rPr>
              <w:t>Every Lister accepts at contract signing that NSSF will deduct 3% from the Lister’s payout proceeds</w:t>
            </w:r>
          </w:p>
        </w:tc>
      </w:tr>
      <w:tr w14:paraId="79D2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0E9CA67D">
            <w:r>
              <w:rPr>
                <w:rFonts w:ascii="Arial" w:hAnsi="Arial" w:eastAsia="Arial" w:cs="Arial"/>
                <w:color w:val="0D1F15"/>
                <w:sz w:val="21"/>
                <w:szCs w:val="21"/>
              </w:rPr>
              <w:t>on every distribution cycle, in addition to the 3% charged on the investor pool payout.</w:t>
            </w:r>
          </w:p>
        </w:tc>
      </w:tr>
      <w:tr w14:paraId="0B77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2E1989DE"/>
        </w:tc>
      </w:tr>
      <w:tr w14:paraId="6F2D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3682CB67">
            <w:r>
              <w:rPr>
                <w:rFonts w:ascii="Arial" w:hAnsi="Arial" w:eastAsia="Arial" w:cs="Arial"/>
                <w:color w:val="0D1F15"/>
                <w:sz w:val="21"/>
                <w:szCs w:val="21"/>
              </w:rPr>
              <w:t>This means NSSF earns its 3% charge TWICE per asset cycle:</w:t>
            </w:r>
          </w:p>
        </w:tc>
      </w:tr>
      <w:tr w14:paraId="7E56C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666E2BE3">
            <w:r>
              <w:rPr>
                <w:rFonts w:ascii="Arial" w:hAnsi="Arial" w:eastAsia="Arial" w:cs="Arial"/>
                <w:color w:val="0D1F15"/>
                <w:sz w:val="21"/>
                <w:szCs w:val="21"/>
              </w:rPr>
              <w:t>→ Once on the Investor side (3% of investor gross return)</w:t>
            </w:r>
          </w:p>
        </w:tc>
      </w:tr>
      <w:tr w14:paraId="1442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722F7CCA">
            <w:r>
              <w:rPr>
                <w:rFonts w:ascii="Arial" w:hAnsi="Arial" w:eastAsia="Arial" w:cs="Arial"/>
                <w:color w:val="0D1F15"/>
                <w:sz w:val="21"/>
                <w:szCs w:val="21"/>
              </w:rPr>
              <w:t>→ Once on the Lister side (3% of lister proceeds / management fee)</w:t>
            </w:r>
          </w:p>
        </w:tc>
      </w:tr>
      <w:tr w14:paraId="232C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1CB5F087"/>
        </w:tc>
      </w:tr>
      <w:tr w14:paraId="6F30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60" w:type="dxa"/>
              <w:left w:w="200" w:type="dxa"/>
              <w:bottom w:w="60" w:type="dxa"/>
              <w:right w:w="200" w:type="dxa"/>
            </w:tcMar>
            <w:vAlign w:val="top"/>
          </w:tcPr>
          <w:p w14:paraId="4538F326">
            <w:r>
              <w:rPr>
                <w:rFonts w:ascii="Arial" w:hAnsi="Arial" w:eastAsia="Arial" w:cs="Arial"/>
                <w:color w:val="0D1F15"/>
                <w:sz w:val="21"/>
                <w:szCs w:val="21"/>
              </w:rPr>
              <w:t>Both charges are disclosed to all parties at the point of listing acceptance.</w:t>
            </w:r>
          </w:p>
        </w:tc>
      </w:tr>
    </w:tbl>
    <w:p w14:paraId="431D970C">
      <w:r>
        <w:br w:type="page"/>
      </w:r>
    </w:p>
    <w:p w14:paraId="4208E17F">
      <w:pPr>
        <w:pStyle w:val="2"/>
        <w:spacing w:before="360" w:after="120"/>
      </w:pPr>
      <w:r>
        <w:rPr>
          <w:rFonts w:ascii="Arial" w:hAnsi="Arial" w:eastAsia="Arial" w:cs="Arial"/>
          <w:b/>
          <w:bCs/>
          <w:color w:val="1A7A45"/>
          <w:sz w:val="32"/>
          <w:szCs w:val="32"/>
        </w:rPr>
        <w:t>6. The Business Model &amp; Revenue Architecture</w:t>
      </w:r>
    </w:p>
    <w:p w14:paraId="5FDBC5C8">
      <w:pPr>
        <w:pBdr>
          <w:bottom w:val="single" w:color="1A7A45" w:sz="12" w:space="1"/>
        </w:pBdr>
        <w:spacing w:before="60" w:after="60"/>
      </w:pPr>
    </w:p>
    <w:p w14:paraId="5EEDC188">
      <w:pPr>
        <w:spacing w:before="60" w:after="80"/>
        <w:jc w:val="left"/>
        <w:rPr>
          <w:rFonts w:ascii="Arial" w:hAnsi="Arial" w:eastAsia="Arial" w:cs="Arial"/>
          <w:color w:val="0D1F15"/>
        </w:rPr>
      </w:pPr>
      <w:r>
        <w:rPr>
          <w:rFonts w:ascii="Arial" w:hAnsi="Arial" w:eastAsia="Arial" w:cs="Arial"/>
          <w:b w:val="0"/>
          <w:bCs w:val="0"/>
          <w:color w:val="0D1F15"/>
          <w:sz w:val="22"/>
          <w:szCs w:val="22"/>
        </w:rPr>
        <w:t>OwnIt Uganda’s revenue model is built to scale with platform activity — the more assets listed and the more payouts processed, the more revenue both OwnIt and NSSF earn. The model has three structural layers:</w:t>
      </w:r>
    </w:p>
    <w:p w14:paraId="54CF4B12">
      <w:pPr>
        <w:spacing w:before="240" w:after="80"/>
        <w:rPr>
          <w:rFonts w:ascii="Arial" w:hAnsi="Arial" w:eastAsia="Arial" w:cs="Arial"/>
          <w:color w:val="0D1F15"/>
        </w:rPr>
      </w:pPr>
      <w:r>
        <w:rPr>
          <w:rFonts w:ascii="Arial" w:hAnsi="Arial" w:eastAsia="Arial" w:cs="Arial"/>
          <w:b/>
          <w:bCs/>
          <w:color w:val="0D1F15"/>
          <w:sz w:val="26"/>
          <w:szCs w:val="26"/>
        </w:rPr>
        <w:t>Layer 1: Payout-Linked Revenue (Recurring, Scalable)</w:t>
      </w:r>
    </w:p>
    <w:p w14:paraId="3B1312BE">
      <w:pPr>
        <w:spacing w:before="60" w:after="80"/>
        <w:jc w:val="left"/>
        <w:rPr>
          <w:rFonts w:ascii="Arial" w:hAnsi="Arial" w:eastAsia="Arial" w:cs="Arial"/>
          <w:color w:val="0D1F15"/>
        </w:rPr>
      </w:pPr>
      <w:r>
        <w:rPr>
          <w:rFonts w:ascii="Arial" w:hAnsi="Arial" w:eastAsia="Arial" w:cs="Arial"/>
          <w:b w:val="0"/>
          <w:bCs w:val="0"/>
          <w:color w:val="0D1F15"/>
          <w:sz w:val="22"/>
          <w:szCs w:val="22"/>
        </w:rPr>
        <w:t>A 3% service charge is deducted from every payout processed on the platform, applied to both Investor and Lister proceeds. This is the primary, recurring revenue mechanism — it requires no new sales, no new listings, and no new users to generate income. Every existing asset cycling through the platform generates this charge automatically.</w:t>
      </w:r>
    </w:p>
    <w:p w14:paraId="50A2CFDD">
      <w:pPr>
        <w:spacing w:before="240" w:after="80"/>
        <w:rPr>
          <w:rFonts w:ascii="Arial" w:hAnsi="Arial" w:eastAsia="Arial" w:cs="Arial"/>
          <w:color w:val="0D1F15"/>
        </w:rPr>
      </w:pPr>
      <w:r>
        <w:rPr>
          <w:rFonts w:ascii="Arial" w:hAnsi="Arial" w:eastAsia="Arial" w:cs="Arial"/>
          <w:b/>
          <w:bCs/>
          <w:color w:val="0D1F15"/>
          <w:sz w:val="26"/>
          <w:szCs w:val="26"/>
        </w:rPr>
        <w:t>Layer 2: Listing Fees (Upfront, One-Time)</w:t>
      </w:r>
    </w:p>
    <w:p w14:paraId="126F1E6E">
      <w:pPr>
        <w:spacing w:before="60" w:after="80"/>
        <w:jc w:val="left"/>
        <w:rPr>
          <w:rFonts w:ascii="Arial" w:hAnsi="Arial" w:eastAsia="Arial" w:cs="Arial"/>
          <w:color w:val="0D1F15"/>
        </w:rPr>
      </w:pPr>
      <w:r>
        <w:rPr>
          <w:rFonts w:ascii="Arial" w:hAnsi="Arial" w:eastAsia="Arial" w:cs="Arial"/>
          <w:b w:val="0"/>
          <w:bCs w:val="0"/>
          <w:color w:val="0D1F15"/>
          <w:sz w:val="22"/>
          <w:szCs w:val="22"/>
        </w:rPr>
        <w:t>Listers pay a listing fee upon asset approval. This provides OwnIt with upfront revenue per listing independent of asset performance. NSSF receives 30% of all listing fees collected.</w:t>
      </w:r>
    </w:p>
    <w:p w14:paraId="4F234232">
      <w:pPr>
        <w:spacing w:before="240" w:after="80"/>
        <w:rPr>
          <w:rFonts w:ascii="Arial" w:hAnsi="Arial" w:eastAsia="Arial" w:cs="Arial"/>
          <w:color w:val="0D1F15"/>
        </w:rPr>
      </w:pPr>
      <w:r>
        <w:rPr>
          <w:rFonts w:ascii="Arial" w:hAnsi="Arial" w:eastAsia="Arial" w:cs="Arial"/>
          <w:b/>
          <w:bCs/>
          <w:color w:val="0D1F15"/>
          <w:sz w:val="26"/>
          <w:szCs w:val="26"/>
        </w:rPr>
        <w:t>Layer 3: Investor Platform Fee (At Point of Investment)</w:t>
      </w:r>
    </w:p>
    <w:p w14:paraId="73B2D533">
      <w:pPr>
        <w:spacing w:before="60" w:after="100"/>
        <w:jc w:val="left"/>
        <w:rPr>
          <w:rFonts w:ascii="Arial" w:hAnsi="Arial" w:eastAsia="Arial" w:cs="Arial"/>
          <w:color w:val="0D1F15"/>
        </w:rPr>
      </w:pPr>
      <w:r>
        <w:rPr>
          <w:rFonts w:ascii="Arial" w:hAnsi="Arial" w:eastAsia="Arial" w:cs="Arial"/>
          <w:b w:val="0"/>
          <w:bCs w:val="0"/>
          <w:color w:val="0D1F15"/>
          <w:sz w:val="22"/>
          <w:szCs w:val="22"/>
        </w:rPr>
        <w:t>Investors pay a 2% platform fee on their initial investment amount when they purchase Hisa in any asset. This fee is retained entirely by OwnIt.</w:t>
      </w:r>
    </w:p>
    <w:p w14:paraId="150025A0">
      <w:pPr>
        <w:spacing w:before="240" w:after="80"/>
        <w:rPr>
          <w:rFonts w:ascii="Arial" w:hAnsi="Arial" w:eastAsia="Arial" w:cs="Arial"/>
          <w:color w:val="0D1F15"/>
        </w:rPr>
      </w:pPr>
      <w:r>
        <w:rPr>
          <w:rFonts w:ascii="Arial" w:hAnsi="Arial" w:eastAsia="Arial" w:cs="Arial"/>
          <w:b/>
          <w:bCs/>
          <w:color w:val="0D1F15"/>
          <w:sz w:val="26"/>
          <w:szCs w:val="26"/>
        </w:rPr>
        <w:t>6.1 Worked Example — Agricultural Commodity Lot (Maize Export)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BB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120" w:type="dxa"/>
              <w:left w:w="200" w:type="dxa"/>
              <w:bottom w:w="40" w:type="dxa"/>
              <w:right w:w="160" w:type="dxa"/>
            </w:tcMar>
          </w:tcPr>
          <w:p w14:paraId="6C7B14F5">
            <w:pPr>
              <w:rPr>
                <w:rFonts w:ascii="Arial" w:hAnsi="Arial" w:eastAsia="Arial" w:cs="Arial"/>
                <w:color w:val="0D1F15"/>
              </w:rPr>
            </w:pPr>
            <w:r>
              <w:rPr>
                <w:rFonts w:ascii="Arial" w:hAnsi="Arial" w:eastAsia="Arial" w:cs="Arial"/>
                <w:color w:val="0D1F15"/>
                <w:sz w:val="21"/>
                <w:szCs w:val="21"/>
              </w:rPr>
              <w:t>500 bags of maize purchased (crowd-funded):        UGX 25,000,000</w:t>
            </w:r>
          </w:p>
        </w:tc>
      </w:tr>
      <w:tr w14:paraId="0760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52800688">
            <w:pPr>
              <w:rPr>
                <w:rFonts w:ascii="Arial" w:hAnsi="Arial" w:eastAsia="Arial" w:cs="Arial"/>
                <w:color w:val="0D1F15"/>
              </w:rPr>
            </w:pPr>
            <w:r>
              <w:rPr>
                <w:rFonts w:ascii="Arial" w:hAnsi="Arial" w:eastAsia="Arial" w:cs="Arial"/>
                <w:color w:val="0D1F15"/>
                <w:sz w:val="21"/>
                <w:szCs w:val="21"/>
              </w:rPr>
              <w:t>Sold to Kenya at export price after 75 days:       UGX 34,000,000</w:t>
            </w:r>
          </w:p>
        </w:tc>
      </w:tr>
      <w:tr w14:paraId="6267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62E907E0">
            <w:pPr>
              <w:rPr>
                <w:rFonts w:ascii="Arial" w:hAnsi="Arial" w:eastAsia="Arial" w:cs="Arial"/>
                <w:color w:val="0D1F15"/>
              </w:rPr>
            </w:pPr>
            <w:r>
              <w:rPr>
                <w:rFonts w:ascii="Arial" w:hAnsi="Arial" w:eastAsia="Arial" w:cs="Arial"/>
                <w:color w:val="0D1F15"/>
                <w:sz w:val="21"/>
                <w:szCs w:val="21"/>
              </w:rPr>
              <w:t>Gross profit to distribute:                        UGX 9,000,000</w:t>
            </w:r>
          </w:p>
        </w:tc>
      </w:tr>
      <w:tr w14:paraId="12FEC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5DD2E3A9">
            <w:pPr>
              <w:rPr>
                <w:rFonts w:ascii="Arial" w:hAnsi="Arial" w:eastAsia="Arial" w:cs="Arial"/>
                <w:color w:val="0D1F15"/>
              </w:rPr>
            </w:pPr>
          </w:p>
        </w:tc>
      </w:tr>
      <w:tr w14:paraId="7771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6FB2CD22">
            <w:pPr>
              <w:rPr>
                <w:rFonts w:ascii="Arial" w:hAnsi="Arial" w:eastAsia="Arial" w:cs="Arial"/>
                <w:color w:val="0D1F15"/>
              </w:rPr>
            </w:pPr>
            <w:r>
              <w:rPr>
                <w:rFonts w:ascii="Arial" w:hAnsi="Arial" w:eastAsia="Arial" w:cs="Arial"/>
                <w:color w:val="0D1F15"/>
                <w:sz w:val="21"/>
                <w:szCs w:val="21"/>
              </w:rPr>
              <w:t>Lister management fee (agreed 8%):                 UGX 720,000</w:t>
            </w:r>
          </w:p>
        </w:tc>
      </w:tr>
      <w:tr w14:paraId="6A41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48D5EAFF">
            <w:pPr>
              <w:rPr>
                <w:rFonts w:ascii="Arial" w:hAnsi="Arial" w:eastAsia="Arial" w:cs="Arial"/>
                <w:color w:val="0D1F15"/>
              </w:rPr>
            </w:pPr>
            <w:r>
              <w:rPr>
                <w:rFonts w:ascii="Arial" w:hAnsi="Arial" w:eastAsia="Arial" w:cs="Arial"/>
                <w:color w:val="0D1F15"/>
                <w:sz w:val="21"/>
                <w:szCs w:val="21"/>
              </w:rPr>
              <w:t xml:space="preserve">  → 3% NSSF service charge on lister:             UGX 21,600  → NSSF operating revenue</w:t>
            </w:r>
          </w:p>
        </w:tc>
      </w:tr>
      <w:tr w14:paraId="1B43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31C88060">
            <w:pPr>
              <w:rPr>
                <w:rFonts w:ascii="Arial" w:hAnsi="Arial" w:eastAsia="Arial" w:cs="Arial"/>
                <w:color w:val="0D1F15"/>
              </w:rPr>
            </w:pPr>
            <w:r>
              <w:rPr>
                <w:rFonts w:ascii="Arial" w:hAnsi="Arial" w:eastAsia="Arial" w:cs="Arial"/>
                <w:color w:val="0D1F15"/>
                <w:sz w:val="21"/>
                <w:szCs w:val="21"/>
              </w:rPr>
              <w:t xml:space="preserve">  → Net to lister:                                 UGX 698,400</w:t>
            </w:r>
          </w:p>
        </w:tc>
      </w:tr>
      <w:tr w14:paraId="77FE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5059FA4A">
            <w:pPr>
              <w:rPr>
                <w:rFonts w:ascii="Arial" w:hAnsi="Arial" w:eastAsia="Arial" w:cs="Arial"/>
                <w:color w:val="0D1F15"/>
              </w:rPr>
            </w:pPr>
          </w:p>
        </w:tc>
      </w:tr>
      <w:tr w14:paraId="3958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24036A74">
            <w:pPr>
              <w:rPr>
                <w:rFonts w:ascii="Arial" w:hAnsi="Arial" w:eastAsia="Arial" w:cs="Arial"/>
                <w:color w:val="0D1F15"/>
              </w:rPr>
            </w:pPr>
            <w:r>
              <w:rPr>
                <w:rFonts w:ascii="Arial" w:hAnsi="Arial" w:eastAsia="Arial" w:cs="Arial"/>
                <w:color w:val="0D1F15"/>
                <w:sz w:val="21"/>
                <w:szCs w:val="21"/>
              </w:rPr>
              <w:t>Investor gross return pool:                        UGX 8,280,000</w:t>
            </w:r>
          </w:p>
        </w:tc>
      </w:tr>
      <w:tr w14:paraId="09BF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5E4A208A">
            <w:pPr>
              <w:rPr>
                <w:rFonts w:ascii="Arial" w:hAnsi="Arial" w:eastAsia="Arial" w:cs="Arial"/>
                <w:color w:val="0D1F15"/>
              </w:rPr>
            </w:pPr>
            <w:r>
              <w:rPr>
                <w:rFonts w:ascii="Arial" w:hAnsi="Arial" w:eastAsia="Arial" w:cs="Arial"/>
                <w:color w:val="0D1F15"/>
                <w:sz w:val="21"/>
                <w:szCs w:val="21"/>
              </w:rPr>
              <w:t xml:space="preserve">  → 3% NSSF service charge (investor side):       UGX 248,400  → NSSF operating revenue</w:t>
            </w:r>
          </w:p>
        </w:tc>
      </w:tr>
      <w:tr w14:paraId="43642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488038B3">
            <w:pPr>
              <w:rPr>
                <w:rFonts w:ascii="Arial" w:hAnsi="Arial" w:eastAsia="Arial" w:cs="Arial"/>
                <w:color w:val="0D1F15"/>
              </w:rPr>
            </w:pPr>
            <w:r>
              <w:rPr>
                <w:rFonts w:ascii="Arial" w:hAnsi="Arial" w:eastAsia="Arial" w:cs="Arial"/>
                <w:color w:val="0D1F15"/>
                <w:sz w:val="21"/>
                <w:szCs w:val="21"/>
              </w:rPr>
              <w:t xml:space="preserve">  → 2% NSSF pension levy (investor side):         UGX 165,600  → invested by NSSF for members</w:t>
            </w:r>
          </w:p>
        </w:tc>
      </w:tr>
      <w:tr w14:paraId="15F0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1F66C862">
            <w:pPr>
              <w:rPr>
                <w:rFonts w:ascii="Arial" w:hAnsi="Arial" w:eastAsia="Arial" w:cs="Arial"/>
                <w:color w:val="0D1F15"/>
              </w:rPr>
            </w:pPr>
            <w:r>
              <w:rPr>
                <w:rFonts w:ascii="Arial" w:hAnsi="Arial" w:eastAsia="Arial" w:cs="Arial"/>
                <w:color w:val="0D1F15"/>
                <w:sz w:val="21"/>
                <w:szCs w:val="21"/>
              </w:rPr>
              <w:t xml:space="preserve">  → Net distributed to investors (MoMo):          UGX 7,866,000</w:t>
            </w:r>
          </w:p>
        </w:tc>
      </w:tr>
      <w:tr w14:paraId="0199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6AB0E4B6">
            <w:pPr>
              <w:rPr>
                <w:rFonts w:ascii="Arial" w:hAnsi="Arial" w:eastAsia="Arial" w:cs="Arial"/>
                <w:color w:val="0D1F15"/>
              </w:rPr>
            </w:pPr>
          </w:p>
        </w:tc>
      </w:tr>
      <w:tr w14:paraId="166D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3B1E1DA0">
            <w:pPr>
              <w:rPr>
                <w:rFonts w:ascii="Arial" w:hAnsi="Arial" w:eastAsia="Arial" w:cs="Arial"/>
                <w:color w:val="0D1F15"/>
              </w:rPr>
            </w:pPr>
            <w:r>
              <w:rPr>
                <w:rFonts w:ascii="Arial" w:hAnsi="Arial" w:eastAsia="Arial" w:cs="Arial"/>
                <w:color w:val="0D1F15"/>
                <w:sz w:val="21"/>
                <w:szCs w:val="21"/>
              </w:rPr>
              <w:t>NSSF EARNINGS THIS CYCLE:</w:t>
            </w:r>
          </w:p>
        </w:tc>
      </w:tr>
      <w:tr w14:paraId="4AEC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30607AD1">
            <w:pPr>
              <w:rPr>
                <w:rFonts w:ascii="Arial" w:hAnsi="Arial" w:eastAsia="Arial" w:cs="Arial"/>
                <w:color w:val="0D1F15"/>
              </w:rPr>
            </w:pPr>
            <w:r>
              <w:rPr>
                <w:rFonts w:ascii="Arial" w:hAnsi="Arial" w:eastAsia="Arial" w:cs="Arial"/>
                <w:color w:val="0D1F15"/>
                <w:sz w:val="21"/>
                <w:szCs w:val="21"/>
              </w:rPr>
              <w:t>NSSF operating revenue (3%+3%):                   UGX 270,000</w:t>
            </w:r>
          </w:p>
        </w:tc>
      </w:tr>
      <w:tr w14:paraId="12D7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5CE7E58E">
            <w:pPr>
              <w:rPr>
                <w:rFonts w:ascii="Arial" w:hAnsi="Arial" w:eastAsia="Arial" w:cs="Arial"/>
                <w:color w:val="0D1F15"/>
              </w:rPr>
            </w:pPr>
            <w:r>
              <w:rPr>
                <w:rFonts w:ascii="Arial" w:hAnsi="Arial" w:eastAsia="Arial" w:cs="Arial"/>
                <w:color w:val="0D1F15"/>
                <w:sz w:val="21"/>
                <w:szCs w:val="21"/>
              </w:rPr>
              <w:t>NSSF pension levy invested for members (2%):      UGX 165,600</w:t>
            </w:r>
          </w:p>
        </w:tc>
      </w:tr>
      <w:tr w14:paraId="43AF3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120" w:type="dxa"/>
              <w:right w:w="160" w:type="dxa"/>
            </w:tcMar>
          </w:tcPr>
          <w:p w14:paraId="46D5C663">
            <w:pPr>
              <w:rPr>
                <w:rFonts w:ascii="Arial" w:hAnsi="Arial" w:eastAsia="Arial" w:cs="Arial"/>
                <w:color w:val="0D1F15"/>
              </w:rPr>
            </w:pPr>
            <w:r>
              <w:rPr>
                <w:rFonts w:ascii="Arial" w:hAnsi="Arial" w:eastAsia="Arial" w:cs="Arial"/>
                <w:color w:val="0D1F15"/>
                <w:sz w:val="21"/>
                <w:szCs w:val="21"/>
              </w:rPr>
              <w:t>Total deducted for NSSF/pension:                  UGX 435,600</w:t>
            </w:r>
          </w:p>
        </w:tc>
      </w:tr>
    </w:tbl>
    <w:p w14:paraId="2E551AD2">
      <w:pPr>
        <w:spacing w:before="80" w:after="0"/>
      </w:pPr>
    </w:p>
    <w:p w14:paraId="303E2D54">
      <w:pPr>
        <w:spacing w:before="80" w:after="0"/>
      </w:pPr>
    </w:p>
    <w:p w14:paraId="3763FB91">
      <w:pPr>
        <w:pStyle w:val="3"/>
        <w:spacing w:before="240" w:after="80"/>
      </w:pPr>
      <w:r>
        <w:rPr>
          <w:rFonts w:ascii="Arial" w:hAnsi="Arial" w:eastAsia="Arial" w:cs="Arial"/>
          <w:b/>
          <w:bCs/>
          <w:color w:val="0D1F15"/>
          <w:sz w:val="26"/>
          <w:szCs w:val="26"/>
        </w:rPr>
        <w:t>6.</w:t>
      </w:r>
      <w:r>
        <w:rPr>
          <w:rFonts w:hint="default" w:cs="Arial"/>
          <w:b/>
          <w:bCs/>
          <w:color w:val="0D1F15"/>
          <w:sz w:val="26"/>
          <w:szCs w:val="26"/>
          <w:lang w:val="en-US"/>
        </w:rPr>
        <w:t>2</w:t>
      </w:r>
      <w:r>
        <w:rPr>
          <w:rFonts w:ascii="Arial" w:hAnsi="Arial" w:eastAsia="Arial" w:cs="Arial"/>
          <w:b/>
          <w:bCs/>
          <w:color w:val="0D1F15"/>
          <w:sz w:val="26"/>
          <w:szCs w:val="26"/>
        </w:rPr>
        <w:t xml:space="preserve"> Full NSSF Revenue Share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1920"/>
        <w:gridCol w:w="1440"/>
        <w:gridCol w:w="1440"/>
        <w:gridCol w:w="1680"/>
      </w:tblGrid>
      <w:tr w14:paraId="45A9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B226AD2">
            <w:pPr>
              <w:jc w:val="left"/>
            </w:pPr>
            <w:r>
              <w:rPr>
                <w:rFonts w:ascii="Arial" w:hAnsi="Arial" w:eastAsia="Arial" w:cs="Arial"/>
                <w:b/>
                <w:bCs/>
                <w:color w:val="FFFFFF"/>
                <w:sz w:val="19"/>
                <w:szCs w:val="19"/>
              </w:rPr>
              <w:t>Revenue Line</w:t>
            </w:r>
          </w:p>
        </w:tc>
        <w:tc>
          <w:tcPr>
            <w:tcW w:w="192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6C77141F">
            <w:pPr>
              <w:jc w:val="left"/>
            </w:pPr>
            <w:r>
              <w:rPr>
                <w:rFonts w:ascii="Arial" w:hAnsi="Arial" w:eastAsia="Arial" w:cs="Arial"/>
                <w:b/>
                <w:bCs/>
                <w:color w:val="FFFFFF"/>
                <w:sz w:val="19"/>
                <w:szCs w:val="19"/>
              </w:rPr>
              <w:t>Total Collected</w:t>
            </w:r>
          </w:p>
        </w:tc>
        <w:tc>
          <w:tcPr>
            <w:tcW w:w="14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E143154">
            <w:pPr>
              <w:jc w:val="left"/>
            </w:pPr>
            <w:r>
              <w:rPr>
                <w:rFonts w:ascii="Arial" w:hAnsi="Arial" w:eastAsia="Arial" w:cs="Arial"/>
                <w:b/>
                <w:bCs/>
                <w:color w:val="FFFFFF"/>
                <w:sz w:val="19"/>
                <w:szCs w:val="19"/>
              </w:rPr>
              <w:t>NSSF Share (60%)</w:t>
            </w:r>
          </w:p>
        </w:tc>
        <w:tc>
          <w:tcPr>
            <w:tcW w:w="14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D20C766">
            <w:pPr>
              <w:jc w:val="left"/>
            </w:pPr>
            <w:r>
              <w:rPr>
                <w:rFonts w:ascii="Arial" w:hAnsi="Arial" w:eastAsia="Arial" w:cs="Arial"/>
                <w:b/>
                <w:bCs/>
                <w:color w:val="FFFFFF"/>
                <w:sz w:val="19"/>
                <w:szCs w:val="19"/>
              </w:rPr>
              <w:t>OwnIt Share (40%)</w:t>
            </w:r>
          </w:p>
        </w:tc>
        <w:tc>
          <w:tcPr>
            <w:tcW w:w="168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03BD5A80">
            <w:pPr>
              <w:jc w:val="left"/>
            </w:pPr>
            <w:r>
              <w:rPr>
                <w:rFonts w:ascii="Arial" w:hAnsi="Arial" w:eastAsia="Arial" w:cs="Arial"/>
                <w:b/>
                <w:bCs/>
                <w:color w:val="FFFFFF"/>
                <w:sz w:val="19"/>
                <w:szCs w:val="19"/>
              </w:rPr>
              <w:t>Trigger</w:t>
            </w:r>
          </w:p>
        </w:tc>
      </w:tr>
      <w:tr w14:paraId="331B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03D752D0">
            <w:pPr>
              <w:jc w:val="left"/>
            </w:pPr>
            <w:r>
              <w:rPr>
                <w:rFonts w:ascii="Arial" w:hAnsi="Arial" w:eastAsia="Arial" w:cs="Arial"/>
                <w:b/>
                <w:bCs/>
                <w:color w:val="0D1F15"/>
                <w:sz w:val="19"/>
                <w:szCs w:val="19"/>
              </w:rPr>
              <w:t>3% Service Charge — Investor Side</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7E438F1">
            <w:pPr>
              <w:jc w:val="left"/>
            </w:pPr>
            <w:r>
              <w:rPr>
                <w:rFonts w:ascii="Arial" w:hAnsi="Arial" w:eastAsia="Arial" w:cs="Arial"/>
                <w:b w:val="0"/>
                <w:bCs w:val="0"/>
                <w:color w:val="0D1F15"/>
                <w:sz w:val="19"/>
                <w:szCs w:val="19"/>
              </w:rPr>
              <w:t>3% of gross investor returns</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8E02E8B">
            <w:pPr>
              <w:jc w:val="left"/>
            </w:pPr>
            <w:r>
              <w:rPr>
                <w:rFonts w:ascii="Arial" w:hAnsi="Arial" w:eastAsia="Arial" w:cs="Arial"/>
                <w:b w:val="0"/>
                <w:bCs w:val="0"/>
                <w:color w:val="0D1F15"/>
                <w:sz w:val="19"/>
                <w:szCs w:val="19"/>
              </w:rPr>
              <w:t>60% = 1.8%</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6D000F2">
            <w:pPr>
              <w:jc w:val="left"/>
            </w:pPr>
            <w:r>
              <w:rPr>
                <w:rFonts w:ascii="Arial" w:hAnsi="Arial" w:eastAsia="Arial" w:cs="Arial"/>
                <w:b w:val="0"/>
                <w:bCs w:val="0"/>
                <w:color w:val="0D1F15"/>
                <w:sz w:val="19"/>
                <w:szCs w:val="19"/>
              </w:rPr>
              <w:t>40% = 1.2%</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7BEAA50">
            <w:pPr>
              <w:jc w:val="left"/>
            </w:pPr>
            <w:r>
              <w:rPr>
                <w:rFonts w:ascii="Arial" w:hAnsi="Arial" w:eastAsia="Arial" w:cs="Arial"/>
                <w:b w:val="0"/>
                <w:bCs w:val="0"/>
                <w:color w:val="0D1F15"/>
                <w:sz w:val="19"/>
                <w:szCs w:val="19"/>
              </w:rPr>
              <w:t>Every payout</w:t>
            </w:r>
          </w:p>
        </w:tc>
      </w:tr>
      <w:tr w14:paraId="68BA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D009059">
            <w:pPr>
              <w:jc w:val="left"/>
            </w:pPr>
            <w:r>
              <w:rPr>
                <w:rFonts w:ascii="Arial" w:hAnsi="Arial" w:eastAsia="Arial" w:cs="Arial"/>
                <w:b/>
                <w:bCs/>
                <w:color w:val="0D1F15"/>
                <w:sz w:val="19"/>
                <w:szCs w:val="19"/>
              </w:rPr>
              <w:t>3% Service Charge — Lister Side</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89102CB">
            <w:pPr>
              <w:jc w:val="left"/>
            </w:pPr>
            <w:r>
              <w:rPr>
                <w:rFonts w:ascii="Arial" w:hAnsi="Arial" w:eastAsia="Arial" w:cs="Arial"/>
                <w:b w:val="0"/>
                <w:bCs w:val="0"/>
                <w:color w:val="0D1F15"/>
                <w:sz w:val="19"/>
                <w:szCs w:val="19"/>
              </w:rPr>
              <w:t>3% of lister proceeds</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5AE04C4">
            <w:pPr>
              <w:jc w:val="left"/>
            </w:pPr>
            <w:r>
              <w:rPr>
                <w:rFonts w:ascii="Arial" w:hAnsi="Arial" w:eastAsia="Arial" w:cs="Arial"/>
                <w:b w:val="0"/>
                <w:bCs w:val="0"/>
                <w:color w:val="0D1F15"/>
                <w:sz w:val="19"/>
                <w:szCs w:val="19"/>
              </w:rPr>
              <w:t>60% = 1.8%</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1141DD2">
            <w:pPr>
              <w:jc w:val="left"/>
            </w:pPr>
            <w:r>
              <w:rPr>
                <w:rFonts w:ascii="Arial" w:hAnsi="Arial" w:eastAsia="Arial" w:cs="Arial"/>
                <w:b w:val="0"/>
                <w:bCs w:val="0"/>
                <w:color w:val="0D1F15"/>
                <w:sz w:val="19"/>
                <w:szCs w:val="19"/>
              </w:rPr>
              <w:t>40% = 1.2%</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98A34F0">
            <w:pPr>
              <w:jc w:val="left"/>
            </w:pPr>
            <w:r>
              <w:rPr>
                <w:rFonts w:ascii="Arial" w:hAnsi="Arial" w:eastAsia="Arial" w:cs="Arial"/>
                <w:b w:val="0"/>
                <w:bCs w:val="0"/>
                <w:color w:val="0D1F15"/>
                <w:sz w:val="19"/>
                <w:szCs w:val="19"/>
              </w:rPr>
              <w:t>Every payout</w:t>
            </w:r>
          </w:p>
        </w:tc>
      </w:tr>
      <w:tr w14:paraId="729C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353FC803">
            <w:pPr>
              <w:jc w:val="left"/>
            </w:pPr>
            <w:r>
              <w:rPr>
                <w:rFonts w:ascii="Arial" w:hAnsi="Arial" w:eastAsia="Arial" w:cs="Arial"/>
                <w:b/>
                <w:bCs/>
                <w:color w:val="0D1F15"/>
                <w:sz w:val="19"/>
                <w:szCs w:val="19"/>
              </w:rPr>
              <w:t>2% Pension Levy — Investor Payout</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08DDDAB">
            <w:pPr>
              <w:jc w:val="left"/>
            </w:pPr>
            <w:r>
              <w:rPr>
                <w:rFonts w:ascii="Arial" w:hAnsi="Arial" w:eastAsia="Arial" w:cs="Arial"/>
                <w:b w:val="0"/>
                <w:bCs w:val="0"/>
                <w:color w:val="0D1F15"/>
                <w:sz w:val="19"/>
                <w:szCs w:val="19"/>
              </w:rPr>
              <w:t>2% of each investor’s gross return</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FF1CBEA">
            <w:pPr>
              <w:jc w:val="left"/>
            </w:pPr>
            <w:r>
              <w:rPr>
                <w:rFonts w:ascii="Arial" w:hAnsi="Arial" w:eastAsia="Arial" w:cs="Arial"/>
                <w:b w:val="0"/>
                <w:bCs w:val="0"/>
                <w:color w:val="0D1F15"/>
                <w:sz w:val="19"/>
                <w:szCs w:val="19"/>
              </w:rPr>
              <w:t>100% invested by NSSF</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2D179D5">
            <w:pPr>
              <w:jc w:val="left"/>
            </w:pPr>
            <w:r>
              <w:rPr>
                <w:rFonts w:ascii="Arial" w:hAnsi="Arial" w:eastAsia="Arial" w:cs="Arial"/>
                <w:b w:val="0"/>
                <w:bCs w:val="0"/>
                <w:color w:val="0D1F15"/>
                <w:sz w:val="19"/>
                <w:szCs w:val="19"/>
              </w:rPr>
              <w:t>0%</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22F309A">
            <w:pPr>
              <w:jc w:val="left"/>
            </w:pPr>
            <w:r>
              <w:rPr>
                <w:rFonts w:ascii="Arial" w:hAnsi="Arial" w:eastAsia="Arial" w:cs="Arial"/>
                <w:b w:val="0"/>
                <w:bCs w:val="0"/>
                <w:color w:val="0D1F15"/>
                <w:sz w:val="19"/>
                <w:szCs w:val="19"/>
              </w:rPr>
              <w:t>Every payout</w:t>
            </w:r>
          </w:p>
        </w:tc>
      </w:tr>
      <w:tr w14:paraId="516FB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5AE9E00C">
            <w:pPr>
              <w:jc w:val="left"/>
            </w:pPr>
            <w:r>
              <w:rPr>
                <w:rFonts w:ascii="Arial" w:hAnsi="Arial" w:eastAsia="Arial" w:cs="Arial"/>
                <w:b/>
                <w:bCs/>
                <w:color w:val="0D1F15"/>
                <w:sz w:val="19"/>
                <w:szCs w:val="19"/>
              </w:rPr>
              <w:t>Listing Fees (all classes)</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3B1FFFB">
            <w:pPr>
              <w:jc w:val="left"/>
            </w:pPr>
            <w:r>
              <w:rPr>
                <w:rFonts w:ascii="Arial" w:hAnsi="Arial" w:eastAsia="Arial" w:cs="Arial"/>
                <w:b w:val="0"/>
                <w:bCs w:val="0"/>
                <w:color w:val="0D1F15"/>
                <w:sz w:val="19"/>
                <w:szCs w:val="19"/>
              </w:rPr>
              <w:t>Per fee schedule (Sec 5.2)</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D8106D9">
            <w:pPr>
              <w:jc w:val="left"/>
            </w:pPr>
            <w:r>
              <w:rPr>
                <w:rFonts w:ascii="Arial" w:hAnsi="Arial" w:eastAsia="Arial" w:cs="Arial"/>
                <w:b w:val="0"/>
                <w:bCs w:val="0"/>
                <w:color w:val="0D1F15"/>
                <w:sz w:val="19"/>
                <w:szCs w:val="19"/>
              </w:rPr>
              <w:t>30%</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D567B0B">
            <w:pPr>
              <w:jc w:val="left"/>
            </w:pPr>
            <w:r>
              <w:rPr>
                <w:rFonts w:ascii="Arial" w:hAnsi="Arial" w:eastAsia="Arial" w:cs="Arial"/>
                <w:b w:val="0"/>
                <w:bCs w:val="0"/>
                <w:color w:val="0D1F15"/>
                <w:sz w:val="19"/>
                <w:szCs w:val="19"/>
              </w:rPr>
              <w:t>70%</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E68288E">
            <w:pPr>
              <w:jc w:val="left"/>
            </w:pPr>
            <w:r>
              <w:rPr>
                <w:rFonts w:ascii="Arial" w:hAnsi="Arial" w:eastAsia="Arial" w:cs="Arial"/>
                <w:b w:val="0"/>
                <w:bCs w:val="0"/>
                <w:color w:val="0D1F15"/>
                <w:sz w:val="19"/>
                <w:szCs w:val="19"/>
              </w:rPr>
              <w:t>Per listing</w:t>
            </w:r>
          </w:p>
        </w:tc>
      </w:tr>
      <w:tr w14:paraId="681E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BE23B90">
            <w:pPr>
              <w:jc w:val="left"/>
            </w:pPr>
            <w:r>
              <w:rPr>
                <w:rFonts w:ascii="Arial" w:hAnsi="Arial" w:eastAsia="Arial" w:cs="Arial"/>
                <w:b/>
                <w:bCs/>
                <w:color w:val="0D1F15"/>
                <w:sz w:val="19"/>
                <w:szCs w:val="19"/>
              </w:rPr>
              <w:t>Investor Platform Fee (2%)</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7D089D9">
            <w:pPr>
              <w:jc w:val="left"/>
            </w:pPr>
            <w:r>
              <w:rPr>
                <w:rFonts w:ascii="Arial" w:hAnsi="Arial" w:eastAsia="Arial" w:cs="Arial"/>
                <w:b w:val="0"/>
                <w:bCs w:val="0"/>
                <w:color w:val="0D1F15"/>
                <w:sz w:val="19"/>
                <w:szCs w:val="19"/>
              </w:rPr>
              <w:t>2% of investment amount</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02EA741">
            <w:pPr>
              <w:jc w:val="left"/>
            </w:pPr>
            <w:r>
              <w:rPr>
                <w:rFonts w:ascii="Arial" w:hAnsi="Arial" w:eastAsia="Arial" w:cs="Arial"/>
                <w:b w:val="0"/>
                <w:bCs w:val="0"/>
                <w:color w:val="0D1F15"/>
                <w:sz w:val="19"/>
                <w:szCs w:val="19"/>
              </w:rPr>
              <w:t>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8D4D924">
            <w:pPr>
              <w:jc w:val="left"/>
            </w:pPr>
            <w:r>
              <w:rPr>
                <w:rFonts w:ascii="Arial" w:hAnsi="Arial" w:eastAsia="Arial" w:cs="Arial"/>
                <w:b w:val="0"/>
                <w:bCs w:val="0"/>
                <w:color w:val="0D1F15"/>
                <w:sz w:val="19"/>
                <w:szCs w:val="19"/>
              </w:rPr>
              <w:t>100%</w:t>
            </w:r>
          </w:p>
        </w:tc>
        <w:tc>
          <w:tcPr>
            <w:tcW w:w="168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3F870A4">
            <w:pPr>
              <w:jc w:val="left"/>
            </w:pPr>
            <w:r>
              <w:rPr>
                <w:rFonts w:ascii="Arial" w:hAnsi="Arial" w:eastAsia="Arial" w:cs="Arial"/>
                <w:b w:val="0"/>
                <w:bCs w:val="0"/>
                <w:color w:val="0D1F15"/>
                <w:sz w:val="19"/>
                <w:szCs w:val="19"/>
              </w:rPr>
              <w:t>Per investment</w:t>
            </w:r>
          </w:p>
        </w:tc>
      </w:tr>
      <w:tr w14:paraId="35A41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18A8DA0F">
            <w:pPr>
              <w:jc w:val="left"/>
            </w:pPr>
            <w:r>
              <w:rPr>
                <w:rFonts w:ascii="Arial" w:hAnsi="Arial" w:eastAsia="Arial" w:cs="Arial"/>
                <w:b/>
                <w:bCs/>
                <w:color w:val="0D1F15"/>
                <w:sz w:val="19"/>
                <w:szCs w:val="19"/>
              </w:rPr>
              <w:t>SmartLife Flexi Sweep Revenue</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7CA78B5">
            <w:pPr>
              <w:jc w:val="left"/>
            </w:pPr>
            <w:r>
              <w:rPr>
                <w:rFonts w:ascii="Arial" w:hAnsi="Arial" w:eastAsia="Arial" w:cs="Arial"/>
                <w:b w:val="0"/>
                <w:bCs w:val="0"/>
                <w:color w:val="0D1F15"/>
                <w:sz w:val="19"/>
                <w:szCs w:val="19"/>
              </w:rPr>
              <w:t>2% fee on SFL top-ups via OwnIt</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114894F">
            <w:pPr>
              <w:jc w:val="left"/>
            </w:pPr>
            <w:r>
              <w:rPr>
                <w:rFonts w:ascii="Arial" w:hAnsi="Arial" w:eastAsia="Arial" w:cs="Arial"/>
                <w:b w:val="0"/>
                <w:bCs w:val="0"/>
                <w:color w:val="0D1F15"/>
                <w:sz w:val="19"/>
                <w:szCs w:val="19"/>
              </w:rPr>
              <w:t>100% to NSSF/SFL</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6172A7E">
            <w:pPr>
              <w:jc w:val="left"/>
            </w:pPr>
            <w:r>
              <w:rPr>
                <w:rFonts w:ascii="Arial" w:hAnsi="Arial" w:eastAsia="Arial" w:cs="Arial"/>
                <w:b w:val="0"/>
                <w:bCs w:val="0"/>
                <w:color w:val="0D1F15"/>
                <w:sz w:val="19"/>
                <w:szCs w:val="19"/>
              </w:rPr>
              <w:t>Referral fee TBD</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2248927">
            <w:pPr>
              <w:jc w:val="left"/>
            </w:pPr>
            <w:r>
              <w:rPr>
                <w:rFonts w:ascii="Arial" w:hAnsi="Arial" w:eastAsia="Arial" w:cs="Arial"/>
                <w:b w:val="0"/>
                <w:bCs w:val="0"/>
                <w:color w:val="0D1F15"/>
                <w:sz w:val="19"/>
                <w:szCs w:val="19"/>
              </w:rPr>
              <w:t>Per SFL deposit</w:t>
            </w:r>
          </w:p>
        </w:tc>
      </w:tr>
      <w:tr w14:paraId="43A3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260FDB8B">
            <w:pPr>
              <w:jc w:val="left"/>
              <w:rPr>
                <w:rFonts w:ascii="Arial" w:hAnsi="Arial" w:eastAsia="Arial" w:cs="Arial"/>
                <w:color w:val="0D1F15"/>
                <w:sz w:val="19"/>
                <w:szCs w:val="19"/>
              </w:rPr>
            </w:pPr>
            <w:r>
              <w:rPr>
                <w:rFonts w:ascii="Arial" w:hAnsi="Arial" w:eastAsia="Arial" w:cs="Arial"/>
                <w:b/>
                <w:bCs/>
                <w:color w:val="0D1F15"/>
                <w:sz w:val="19"/>
                <w:szCs w:val="19"/>
              </w:rPr>
              <w:t>Premium Lister Analytics</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2CAF538">
            <w:pPr>
              <w:jc w:val="left"/>
              <w:rPr>
                <w:rFonts w:ascii="Arial" w:hAnsi="Arial" w:eastAsia="Arial" w:cs="Arial"/>
                <w:color w:val="0D1F15"/>
                <w:sz w:val="19"/>
                <w:szCs w:val="19"/>
              </w:rPr>
            </w:pPr>
            <w:r>
              <w:rPr>
                <w:rFonts w:ascii="Arial" w:hAnsi="Arial" w:eastAsia="Arial" w:cs="Arial"/>
                <w:b w:val="0"/>
                <w:bCs w:val="0"/>
                <w:color w:val="0D1F15"/>
                <w:sz w:val="19"/>
                <w:szCs w:val="19"/>
              </w:rPr>
              <w:t>UGX 300K/month per lister</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46B25E5">
            <w:pPr>
              <w:jc w:val="left"/>
              <w:rPr>
                <w:rFonts w:ascii="Arial" w:hAnsi="Arial" w:eastAsia="Arial" w:cs="Arial"/>
                <w:color w:val="0D1F15"/>
                <w:sz w:val="19"/>
                <w:szCs w:val="19"/>
              </w:rPr>
            </w:pPr>
            <w:r>
              <w:rPr>
                <w:rFonts w:ascii="Arial" w:hAnsi="Arial" w:eastAsia="Arial" w:cs="Arial"/>
                <w:b w:val="0"/>
                <w:bCs w:val="0"/>
                <w:color w:val="0D1F15"/>
                <w:sz w:val="19"/>
                <w:szCs w:val="19"/>
              </w:rPr>
              <w:t>0%</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A07E303">
            <w:pPr>
              <w:jc w:val="left"/>
              <w:rPr>
                <w:rFonts w:ascii="Arial" w:hAnsi="Arial" w:eastAsia="Arial" w:cs="Arial"/>
                <w:color w:val="0D1F15"/>
                <w:sz w:val="19"/>
                <w:szCs w:val="19"/>
              </w:rPr>
            </w:pPr>
            <w:r>
              <w:rPr>
                <w:rFonts w:ascii="Arial" w:hAnsi="Arial" w:eastAsia="Arial" w:cs="Arial"/>
                <w:b w:val="0"/>
                <w:bCs w:val="0"/>
                <w:color w:val="0D1F15"/>
                <w:sz w:val="19"/>
                <w:szCs w:val="19"/>
              </w:rPr>
              <w:t>100%</w:t>
            </w:r>
          </w:p>
        </w:tc>
        <w:tc>
          <w:tcPr>
            <w:tcW w:w="16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0F5667C">
            <w:pPr>
              <w:jc w:val="left"/>
              <w:rPr>
                <w:rFonts w:ascii="Arial" w:hAnsi="Arial" w:eastAsia="Arial" w:cs="Arial"/>
                <w:color w:val="0D1F15"/>
                <w:sz w:val="19"/>
                <w:szCs w:val="19"/>
              </w:rPr>
            </w:pPr>
            <w:r>
              <w:rPr>
                <w:rFonts w:ascii="Arial" w:hAnsi="Arial" w:eastAsia="Arial" w:cs="Arial"/>
                <w:b w:val="0"/>
                <w:bCs w:val="0"/>
                <w:color w:val="0D1F15"/>
                <w:sz w:val="19"/>
                <w:szCs w:val="19"/>
              </w:rPr>
              <w:t>Monthly sub</w:t>
            </w:r>
          </w:p>
        </w:tc>
      </w:tr>
    </w:tbl>
    <w:p w14:paraId="774FC5FF">
      <w:pPr>
        <w:spacing w:before="80" w:after="0"/>
      </w:pPr>
    </w:p>
    <w:p w14:paraId="09587415">
      <w:pPr>
        <w:pStyle w:val="3"/>
        <w:spacing w:before="240" w:after="80"/>
      </w:pPr>
      <w:r>
        <w:rPr>
          <w:rFonts w:ascii="Arial" w:hAnsi="Arial" w:eastAsia="Arial" w:cs="Arial"/>
          <w:b/>
          <w:bCs/>
          <w:color w:val="0D1F15"/>
          <w:sz w:val="26"/>
          <w:szCs w:val="26"/>
        </w:rPr>
        <w:t>6.</w:t>
      </w:r>
      <w:r>
        <w:rPr>
          <w:rFonts w:hint="default" w:cs="Arial"/>
          <w:b/>
          <w:bCs/>
          <w:color w:val="0D1F15"/>
          <w:sz w:val="26"/>
          <w:szCs w:val="26"/>
          <w:lang w:val="en-US"/>
        </w:rPr>
        <w:t>3</w:t>
      </w:r>
      <w:r>
        <w:rPr>
          <w:rFonts w:ascii="Arial" w:hAnsi="Arial" w:eastAsia="Arial" w:cs="Arial"/>
          <w:b/>
          <w:bCs/>
          <w:color w:val="0D1F15"/>
          <w:sz w:val="26"/>
          <w:szCs w:val="26"/>
        </w:rPr>
        <w:t xml:space="preserve"> The Auto-Enrollment Revenue Multiplier</w:t>
      </w:r>
    </w:p>
    <w:p w14:paraId="2E560AE6">
      <w:pPr>
        <w:spacing w:before="60" w:after="80"/>
        <w:rPr>
          <w:rFonts w:hint="default"/>
          <w:lang w:val="en-US"/>
        </w:rPr>
      </w:pPr>
      <w:r>
        <w:rPr>
          <w:rFonts w:ascii="Arial" w:hAnsi="Arial" w:eastAsia="Arial" w:cs="Arial"/>
          <w:color w:val="0D1F15"/>
          <w:sz w:val="22"/>
          <w:szCs w:val="22"/>
        </w:rPr>
        <w:t>Beyond direct operating revenue, every new NSSF member enrolled via OwnIt represents a long-term asset for NSSF's balance sheet — and the 2% pension levy mechanism ensures that from the very first payout, NSSF is already investing on that member's behalf.</w:t>
      </w:r>
    </w:p>
    <w:p w14:paraId="07189B3A">
      <w:pPr>
        <w:spacing w:before="60" w:after="0"/>
      </w:pPr>
    </w:p>
    <w:p w14:paraId="3E6B9D36">
      <w:pPr>
        <w:spacing w:before="240" w:after="80"/>
        <w:rPr>
          <w:rFonts w:ascii="Arial" w:hAnsi="Arial" w:eastAsia="Arial" w:cs="Arial"/>
          <w:color w:val="0D1F15"/>
        </w:rPr>
      </w:pPr>
      <w:r>
        <w:rPr>
          <w:rFonts w:ascii="Arial" w:hAnsi="Arial" w:eastAsia="Arial" w:cs="Arial"/>
          <w:b/>
          <w:bCs/>
          <w:color w:val="0D1F15"/>
          <w:sz w:val="26"/>
          <w:szCs w:val="26"/>
        </w:rPr>
        <w:t>6.</w:t>
      </w:r>
      <w:r>
        <w:rPr>
          <w:rFonts w:hint="default" w:ascii="Arial" w:hAnsi="Arial" w:eastAsia="Arial" w:cs="Arial"/>
          <w:b/>
          <w:bCs/>
          <w:color w:val="0D1F15"/>
          <w:sz w:val="26"/>
          <w:szCs w:val="26"/>
          <w:lang w:val="en-US"/>
        </w:rPr>
        <w:t>4</w:t>
      </w:r>
      <w:r>
        <w:rPr>
          <w:rFonts w:ascii="Arial" w:hAnsi="Arial" w:eastAsia="Arial" w:cs="Arial"/>
          <w:b/>
          <w:bCs/>
          <w:color w:val="0D1F15"/>
          <w:sz w:val="26"/>
          <w:szCs w:val="26"/>
        </w:rPr>
        <w:t xml:space="preserve"> The 2% Pension Levy: Bridging Near-Term Returns with Long-Term Security</w:t>
      </w:r>
    </w:p>
    <w:p w14:paraId="49DED3BC">
      <w:pPr>
        <w:spacing w:before="60" w:after="80"/>
        <w:jc w:val="left"/>
        <w:rPr>
          <w:rFonts w:ascii="Arial" w:hAnsi="Arial" w:eastAsia="Arial" w:cs="Arial"/>
          <w:color w:val="0D1F15"/>
        </w:rPr>
      </w:pPr>
      <w:r>
        <w:rPr>
          <w:rFonts w:ascii="Arial" w:hAnsi="Arial" w:eastAsia="Arial" w:cs="Arial"/>
          <w:b w:val="0"/>
          <w:bCs w:val="0"/>
          <w:color w:val="0D1F15"/>
          <w:sz w:val="22"/>
          <w:szCs w:val="22"/>
        </w:rPr>
        <w:t>This is the most strategically significant element of the entire OwnIt–NSSF model. In addition to the 3% service charge, a further 2% is deducted from every investor payout and placed directly into that member’s individual NSSF pension pot — invested and managed by NSSF on the member’s behalf, and payable in full when the member reaches 55 years of age.</w:t>
      </w:r>
    </w:p>
    <w:p w14:paraId="25585CC7">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51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099A305E">
            <w:r>
              <w:rPr>
                <w:rFonts w:ascii="Arial" w:hAnsi="Arial" w:eastAsia="Arial" w:cs="Arial"/>
                <w:color w:val="0D1F15"/>
                <w:sz w:val="21"/>
                <w:szCs w:val="21"/>
              </w:rPr>
              <w:t>How the 2% Pension Levy Works:</w:t>
            </w:r>
          </w:p>
        </w:tc>
      </w:tr>
      <w:tr w14:paraId="75A2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67C80341"/>
        </w:tc>
      </w:tr>
      <w:tr w14:paraId="4CF9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7840D0A0">
            <w:r>
              <w:rPr>
                <w:rFonts w:ascii="Arial" w:hAnsi="Arial" w:eastAsia="Arial" w:cs="Arial"/>
                <w:color w:val="0D1F15"/>
                <w:sz w:val="21"/>
                <w:szCs w:val="21"/>
              </w:rPr>
              <w:t>STEP 1: Investor earns a payout from their OwnIt investment (e.g. UGX 200,000 return on a maize lot).</w:t>
            </w:r>
          </w:p>
        </w:tc>
      </w:tr>
      <w:tr w14:paraId="1EE6A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4B2B05CA">
            <w:r>
              <w:rPr>
                <w:rFonts w:ascii="Arial" w:hAnsi="Arial" w:eastAsia="Arial" w:cs="Arial"/>
                <w:color w:val="0D1F15"/>
                <w:sz w:val="21"/>
                <w:szCs w:val="21"/>
              </w:rPr>
              <w:t>STEP 2: Before distribution, NSSF deducts 3% as service charge (UGX 6,000 → NSSF operating revenue) and a further 2% as pension levy (UGX 4,000 → invested by NSSF for this member).</w:t>
            </w:r>
          </w:p>
        </w:tc>
      </w:tr>
      <w:tr w14:paraId="5F32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0FB2F761">
            <w:r>
              <w:rPr>
                <w:rFonts w:ascii="Arial" w:hAnsi="Arial" w:eastAsia="Arial" w:cs="Arial"/>
                <w:color w:val="0D1F15"/>
                <w:sz w:val="21"/>
                <w:szCs w:val="21"/>
              </w:rPr>
              <w:t>STEP 3: Investor receives UGX 190,000 to their OwnIt wallet — same day (withdrawable to MoMo or bank).</w:t>
            </w:r>
          </w:p>
        </w:tc>
      </w:tr>
      <w:tr w14:paraId="0C52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618795D5">
            <w:r>
              <w:rPr>
                <w:rFonts w:ascii="Arial" w:hAnsi="Arial" w:eastAsia="Arial" w:cs="Arial"/>
                <w:color w:val="0D1F15"/>
                <w:sz w:val="21"/>
                <w:szCs w:val="21"/>
              </w:rPr>
              <w:t>STEP 4: UGX 4,000 is credited to this member’s NSSF Pension Pot and invested by NSSF alongside its broader fund portfolio.</w:t>
            </w:r>
          </w:p>
        </w:tc>
      </w:tr>
      <w:tr w14:paraId="1E20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63D7AF95">
            <w:r>
              <w:rPr>
                <w:rFonts w:ascii="Arial" w:hAnsi="Arial" w:eastAsia="Arial" w:cs="Arial"/>
                <w:color w:val="0D1F15"/>
                <w:sz w:val="21"/>
                <w:szCs w:val="21"/>
              </w:rPr>
              <w:t>STEP 5: The member can track their growing pension pot in real-time on the OwnIt app under “My NSSF Future Balance” or the NSSFGO app.</w:t>
            </w:r>
          </w:p>
        </w:tc>
      </w:tr>
      <w:tr w14:paraId="58DF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60" w:type="dxa"/>
              <w:left w:w="200" w:type="dxa"/>
              <w:bottom w:w="60" w:type="dxa"/>
              <w:right w:w="200" w:type="dxa"/>
            </w:tcMar>
            <w:vAlign w:val="top"/>
          </w:tcPr>
          <w:p w14:paraId="2B76287F">
            <w:r>
              <w:rPr>
                <w:rFonts w:ascii="Arial" w:hAnsi="Arial" w:eastAsia="Arial" w:cs="Arial"/>
                <w:color w:val="0D1F15"/>
                <w:sz w:val="21"/>
                <w:szCs w:val="21"/>
              </w:rPr>
              <w:t>STEP 6: When the member turns 55, they receive the full accumulated pension pot plus all investment returns generated by NSSF on those contributions.</w:t>
            </w:r>
          </w:p>
        </w:tc>
      </w:tr>
    </w:tbl>
    <w:p w14:paraId="552A031F">
      <w:pPr>
        <w:spacing w:before="80" w:after="0"/>
      </w:pPr>
    </w:p>
    <w:p w14:paraId="454EAC3C">
      <w:pPr>
        <w:spacing w:before="60" w:after="40"/>
        <w:jc w:val="left"/>
        <w:rPr>
          <w:rFonts w:ascii="Arial" w:hAnsi="Arial" w:eastAsia="Arial" w:cs="Arial"/>
          <w:color w:val="0D1F15"/>
        </w:rPr>
      </w:pPr>
      <w:r>
        <w:rPr>
          <w:rFonts w:ascii="Arial" w:hAnsi="Arial" w:eastAsia="Arial" w:cs="Arial"/>
          <w:b/>
          <w:bCs/>
          <w:color w:val="1A7A45"/>
          <w:sz w:val="22"/>
          <w:szCs w:val="22"/>
        </w:rPr>
        <w:t>Why This Is a Breakthrough:</w:t>
      </w:r>
    </w:p>
    <w:p w14:paraId="61A9DD06">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Invisible pension saving: The member never has to “decide” to save for retirement. The pension levy is deducted automatically before any payout is made. The investment horizon mismatch is solved by design, not by persuasion.</w:t>
      </w:r>
    </w:p>
    <w:p w14:paraId="0CE77647">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Every payout builds the pension pot: A member who earns 4 payouts per year over 30 years accumulates hundreds of individual pension levy contributions — each growing inside NSSF’s fund.</w:t>
      </w:r>
    </w:p>
    <w:p w14:paraId="3BF454BF">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Aligned incentives: The more frequently a member invests on OwnIt and the higher their returns, the larger their pension pot grows.</w:t>
      </w:r>
    </w:p>
    <w:p w14:paraId="0B83FA60">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NSSF AUM growth: Every 2% pension levy collected increases NSSF’s Assets Under Management — improving the fund’s investment capacity, actuarial strength, and member acquisition at no cost to the fund.</w:t>
      </w:r>
    </w:p>
    <w:p w14:paraId="5DB5C1C6">
      <w:pPr>
        <w:spacing w:before="80" w:after="0"/>
        <w:rPr>
          <w:rFonts w:ascii="Arial" w:hAnsi="Arial" w:eastAsia="Arial" w:cs="Arial"/>
          <w:color w:val="0D1F15"/>
        </w:rPr>
      </w:pPr>
    </w:p>
    <w:p w14:paraId="0D41A386">
      <w:pPr>
        <w:spacing w:before="240" w:after="80"/>
        <w:rPr>
          <w:rFonts w:ascii="Arial" w:hAnsi="Arial" w:eastAsia="Arial" w:cs="Arial"/>
          <w:color w:val="0D1F15"/>
        </w:rPr>
      </w:pPr>
      <w:r>
        <w:rPr>
          <w:rFonts w:ascii="Arial" w:hAnsi="Arial" w:eastAsia="Arial" w:cs="Arial"/>
          <w:b/>
          <w:bCs/>
          <w:color w:val="0D1F15"/>
          <w:sz w:val="26"/>
          <w:szCs w:val="26"/>
        </w:rPr>
        <w:t>6.</w:t>
      </w:r>
      <w:r>
        <w:rPr>
          <w:rFonts w:hint="default" w:ascii="Arial" w:hAnsi="Arial" w:eastAsia="Arial" w:cs="Arial"/>
          <w:b/>
          <w:bCs/>
          <w:color w:val="0D1F15"/>
          <w:sz w:val="26"/>
          <w:szCs w:val="26"/>
          <w:lang w:val="en-US"/>
        </w:rPr>
        <w:t>5</w:t>
      </w:r>
      <w:r>
        <w:rPr>
          <w:rFonts w:ascii="Arial" w:hAnsi="Arial" w:eastAsia="Arial" w:cs="Arial"/>
          <w:b/>
          <w:bCs/>
          <w:color w:val="0D1F15"/>
          <w:sz w:val="26"/>
          <w:szCs w:val="26"/>
        </w:rPr>
        <w:t xml:space="preserve"> SmartLife Flexi Sweep Revenue — A New Revenue Line</w:t>
      </w:r>
    </w:p>
    <w:p w14:paraId="60A75D41">
      <w:pPr>
        <w:spacing w:before="60" w:after="80"/>
        <w:jc w:val="left"/>
        <w:rPr>
          <w:rFonts w:ascii="Arial" w:hAnsi="Arial" w:eastAsia="Arial" w:cs="Arial"/>
          <w:color w:val="0D1F15"/>
        </w:rPr>
      </w:pPr>
      <w:r>
        <w:rPr>
          <w:rFonts w:ascii="Arial" w:hAnsi="Arial" w:eastAsia="Arial" w:cs="Arial"/>
          <w:b w:val="0"/>
          <w:bCs w:val="0"/>
          <w:color w:val="0D1F15"/>
          <w:sz w:val="22"/>
          <w:szCs w:val="22"/>
        </w:rPr>
        <w:t>Every time an OwnIt investor uses the one-tap SmartLife Flexi prompt to direct a portion of their payout to a SmartLife Flexi sub-account, NSSF gains: (1) a new or top-up voluntary savings deposit, growing its SmartLife Flexi AUM; (2) the daily interest computation on that deposit, generating returns for both the member and NSSF’s fund. This is a revenue line that does not exist without OwnIt acting as a feeder channel.</w:t>
      </w:r>
    </w:p>
    <w:p w14:paraId="0A620B64">
      <w:pPr>
        <w:spacing w:before="80" w:after="0"/>
      </w:pPr>
    </w:p>
    <w:p w14:paraId="53B34807">
      <w:pPr>
        <w:spacing w:before="180" w:after="60"/>
        <w:rPr>
          <w:rFonts w:ascii="Arial" w:hAnsi="Arial" w:eastAsia="Arial" w:cs="Arial"/>
          <w:b/>
          <w:bCs/>
          <w:color w:val="1A7A45"/>
          <w:sz w:val="23"/>
          <w:szCs w:val="23"/>
        </w:rPr>
      </w:pPr>
    </w:p>
    <w:p w14:paraId="265B85A5">
      <w:pPr>
        <w:spacing w:before="180" w:after="60"/>
      </w:pPr>
      <w:r>
        <w:rPr>
          <w:rFonts w:ascii="Arial" w:hAnsi="Arial" w:eastAsia="Arial" w:cs="Arial"/>
          <w:b/>
          <w:bCs/>
          <w:color w:val="1A7A45"/>
          <w:sz w:val="23"/>
          <w:szCs w:val="23"/>
        </w:rPr>
        <w:t>Pension Pot Projection: Sample Member Scenario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1800"/>
        <w:gridCol w:w="2400"/>
      </w:tblGrid>
      <w:tr w14:paraId="5ABE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01B741E8">
            <w:pPr>
              <w:jc w:val="left"/>
            </w:pPr>
            <w:r>
              <w:rPr>
                <w:rFonts w:ascii="Arial" w:hAnsi="Arial" w:eastAsia="Arial" w:cs="Arial"/>
                <w:b/>
                <w:bCs/>
                <w:color w:val="FFFFFF"/>
                <w:sz w:val="19"/>
                <w:szCs w:val="19"/>
              </w:rPr>
              <w:t>Scenario</w:t>
            </w:r>
          </w:p>
        </w:tc>
        <w:tc>
          <w:tcPr>
            <w:tcW w:w="216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4FA44D50">
            <w:pPr>
              <w:jc w:val="left"/>
            </w:pPr>
            <w:r>
              <w:rPr>
                <w:rFonts w:ascii="Arial" w:hAnsi="Arial" w:eastAsia="Arial" w:cs="Arial"/>
                <w:b/>
                <w:bCs/>
                <w:color w:val="FFFFFF"/>
                <w:sz w:val="19"/>
                <w:szCs w:val="19"/>
              </w:rPr>
              <w:t>Annual OwnIt Returns</w:t>
            </w:r>
          </w:p>
        </w:tc>
        <w:tc>
          <w:tcPr>
            <w:tcW w:w="18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0296BA47">
            <w:pPr>
              <w:jc w:val="left"/>
            </w:pPr>
            <w:r>
              <w:rPr>
                <w:rFonts w:ascii="Arial" w:hAnsi="Arial" w:eastAsia="Arial" w:cs="Arial"/>
                <w:b/>
                <w:bCs/>
                <w:color w:val="FFFFFF"/>
                <w:sz w:val="19"/>
                <w:szCs w:val="19"/>
              </w:rPr>
              <w:t>Annual 2% Levy</w:t>
            </w:r>
          </w:p>
        </w:tc>
        <w:tc>
          <w:tcPr>
            <w:tcW w:w="24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55EA28A">
            <w:pPr>
              <w:jc w:val="left"/>
            </w:pPr>
            <w:r>
              <w:rPr>
                <w:rFonts w:ascii="Arial" w:hAnsi="Arial" w:eastAsia="Arial" w:cs="Arial"/>
                <w:b/>
                <w:bCs/>
                <w:color w:val="FFFFFF"/>
                <w:sz w:val="19"/>
                <w:szCs w:val="19"/>
              </w:rPr>
              <w:t>NSSF Pension Pot at 55 (est.)*</w:t>
            </w:r>
          </w:p>
        </w:tc>
      </w:tr>
      <w:tr w14:paraId="2789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1AF6607">
            <w:pPr>
              <w:jc w:val="left"/>
            </w:pPr>
            <w:r>
              <w:rPr>
                <w:rFonts w:ascii="Arial" w:hAnsi="Arial" w:eastAsia="Arial" w:cs="Arial"/>
                <w:b/>
                <w:bCs/>
                <w:color w:val="0D1F15"/>
                <w:sz w:val="19"/>
                <w:szCs w:val="19"/>
              </w:rPr>
              <w:t>Conservative investor (UGX 500K invested)</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3FE75D3">
            <w:pPr>
              <w:jc w:val="left"/>
            </w:pPr>
            <w:r>
              <w:rPr>
                <w:rFonts w:ascii="Arial" w:hAnsi="Arial" w:eastAsia="Arial" w:cs="Arial"/>
                <w:b w:val="0"/>
                <w:bCs w:val="0"/>
                <w:color w:val="0D1F15"/>
                <w:sz w:val="19"/>
                <w:szCs w:val="19"/>
              </w:rPr>
              <w:t>UGX 100,000</w:t>
            </w:r>
          </w:p>
        </w:tc>
        <w:tc>
          <w:tcPr>
            <w:tcW w:w="18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E99F2B7">
            <w:pPr>
              <w:jc w:val="left"/>
            </w:pPr>
            <w:r>
              <w:rPr>
                <w:rFonts w:ascii="Arial" w:hAnsi="Arial" w:eastAsia="Arial" w:cs="Arial"/>
                <w:b w:val="0"/>
                <w:bCs w:val="0"/>
                <w:color w:val="0D1F15"/>
                <w:sz w:val="19"/>
                <w:szCs w:val="19"/>
              </w:rPr>
              <w:t>UGX 2,000/yr</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950777C">
            <w:pPr>
              <w:jc w:val="left"/>
            </w:pPr>
            <w:r>
              <w:rPr>
                <w:rFonts w:ascii="Arial" w:hAnsi="Arial" w:eastAsia="Arial" w:cs="Arial"/>
                <w:b w:val="0"/>
                <w:bCs w:val="0"/>
                <w:color w:val="0D1F15"/>
                <w:sz w:val="19"/>
                <w:szCs w:val="19"/>
              </w:rPr>
              <w:t>UGX 180,000</w:t>
            </w:r>
          </w:p>
        </w:tc>
      </w:tr>
      <w:tr w14:paraId="4A80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8C48EC2">
            <w:pPr>
              <w:jc w:val="left"/>
            </w:pPr>
            <w:r>
              <w:rPr>
                <w:rFonts w:ascii="Arial" w:hAnsi="Arial" w:eastAsia="Arial" w:cs="Arial"/>
                <w:b/>
                <w:bCs/>
                <w:color w:val="0D1F15"/>
                <w:sz w:val="19"/>
                <w:szCs w:val="19"/>
              </w:rPr>
              <w:t>Moderate investor (UGX 2M invested)</w:t>
            </w:r>
          </w:p>
        </w:tc>
        <w:tc>
          <w:tcPr>
            <w:tcW w:w="21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D365C97">
            <w:pPr>
              <w:jc w:val="left"/>
            </w:pPr>
            <w:r>
              <w:rPr>
                <w:rFonts w:ascii="Arial" w:hAnsi="Arial" w:eastAsia="Arial" w:cs="Arial"/>
                <w:b w:val="0"/>
                <w:bCs w:val="0"/>
                <w:color w:val="0D1F15"/>
                <w:sz w:val="19"/>
                <w:szCs w:val="19"/>
              </w:rPr>
              <w:t>UGX 400,000</w:t>
            </w:r>
          </w:p>
        </w:tc>
        <w:tc>
          <w:tcPr>
            <w:tcW w:w="18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BBA0185">
            <w:pPr>
              <w:jc w:val="left"/>
            </w:pPr>
            <w:r>
              <w:rPr>
                <w:rFonts w:ascii="Arial" w:hAnsi="Arial" w:eastAsia="Arial" w:cs="Arial"/>
                <w:b w:val="0"/>
                <w:bCs w:val="0"/>
                <w:color w:val="0D1F15"/>
                <w:sz w:val="19"/>
                <w:szCs w:val="19"/>
              </w:rPr>
              <w:t>UGX 8,000/yr</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40DCD32">
            <w:pPr>
              <w:jc w:val="left"/>
            </w:pPr>
            <w:r>
              <w:rPr>
                <w:rFonts w:ascii="Arial" w:hAnsi="Arial" w:eastAsia="Arial" w:cs="Arial"/>
                <w:b w:val="0"/>
                <w:bCs w:val="0"/>
                <w:color w:val="0D1F15"/>
                <w:sz w:val="19"/>
                <w:szCs w:val="19"/>
              </w:rPr>
              <w:t>UGX 720,000</w:t>
            </w:r>
          </w:p>
        </w:tc>
      </w:tr>
      <w:tr w14:paraId="7396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F1DEC76">
            <w:pPr>
              <w:jc w:val="left"/>
            </w:pPr>
            <w:r>
              <w:rPr>
                <w:rFonts w:ascii="Arial" w:hAnsi="Arial" w:eastAsia="Arial" w:cs="Arial"/>
                <w:b/>
                <w:bCs/>
                <w:color w:val="0D1F15"/>
                <w:sz w:val="19"/>
                <w:szCs w:val="19"/>
              </w:rPr>
              <w:t>Active investor (UGX 10M invested)</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EB7C3AD">
            <w:pPr>
              <w:jc w:val="left"/>
            </w:pPr>
            <w:r>
              <w:rPr>
                <w:rFonts w:ascii="Arial" w:hAnsi="Arial" w:eastAsia="Arial" w:cs="Arial"/>
                <w:b w:val="0"/>
                <w:bCs w:val="0"/>
                <w:color w:val="0D1F15"/>
                <w:sz w:val="19"/>
                <w:szCs w:val="19"/>
              </w:rPr>
              <w:t>UGX 2,000,000</w:t>
            </w:r>
          </w:p>
        </w:tc>
        <w:tc>
          <w:tcPr>
            <w:tcW w:w="18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BCB6CF1">
            <w:pPr>
              <w:jc w:val="left"/>
            </w:pPr>
            <w:r>
              <w:rPr>
                <w:rFonts w:ascii="Arial" w:hAnsi="Arial" w:eastAsia="Arial" w:cs="Arial"/>
                <w:b w:val="0"/>
                <w:bCs w:val="0"/>
                <w:color w:val="0D1F15"/>
                <w:sz w:val="19"/>
                <w:szCs w:val="19"/>
              </w:rPr>
              <w:t>UGX 40,000/yr</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41D4B4E">
            <w:pPr>
              <w:jc w:val="left"/>
            </w:pPr>
            <w:r>
              <w:rPr>
                <w:rFonts w:ascii="Arial" w:hAnsi="Arial" w:eastAsia="Arial" w:cs="Arial"/>
                <w:b w:val="0"/>
                <w:bCs w:val="0"/>
                <w:color w:val="0D1F15"/>
                <w:sz w:val="19"/>
                <w:szCs w:val="19"/>
              </w:rPr>
              <w:t>UGX 3,600,000</w:t>
            </w:r>
          </w:p>
        </w:tc>
      </w:tr>
      <w:tr w14:paraId="1FCD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086F8C9">
            <w:pPr>
              <w:jc w:val="left"/>
            </w:pPr>
            <w:r>
              <w:rPr>
                <w:rFonts w:ascii="Arial" w:hAnsi="Arial" w:eastAsia="Arial" w:cs="Arial"/>
                <w:b/>
                <w:bCs/>
                <w:color w:val="0D1F15"/>
                <w:sz w:val="19"/>
                <w:szCs w:val="19"/>
              </w:rPr>
              <w:t>Power investor (UGX 50M invested)</w:t>
            </w:r>
          </w:p>
        </w:tc>
        <w:tc>
          <w:tcPr>
            <w:tcW w:w="21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79CD601">
            <w:pPr>
              <w:jc w:val="left"/>
            </w:pPr>
            <w:r>
              <w:rPr>
                <w:rFonts w:ascii="Arial" w:hAnsi="Arial" w:eastAsia="Arial" w:cs="Arial"/>
                <w:b w:val="0"/>
                <w:bCs w:val="0"/>
                <w:color w:val="0D1F15"/>
                <w:sz w:val="19"/>
                <w:szCs w:val="19"/>
              </w:rPr>
              <w:t>UGX 10,000,000</w:t>
            </w:r>
          </w:p>
        </w:tc>
        <w:tc>
          <w:tcPr>
            <w:tcW w:w="18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C81FF0D">
            <w:pPr>
              <w:jc w:val="left"/>
            </w:pPr>
            <w:r>
              <w:rPr>
                <w:rFonts w:ascii="Arial" w:hAnsi="Arial" w:eastAsia="Arial" w:cs="Arial"/>
                <w:b w:val="0"/>
                <w:bCs w:val="0"/>
                <w:color w:val="0D1F15"/>
                <w:sz w:val="19"/>
                <w:szCs w:val="19"/>
              </w:rPr>
              <w:t>UGX 200,000/yr</w:t>
            </w:r>
          </w:p>
        </w:tc>
        <w:tc>
          <w:tcPr>
            <w:tcW w:w="24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FA3B36C">
            <w:pPr>
              <w:jc w:val="left"/>
            </w:pPr>
            <w:r>
              <w:rPr>
                <w:rFonts w:ascii="Arial" w:hAnsi="Arial" w:eastAsia="Arial" w:cs="Arial"/>
                <w:b w:val="0"/>
                <w:bCs w:val="0"/>
                <w:color w:val="0D1F15"/>
                <w:sz w:val="19"/>
                <w:szCs w:val="19"/>
              </w:rPr>
              <w:t>UGX 18,000,000</w:t>
            </w:r>
          </w:p>
        </w:tc>
      </w:tr>
      <w:tr w14:paraId="246A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2BC5D047">
            <w:pPr>
              <w:jc w:val="left"/>
            </w:pPr>
            <w:r>
              <w:rPr>
                <w:rFonts w:ascii="Arial" w:hAnsi="Arial" w:eastAsia="Arial" w:cs="Arial"/>
                <w:b/>
                <w:bCs/>
                <w:color w:val="0D1F15"/>
                <w:sz w:val="19"/>
                <w:szCs w:val="19"/>
              </w:rPr>
              <w:t>Platform average (UGX 5M portfolio)</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1DFFC35">
            <w:pPr>
              <w:jc w:val="left"/>
            </w:pPr>
            <w:r>
              <w:rPr>
                <w:rFonts w:ascii="Arial" w:hAnsi="Arial" w:eastAsia="Arial" w:cs="Arial"/>
                <w:b w:val="0"/>
                <w:bCs w:val="0"/>
                <w:color w:val="0D1F15"/>
                <w:sz w:val="19"/>
                <w:szCs w:val="19"/>
              </w:rPr>
              <w:t>UGX 1,000,000</w:t>
            </w:r>
          </w:p>
        </w:tc>
        <w:tc>
          <w:tcPr>
            <w:tcW w:w="18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5D7F049">
            <w:pPr>
              <w:jc w:val="left"/>
            </w:pPr>
            <w:r>
              <w:rPr>
                <w:rFonts w:ascii="Arial" w:hAnsi="Arial" w:eastAsia="Arial" w:cs="Arial"/>
                <w:b w:val="0"/>
                <w:bCs w:val="0"/>
                <w:color w:val="0D1F15"/>
                <w:sz w:val="19"/>
                <w:szCs w:val="19"/>
              </w:rPr>
              <w:t>UGX 20,000/yr</w:t>
            </w:r>
          </w:p>
        </w:tc>
        <w:tc>
          <w:tcPr>
            <w:tcW w:w="240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6DACDEB">
            <w:pPr>
              <w:jc w:val="left"/>
            </w:pPr>
            <w:r>
              <w:rPr>
                <w:rFonts w:ascii="Arial" w:hAnsi="Arial" w:eastAsia="Arial" w:cs="Arial"/>
                <w:b w:val="0"/>
                <w:bCs w:val="0"/>
                <w:color w:val="0D1F15"/>
                <w:sz w:val="19"/>
                <w:szCs w:val="19"/>
              </w:rPr>
              <w:t>UGX 1,800,000</w:t>
            </w:r>
          </w:p>
        </w:tc>
      </w:tr>
    </w:tbl>
    <w:p w14:paraId="53CF0310">
      <w:pPr>
        <w:spacing w:before="60" w:after="0"/>
      </w:pPr>
    </w:p>
    <w:p w14:paraId="7F4A370C">
      <w:pPr>
        <w:spacing w:before="60" w:after="80"/>
        <w:jc w:val="left"/>
        <w:rPr>
          <w:rFonts w:ascii="Arial" w:hAnsi="Arial" w:eastAsia="Arial" w:cs="Arial"/>
          <w:color w:val="0D1F15"/>
          <w:sz w:val="20"/>
          <w:szCs w:val="20"/>
        </w:rPr>
      </w:pPr>
      <w:r>
        <w:rPr>
          <w:rFonts w:ascii="Arial" w:hAnsi="Arial" w:eastAsia="Arial" w:cs="Arial"/>
          <w:b w:val="0"/>
          <w:bCs w:val="0"/>
          <w:color w:val="5A6B5E"/>
          <w:sz w:val="20"/>
          <w:szCs w:val="20"/>
        </w:rPr>
        <w:t>* Pension pot projections assume 30-year investment horizon, NSSF’s historical average return of 12% p.a. on invested contributions. Illustrative only; actual amounts will vary.</w:t>
      </w:r>
    </w:p>
    <w:p w14:paraId="21B7FF9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D8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120" w:type="dxa"/>
              <w:left w:w="200" w:type="dxa"/>
              <w:bottom w:w="40" w:type="dxa"/>
              <w:right w:w="160" w:type="dxa"/>
            </w:tcMar>
          </w:tcPr>
          <w:p w14:paraId="1B5FE6FA">
            <w:r>
              <w:rPr>
                <w:rFonts w:ascii="Arial" w:hAnsi="Arial" w:eastAsia="Arial" w:cs="Arial"/>
                <w:color w:val="0D1F15"/>
                <w:sz w:val="21"/>
                <w:szCs w:val="21"/>
              </w:rPr>
              <w:t>Total 2% Pension Levy Platform Projection:</w:t>
            </w:r>
          </w:p>
        </w:tc>
      </w:tr>
      <w:tr w14:paraId="4A2E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4745FF2D"/>
        </w:tc>
      </w:tr>
      <w:tr w14:paraId="3FA9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516425F2">
            <w:r>
              <w:rPr>
                <w:rFonts w:ascii="Arial" w:hAnsi="Arial" w:eastAsia="Arial" w:cs="Arial"/>
                <w:color w:val="0D1F15"/>
                <w:sz w:val="21"/>
                <w:szCs w:val="21"/>
              </w:rPr>
              <w:t>Year 1:  UGX 18M in pension levies collected → invested by NSSF for members</w:t>
            </w:r>
          </w:p>
        </w:tc>
      </w:tr>
      <w:tr w14:paraId="3DDB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1AB728FF">
            <w:r>
              <w:rPr>
                <w:rFonts w:ascii="Arial" w:hAnsi="Arial" w:eastAsia="Arial" w:cs="Arial"/>
                <w:color w:val="0D1F15"/>
                <w:sz w:val="21"/>
                <w:szCs w:val="21"/>
              </w:rPr>
              <w:t>Year 2:  UGX 108M in pension levies → NSSF AUM increase</w:t>
            </w:r>
          </w:p>
        </w:tc>
      </w:tr>
      <w:tr w14:paraId="10E0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0FD76F33">
            <w:r>
              <w:rPr>
                <w:rFonts w:ascii="Arial" w:hAnsi="Arial" w:eastAsia="Arial" w:cs="Arial"/>
                <w:color w:val="0D1F15"/>
                <w:sz w:val="21"/>
                <w:szCs w:val="21"/>
              </w:rPr>
              <w:t>Year 3:  UGX 360M in pension levies → NSSF AUM increase</w:t>
            </w:r>
          </w:p>
        </w:tc>
      </w:tr>
      <w:tr w14:paraId="2576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776FED39">
            <w:r>
              <w:rPr>
                <w:rFonts w:ascii="Arial" w:hAnsi="Arial" w:eastAsia="Arial" w:cs="Arial"/>
                <w:color w:val="0D1F15"/>
                <w:sz w:val="21"/>
                <w:szCs w:val="21"/>
              </w:rPr>
              <w:t>Year 5:  UGX 1.2B+ in pension levies annually → NSSF AUM increase</w:t>
            </w:r>
          </w:p>
        </w:tc>
      </w:tr>
      <w:tr w14:paraId="3F08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40" w:type="dxa"/>
              <w:right w:w="160" w:type="dxa"/>
            </w:tcMar>
          </w:tcPr>
          <w:p w14:paraId="36438C63"/>
        </w:tc>
      </w:tr>
      <w:tr w14:paraId="2C7D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40" w:type="dxa"/>
              <w:left w:w="200" w:type="dxa"/>
              <w:bottom w:w="120" w:type="dxa"/>
              <w:right w:w="160" w:type="dxa"/>
            </w:tcMar>
          </w:tcPr>
          <w:p w14:paraId="0EE46EC5">
            <w:r>
              <w:rPr>
                <w:rFonts w:ascii="Arial" w:hAnsi="Arial" w:eastAsia="Arial" w:cs="Arial"/>
                <w:color w:val="0D1F15"/>
                <w:sz w:val="21"/>
                <w:szCs w:val="21"/>
              </w:rPr>
              <w:t>Cumulative 5-year pension levy contribution to NSSF AUM:  UGX 1.8B+</w:t>
            </w:r>
          </w:p>
        </w:tc>
      </w:tr>
    </w:tbl>
    <w:p w14:paraId="0587886D">
      <w:r>
        <w:br w:type="page"/>
      </w:r>
    </w:p>
    <w:p w14:paraId="1C7C5396">
      <w:pPr>
        <w:pStyle w:val="2"/>
        <w:spacing w:before="360" w:after="120"/>
      </w:pPr>
      <w:r>
        <w:rPr>
          <w:rFonts w:ascii="Arial" w:hAnsi="Arial" w:eastAsia="Arial" w:cs="Arial"/>
          <w:b/>
          <w:bCs/>
          <w:color w:val="1A7A45"/>
          <w:sz w:val="32"/>
          <w:szCs w:val="32"/>
        </w:rPr>
        <w:t>7. NSSF's Strategic Role &amp; Benefits</w:t>
      </w:r>
    </w:p>
    <w:p w14:paraId="174D31E7">
      <w:pPr>
        <w:pBdr>
          <w:bottom w:val="single" w:color="1A7A45" w:sz="12" w:space="1"/>
        </w:pBdr>
        <w:spacing w:before="60" w:after="60"/>
      </w:pPr>
    </w:p>
    <w:p w14:paraId="7AF43FFB">
      <w:pPr>
        <w:spacing w:before="60" w:after="80"/>
        <w:jc w:val="left"/>
        <w:rPr>
          <w:rFonts w:ascii="Arial" w:hAnsi="Arial" w:eastAsia="Arial" w:cs="Arial"/>
          <w:color w:val="0D1F15"/>
        </w:rPr>
      </w:pPr>
      <w:r>
        <w:rPr>
          <w:rFonts w:ascii="Arial" w:hAnsi="Arial" w:eastAsia="Arial" w:cs="Arial"/>
          <w:b w:val="0"/>
          <w:bCs w:val="0"/>
          <w:color w:val="0D1F15"/>
          <w:sz w:val="22"/>
          <w:szCs w:val="22"/>
        </w:rPr>
        <w:t>NSSF’s involvement in OwnIt Uganda is not passive. The Fund plays four active, value-creating roles that justify the revenue share and membership gains.</w:t>
      </w:r>
    </w:p>
    <w:p w14:paraId="056CD2C0">
      <w:pPr>
        <w:spacing w:before="240" w:after="80"/>
        <w:rPr>
          <w:rFonts w:ascii="Arial" w:hAnsi="Arial" w:eastAsia="Arial" w:cs="Arial"/>
          <w:color w:val="0D1F15"/>
        </w:rPr>
      </w:pPr>
      <w:r>
        <w:rPr>
          <w:rFonts w:ascii="Arial" w:hAnsi="Arial" w:eastAsia="Arial" w:cs="Arial"/>
          <w:b/>
          <w:bCs/>
          <w:color w:val="0D1F15"/>
          <w:sz w:val="26"/>
          <w:szCs w:val="26"/>
        </w:rPr>
        <w:t>Role 1: Institutional Trust Anchor</w:t>
      </w:r>
    </w:p>
    <w:p w14:paraId="6ACFA995">
      <w:pPr>
        <w:spacing w:before="60" w:after="80"/>
        <w:jc w:val="left"/>
        <w:rPr>
          <w:rFonts w:ascii="Arial" w:hAnsi="Arial" w:eastAsia="Arial" w:cs="Arial"/>
          <w:color w:val="0D1F15"/>
        </w:rPr>
      </w:pPr>
      <w:r>
        <w:rPr>
          <w:rFonts w:ascii="Arial" w:hAnsi="Arial" w:eastAsia="Arial" w:cs="Arial"/>
          <w:b w:val="0"/>
          <w:bCs w:val="0"/>
          <w:color w:val="0D1F15"/>
          <w:sz w:val="22"/>
          <w:szCs w:val="22"/>
        </w:rPr>
        <w:t>Uganda’s informal investment sector has been scarred by collapsed pyramid schemes and failed saving groups. NSSF’s co-branding provides the single most powerful trust signal available in the Ugandan financial market. For a first-time investor in Gulu or Mbale, the NSSF badge on OwnIt turns a new digital platform into a trusted institution. This trust converts directly into user acquisition — and user acquisition converts into NSSF membership.</w:t>
      </w:r>
    </w:p>
    <w:p w14:paraId="11E55055">
      <w:pPr>
        <w:spacing w:before="240" w:after="80"/>
        <w:rPr>
          <w:rFonts w:ascii="Arial" w:hAnsi="Arial" w:eastAsia="Arial" w:cs="Arial"/>
          <w:color w:val="0D1F15"/>
        </w:rPr>
      </w:pPr>
      <w:r>
        <w:rPr>
          <w:rFonts w:ascii="Arial" w:hAnsi="Arial" w:eastAsia="Arial" w:cs="Arial"/>
          <w:b/>
          <w:bCs/>
          <w:color w:val="0D1F15"/>
          <w:sz w:val="26"/>
          <w:szCs w:val="26"/>
        </w:rPr>
        <w:t>Role 2: Regulatory Accelerator</w:t>
      </w:r>
    </w:p>
    <w:p w14:paraId="613502E1">
      <w:pPr>
        <w:spacing w:before="60" w:after="80"/>
        <w:jc w:val="left"/>
        <w:rPr>
          <w:rFonts w:ascii="Arial" w:hAnsi="Arial" w:eastAsia="Arial" w:cs="Arial"/>
          <w:color w:val="0D1F15"/>
        </w:rPr>
      </w:pPr>
      <w:r>
        <w:rPr>
          <w:rFonts w:ascii="Arial" w:hAnsi="Arial" w:eastAsia="Arial" w:cs="Arial"/>
          <w:b w:val="0"/>
          <w:bCs w:val="0"/>
          <w:color w:val="0D1F15"/>
          <w:sz w:val="22"/>
          <w:szCs w:val="22"/>
        </w:rPr>
        <w:t>OwnIt’s multi-asset model touches six regulatory jurisdictions (CMA, URBRA, BoU, PAU, DGSM, URA). NSSF’s established relationships with each of these institutions, and its demonstrated track record of regulatory compliance, provides OwnIt with a credibility pathway that would take years to build independently. NSSF’s co-sponsorship of regulatory submissions significantly reduces time-to-market for complex product classes.</w:t>
      </w:r>
    </w:p>
    <w:p w14:paraId="7D9E1143">
      <w:pPr>
        <w:spacing w:before="240" w:after="80"/>
        <w:rPr>
          <w:rFonts w:ascii="Arial" w:hAnsi="Arial" w:eastAsia="Arial" w:cs="Arial"/>
          <w:color w:val="0D1F15"/>
        </w:rPr>
      </w:pPr>
      <w:r>
        <w:rPr>
          <w:rFonts w:ascii="Arial" w:hAnsi="Arial" w:eastAsia="Arial" w:cs="Arial"/>
          <w:b/>
          <w:bCs/>
          <w:color w:val="0D1F15"/>
          <w:sz w:val="26"/>
          <w:szCs w:val="26"/>
        </w:rPr>
        <w:t>Role 3: Revenue Collector &amp; Treasury Agent</w:t>
      </w:r>
    </w:p>
    <w:p w14:paraId="13B0F787">
      <w:pPr>
        <w:spacing w:before="60" w:after="80"/>
        <w:jc w:val="left"/>
        <w:rPr>
          <w:rFonts w:ascii="Arial" w:hAnsi="Arial" w:eastAsia="Arial" w:cs="Arial"/>
          <w:color w:val="0D1F15"/>
        </w:rPr>
      </w:pPr>
      <w:r>
        <w:rPr>
          <w:rFonts w:ascii="Arial" w:hAnsi="Arial" w:eastAsia="Arial" w:cs="Arial"/>
          <w:b w:val="0"/>
          <w:bCs w:val="0"/>
          <w:color w:val="0D1F15"/>
          <w:sz w:val="22"/>
          <w:szCs w:val="22"/>
        </w:rPr>
        <w:t>NSSF’s existing treasury and payment infrastructure serves as the collection agent for the 3% payout charge. Rather than building a new collection mechanism, OwnIt routes all payout distributions through NSSF’s payment system — NSSF deducts its charge before releasing funds to investors’ OwnIt wallets. This leverages NSSF’s existing financial infrastructure at minimal incremental cost.</w:t>
      </w:r>
    </w:p>
    <w:p w14:paraId="13921A47">
      <w:pPr>
        <w:spacing w:before="240" w:after="80"/>
        <w:rPr>
          <w:rFonts w:ascii="Arial" w:hAnsi="Arial" w:eastAsia="Arial" w:cs="Arial"/>
          <w:color w:val="0D1F15"/>
        </w:rPr>
      </w:pPr>
      <w:r>
        <w:rPr>
          <w:rFonts w:ascii="Arial" w:hAnsi="Arial" w:eastAsia="Arial" w:cs="Arial"/>
          <w:b/>
          <w:bCs/>
          <w:color w:val="0D1F15"/>
          <w:sz w:val="26"/>
          <w:szCs w:val="26"/>
        </w:rPr>
        <w:t>Role 4: SmartLife Flexi Growth Engine</w:t>
      </w:r>
    </w:p>
    <w:p w14:paraId="2C614112">
      <w:pPr>
        <w:spacing w:before="60" w:after="80"/>
        <w:jc w:val="left"/>
        <w:rPr>
          <w:rFonts w:ascii="Arial" w:hAnsi="Arial" w:eastAsia="Arial" w:cs="Arial"/>
          <w:color w:val="0D1F15"/>
        </w:rPr>
      </w:pPr>
      <w:r>
        <w:rPr>
          <w:rFonts w:ascii="Arial" w:hAnsi="Arial" w:eastAsia="Arial" w:cs="Arial"/>
          <w:b w:val="0"/>
          <w:bCs w:val="0"/>
          <w:color w:val="0D1F15"/>
          <w:sz w:val="22"/>
          <w:szCs w:val="22"/>
        </w:rPr>
        <w:t>This is the role that was not available before OwnIt existed. By acting as a structured feeder channel into SmartLife Flexi — with post-payout prompts, one-tap transfers, and a shared member dashboard — OwnIt becomes the single most scalable acquisition and activation tool for SmartLife Flexi in the informal sector. NSSF gains SmartLife Flexi depositors it could not otherwise reach.</w:t>
      </w:r>
    </w:p>
    <w:p w14:paraId="04A6E2C9">
      <w:pPr>
        <w:spacing w:before="240" w:after="80"/>
        <w:rPr>
          <w:rFonts w:ascii="Arial" w:hAnsi="Arial" w:eastAsia="Arial" w:cs="Arial"/>
          <w:color w:val="0D1F15"/>
        </w:rPr>
      </w:pPr>
      <w:r>
        <w:rPr>
          <w:rFonts w:ascii="Arial" w:hAnsi="Arial" w:eastAsia="Arial" w:cs="Arial"/>
          <w:b/>
          <w:bCs/>
          <w:color w:val="0D1F15"/>
          <w:sz w:val="26"/>
          <w:szCs w:val="26"/>
        </w:rPr>
        <w:t>Role 5: Asset Admissions Committee Seat</w:t>
      </w:r>
    </w:p>
    <w:p w14:paraId="5A23AF74">
      <w:pPr>
        <w:spacing w:before="60" w:after="80"/>
        <w:jc w:val="left"/>
        <w:rPr>
          <w:rFonts w:ascii="Arial" w:hAnsi="Arial" w:eastAsia="Arial" w:cs="Arial"/>
          <w:color w:val="0D1F15"/>
        </w:rPr>
      </w:pPr>
      <w:r>
        <w:rPr>
          <w:rFonts w:ascii="Arial" w:hAnsi="Arial" w:eastAsia="Arial" w:cs="Arial"/>
          <w:b w:val="0"/>
          <w:bCs w:val="0"/>
          <w:color w:val="0D1F15"/>
          <w:sz w:val="22"/>
          <w:szCs w:val="22"/>
        </w:rPr>
        <w:t>NSSF holds one seat on OwnIt’s Asset Admissions Committee — the body responsible for approving new asset listings, particularly in the Open Asset Class. This gives NSSF oversight over the quality and risk profile of assets available to auto-enrolled members, ensuring that NSSF’s institutional reputation is protected.</w:t>
      </w:r>
    </w:p>
    <w:p w14:paraId="494369BB">
      <w:r>
        <w:br w:type="page"/>
      </w:r>
    </w:p>
    <w:p w14:paraId="4DD98A96">
      <w:pPr>
        <w:pStyle w:val="2"/>
        <w:spacing w:before="360" w:after="120"/>
      </w:pPr>
      <w:r>
        <w:rPr>
          <w:rFonts w:ascii="Arial" w:hAnsi="Arial" w:eastAsia="Arial" w:cs="Arial"/>
          <w:b/>
          <w:bCs/>
          <w:color w:val="1A7A45"/>
          <w:sz w:val="32"/>
          <w:szCs w:val="32"/>
        </w:rPr>
        <w:t>8. NSSF 2035 Membership Goal: How OwnIt Closes the Gap</w:t>
      </w:r>
    </w:p>
    <w:p w14:paraId="65E57056">
      <w:pPr>
        <w:pBdr>
          <w:bottom w:val="single" w:color="1A7A45" w:sz="12" w:space="1"/>
        </w:pBdr>
        <w:spacing w:before="60" w:after="60"/>
      </w:pPr>
    </w:p>
    <w:p w14:paraId="076C4E8B">
      <w:pPr>
        <w:spacing w:before="60" w:after="80"/>
        <w:rPr>
          <w:rFonts w:ascii="Arial" w:hAnsi="Arial" w:eastAsia="Arial" w:cs="Arial"/>
          <w:color w:val="0D1F15"/>
          <w:sz w:val="22"/>
          <w:szCs w:val="22"/>
        </w:rPr>
      </w:pPr>
      <w:r>
        <w:rPr>
          <w:rFonts w:ascii="Arial" w:hAnsi="Arial" w:eastAsia="Arial" w:cs="Arial"/>
          <w:color w:val="0D1F15"/>
          <w:sz w:val="22"/>
          <w:szCs w:val="22"/>
        </w:rPr>
        <w:t>NSSF's 2035 Strategic Plan targets 5 million members — requiring approximately 3 million new members beyond today's ~2 million. OwnIt Uganda's auto-enrollment mechanism is the most direct, scalable, and cost-effective route to this target.</w:t>
      </w:r>
    </w:p>
    <w:p w14:paraId="19CB645C">
      <w:pPr>
        <w:spacing w:before="60" w:after="80"/>
        <w:rPr>
          <w:rFonts w:ascii="Arial" w:hAnsi="Arial" w:eastAsia="Arial" w:cs="Arial"/>
          <w:color w:val="0D1F15"/>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3240"/>
        <w:gridCol w:w="3240"/>
      </w:tblGrid>
      <w:tr w14:paraId="30B17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003F87"/>
            <w:tcMar>
              <w:top w:w="80" w:type="dxa"/>
              <w:left w:w="120" w:type="dxa"/>
              <w:bottom w:w="80" w:type="dxa"/>
              <w:right w:w="120" w:type="dxa"/>
            </w:tcMar>
            <w:vAlign w:val="center"/>
          </w:tcPr>
          <w:p w14:paraId="05029D22">
            <w:pPr>
              <w:jc w:val="left"/>
            </w:pPr>
            <w:r>
              <w:rPr>
                <w:rFonts w:ascii="Arial" w:hAnsi="Arial" w:eastAsia="Arial" w:cs="Arial"/>
                <w:b/>
                <w:bCs/>
                <w:color w:val="FFFFFF"/>
                <w:sz w:val="19"/>
                <w:szCs w:val="19"/>
              </w:rPr>
              <w:t>NSSF 2035 Strategic Goal</w:t>
            </w:r>
          </w:p>
        </w:tc>
        <w:tc>
          <w:tcPr>
            <w:tcW w:w="3240" w:type="dxa"/>
            <w:tcBorders>
              <w:top w:val="nil"/>
              <w:left w:val="nil"/>
              <w:bottom w:val="nil"/>
              <w:right w:val="nil"/>
            </w:tcBorders>
            <w:shd w:val="clear" w:color="auto" w:fill="003F87"/>
            <w:tcMar>
              <w:top w:w="80" w:type="dxa"/>
              <w:left w:w="120" w:type="dxa"/>
              <w:bottom w:w="80" w:type="dxa"/>
              <w:right w:w="120" w:type="dxa"/>
            </w:tcMar>
            <w:vAlign w:val="center"/>
          </w:tcPr>
          <w:p w14:paraId="51470E2E">
            <w:pPr>
              <w:jc w:val="left"/>
            </w:pPr>
            <w:r>
              <w:rPr>
                <w:rFonts w:ascii="Arial" w:hAnsi="Arial" w:eastAsia="Arial" w:cs="Arial"/>
                <w:b/>
                <w:bCs/>
                <w:color w:val="FFFFFF"/>
                <w:sz w:val="19"/>
                <w:szCs w:val="19"/>
              </w:rPr>
              <w:t>OwnIt Uganda Contribution</w:t>
            </w:r>
          </w:p>
        </w:tc>
        <w:tc>
          <w:tcPr>
            <w:tcW w:w="3240" w:type="dxa"/>
            <w:tcBorders>
              <w:top w:val="nil"/>
              <w:left w:val="nil"/>
              <w:bottom w:val="nil"/>
              <w:right w:val="nil"/>
            </w:tcBorders>
            <w:shd w:val="clear" w:color="auto" w:fill="003F87"/>
            <w:tcMar>
              <w:top w:w="80" w:type="dxa"/>
              <w:left w:w="120" w:type="dxa"/>
              <w:bottom w:w="80" w:type="dxa"/>
              <w:right w:w="120" w:type="dxa"/>
            </w:tcMar>
            <w:vAlign w:val="center"/>
          </w:tcPr>
          <w:p w14:paraId="72585643">
            <w:pPr>
              <w:jc w:val="left"/>
            </w:pPr>
            <w:r>
              <w:rPr>
                <w:rFonts w:ascii="Arial" w:hAnsi="Arial" w:eastAsia="Arial" w:cs="Arial"/>
                <w:b/>
                <w:bCs/>
                <w:color w:val="FFFFFF"/>
                <w:sz w:val="19"/>
                <w:szCs w:val="19"/>
              </w:rPr>
              <w:t>Projected Impact</w:t>
            </w:r>
          </w:p>
        </w:tc>
      </w:tr>
      <w:tr w14:paraId="4798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06A74921">
            <w:pPr>
              <w:jc w:val="left"/>
            </w:pPr>
            <w:r>
              <w:rPr>
                <w:rFonts w:ascii="Arial" w:hAnsi="Arial" w:eastAsia="Arial" w:cs="Arial"/>
                <w:b/>
                <w:bCs/>
                <w:color w:val="0D1F15"/>
                <w:sz w:val="19"/>
                <w:szCs w:val="19"/>
              </w:rPr>
              <w:t>Grow total membership to 5M</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49E0D14D">
            <w:pPr>
              <w:jc w:val="left"/>
            </w:pPr>
            <w:r>
              <w:rPr>
                <w:rFonts w:ascii="Arial" w:hAnsi="Arial" w:eastAsia="Arial" w:cs="Arial"/>
                <w:b w:val="0"/>
                <w:bCs w:val="0"/>
                <w:color w:val="0D1F15"/>
                <w:sz w:val="19"/>
                <w:szCs w:val="19"/>
              </w:rPr>
              <w:t>Auto-enrollment via NIN API at OwnIt registration</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4E02BF1C">
            <w:pPr>
              <w:jc w:val="left"/>
            </w:pPr>
            <w:r>
              <w:rPr>
                <w:rFonts w:ascii="Arial" w:hAnsi="Arial" w:eastAsia="Arial" w:cs="Arial"/>
                <w:b w:val="0"/>
                <w:bCs w:val="0"/>
                <w:color w:val="0D1F15"/>
                <w:sz w:val="19"/>
                <w:szCs w:val="19"/>
              </w:rPr>
              <w:t>500,000+ new members by 2031</w:t>
            </w:r>
          </w:p>
        </w:tc>
      </w:tr>
      <w:tr w14:paraId="2CBA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D6E4F7"/>
            <w:tcMar>
              <w:top w:w="80" w:type="dxa"/>
              <w:left w:w="120" w:type="dxa"/>
              <w:bottom w:w="80" w:type="dxa"/>
              <w:right w:w="120" w:type="dxa"/>
            </w:tcMar>
            <w:vAlign w:val="center"/>
          </w:tcPr>
          <w:p w14:paraId="19AD767B">
            <w:pPr>
              <w:jc w:val="left"/>
            </w:pPr>
            <w:r>
              <w:rPr>
                <w:rFonts w:ascii="Arial" w:hAnsi="Arial" w:eastAsia="Arial" w:cs="Arial"/>
                <w:b/>
                <w:bCs/>
                <w:color w:val="0D1F15"/>
                <w:sz w:val="19"/>
                <w:szCs w:val="19"/>
              </w:rPr>
              <w:t>Expand informal sector coverage</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19BE17DB">
            <w:pPr>
              <w:jc w:val="left"/>
            </w:pPr>
            <w:r>
              <w:rPr>
                <w:rFonts w:ascii="Arial" w:hAnsi="Arial" w:eastAsia="Arial" w:cs="Arial"/>
                <w:b w:val="0"/>
                <w:bCs w:val="0"/>
                <w:color w:val="0D1F15"/>
                <w:sz w:val="19"/>
                <w:szCs w:val="19"/>
              </w:rPr>
              <w:t>Platform built for MoMo, no employer needed</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5C6A42BF">
            <w:pPr>
              <w:jc w:val="left"/>
            </w:pPr>
            <w:r>
              <w:rPr>
                <w:rFonts w:ascii="Arial" w:hAnsi="Arial" w:eastAsia="Arial" w:cs="Arial"/>
                <w:b w:val="0"/>
                <w:bCs w:val="0"/>
                <w:color w:val="0D1F15"/>
                <w:sz w:val="19"/>
                <w:szCs w:val="19"/>
              </w:rPr>
              <w:t>Reaches 9M+ informal workers</w:t>
            </w:r>
          </w:p>
        </w:tc>
      </w:tr>
      <w:tr w14:paraId="7FCB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4BA5EFC3">
            <w:pPr>
              <w:jc w:val="left"/>
            </w:pPr>
            <w:r>
              <w:rPr>
                <w:rFonts w:ascii="Arial" w:hAnsi="Arial" w:eastAsia="Arial" w:cs="Arial"/>
                <w:b/>
                <w:bCs/>
                <w:color w:val="0D1F15"/>
                <w:sz w:val="19"/>
                <w:szCs w:val="19"/>
              </w:rPr>
              <w:t>Increase youth (18–35) participation</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5DDCD22F">
            <w:pPr>
              <w:jc w:val="left"/>
            </w:pPr>
            <w:r>
              <w:rPr>
                <w:rFonts w:ascii="Arial" w:hAnsi="Arial" w:eastAsia="Arial" w:cs="Arial"/>
                <w:b w:val="0"/>
                <w:bCs w:val="0"/>
                <w:color w:val="0D1F15"/>
                <w:sz w:val="19"/>
                <w:szCs w:val="19"/>
              </w:rPr>
              <w:t>Mobile-first; sub-UGX 50K entry; Gen Z UX</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14ACC058">
            <w:pPr>
              <w:jc w:val="left"/>
            </w:pPr>
            <w:r>
              <w:rPr>
                <w:rFonts w:ascii="Arial" w:hAnsi="Arial" w:eastAsia="Arial" w:cs="Arial"/>
                <w:b w:val="0"/>
                <w:bCs w:val="0"/>
                <w:color w:val="0D1F15"/>
                <w:sz w:val="19"/>
                <w:szCs w:val="19"/>
              </w:rPr>
              <w:t>Core user base is 18–30</w:t>
            </w:r>
          </w:p>
        </w:tc>
      </w:tr>
      <w:tr w14:paraId="24D0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D6E4F7"/>
            <w:tcMar>
              <w:top w:w="80" w:type="dxa"/>
              <w:left w:w="120" w:type="dxa"/>
              <w:bottom w:w="80" w:type="dxa"/>
              <w:right w:w="120" w:type="dxa"/>
            </w:tcMar>
            <w:vAlign w:val="center"/>
          </w:tcPr>
          <w:p w14:paraId="2B3DD3E3">
            <w:pPr>
              <w:jc w:val="left"/>
            </w:pPr>
            <w:r>
              <w:rPr>
                <w:rFonts w:ascii="Arial" w:hAnsi="Arial" w:eastAsia="Arial" w:cs="Arial"/>
                <w:b/>
                <w:bCs/>
                <w:color w:val="0D1F15"/>
                <w:sz w:val="19"/>
                <w:szCs w:val="19"/>
              </w:rPr>
              <w:t>SmartLife Flexi AUM growth</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02132F2B">
            <w:pPr>
              <w:jc w:val="left"/>
            </w:pPr>
            <w:r>
              <w:rPr>
                <w:rFonts w:ascii="Arial" w:hAnsi="Arial" w:eastAsia="Arial" w:cs="Arial"/>
                <w:b w:val="0"/>
                <w:bCs w:val="0"/>
                <w:color w:val="0D1F15"/>
                <w:sz w:val="19"/>
                <w:szCs w:val="19"/>
              </w:rPr>
              <w:t>Post-payout one-tap SmartLife Flexi deposits</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22843F20">
            <w:pPr>
              <w:jc w:val="left"/>
            </w:pPr>
            <w:r>
              <w:rPr>
                <w:rFonts w:ascii="Arial" w:hAnsi="Arial" w:eastAsia="Arial" w:cs="Arial"/>
                <w:b w:val="0"/>
                <w:bCs w:val="0"/>
                <w:color w:val="0D1F15"/>
                <w:sz w:val="19"/>
                <w:szCs w:val="19"/>
              </w:rPr>
              <w:t>New SFL deposits from OwnIt’s 500K+ investors</w:t>
            </w:r>
          </w:p>
        </w:tc>
      </w:tr>
      <w:tr w14:paraId="43BA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2234A1CD">
            <w:pPr>
              <w:jc w:val="left"/>
            </w:pPr>
            <w:r>
              <w:rPr>
                <w:rFonts w:ascii="Arial" w:hAnsi="Arial" w:eastAsia="Arial" w:cs="Arial"/>
                <w:b/>
                <w:bCs/>
                <w:color w:val="0D1F15"/>
                <w:sz w:val="19"/>
                <w:szCs w:val="19"/>
              </w:rPr>
              <w:t>Product portfolio diversification</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7DCD666D">
            <w:pPr>
              <w:jc w:val="left"/>
            </w:pPr>
            <w:r>
              <w:rPr>
                <w:rFonts w:ascii="Arial" w:hAnsi="Arial" w:eastAsia="Arial" w:cs="Arial"/>
                <w:b w:val="0"/>
                <w:bCs w:val="0"/>
                <w:color w:val="0D1F15"/>
                <w:sz w:val="19"/>
                <w:szCs w:val="19"/>
              </w:rPr>
              <w:t>Co-branded voluntary near-term investment product</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0A915A84">
            <w:pPr>
              <w:jc w:val="left"/>
            </w:pPr>
            <w:r>
              <w:rPr>
                <w:rFonts w:ascii="Arial" w:hAnsi="Arial" w:eastAsia="Arial" w:cs="Arial"/>
                <w:b w:val="0"/>
                <w:bCs w:val="0"/>
                <w:color w:val="0D1F15"/>
                <w:sz w:val="19"/>
                <w:szCs w:val="19"/>
              </w:rPr>
              <w:t>Second NSSF product at zero dev cost</w:t>
            </w:r>
          </w:p>
        </w:tc>
      </w:tr>
      <w:tr w14:paraId="01FF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D6E4F7"/>
            <w:tcMar>
              <w:top w:w="80" w:type="dxa"/>
              <w:left w:w="120" w:type="dxa"/>
              <w:bottom w:w="80" w:type="dxa"/>
              <w:right w:w="120" w:type="dxa"/>
            </w:tcMar>
            <w:vAlign w:val="center"/>
          </w:tcPr>
          <w:p w14:paraId="12AA41EF">
            <w:pPr>
              <w:jc w:val="left"/>
            </w:pPr>
            <w:r>
              <w:rPr>
                <w:rFonts w:ascii="Arial" w:hAnsi="Arial" w:eastAsia="Arial" w:cs="Arial"/>
                <w:b/>
                <w:bCs/>
                <w:color w:val="0D1F15"/>
                <w:sz w:val="19"/>
                <w:szCs w:val="19"/>
              </w:rPr>
              <w:t>Generate non-contribution revenue</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58530CCB">
            <w:pPr>
              <w:jc w:val="left"/>
            </w:pPr>
            <w:r>
              <w:rPr>
                <w:rFonts w:ascii="Arial" w:hAnsi="Arial" w:eastAsia="Arial" w:cs="Arial"/>
                <w:b w:val="0"/>
                <w:bCs w:val="0"/>
                <w:color w:val="0D1F15"/>
                <w:sz w:val="19"/>
                <w:szCs w:val="19"/>
              </w:rPr>
              <w:t>3% payout charge: recurring, growing, no capital required</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4BA72D9E">
            <w:pPr>
              <w:jc w:val="left"/>
            </w:pPr>
            <w:r>
              <w:rPr>
                <w:rFonts w:ascii="Arial" w:hAnsi="Arial" w:eastAsia="Arial" w:cs="Arial"/>
                <w:b w:val="0"/>
                <w:bCs w:val="0"/>
                <w:color w:val="0D1F15"/>
                <w:sz w:val="19"/>
                <w:szCs w:val="19"/>
              </w:rPr>
              <w:t>UGX 4.2B+ annual by Year 5</w:t>
            </w:r>
          </w:p>
        </w:tc>
      </w:tr>
      <w:tr w14:paraId="6C43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6870DCF8">
            <w:pPr>
              <w:jc w:val="left"/>
            </w:pPr>
            <w:r>
              <w:rPr>
                <w:rFonts w:ascii="Arial" w:hAnsi="Arial" w:eastAsia="Arial" w:cs="Arial"/>
                <w:b/>
                <w:bCs/>
                <w:color w:val="0D1F15"/>
                <w:sz w:val="19"/>
                <w:szCs w:val="19"/>
              </w:rPr>
              <w:t>Expand financial literacy</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40D19B70">
            <w:pPr>
              <w:jc w:val="left"/>
            </w:pPr>
            <w:r>
              <w:rPr>
                <w:rFonts w:ascii="Arial" w:hAnsi="Arial" w:eastAsia="Arial" w:cs="Arial"/>
                <w:b w:val="0"/>
                <w:bCs w:val="0"/>
                <w:color w:val="0D1F15"/>
                <w:sz w:val="19"/>
                <w:szCs w:val="19"/>
              </w:rPr>
              <w:t>In-app education, ROI calculators, payout transparency</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73FCBF73">
            <w:pPr>
              <w:jc w:val="left"/>
            </w:pPr>
            <w:r>
              <w:rPr>
                <w:rFonts w:ascii="Arial" w:hAnsi="Arial" w:eastAsia="Arial" w:cs="Arial"/>
                <w:b w:val="0"/>
                <w:bCs w:val="0"/>
                <w:color w:val="0D1F15"/>
                <w:sz w:val="19"/>
                <w:szCs w:val="19"/>
              </w:rPr>
              <w:t>200,000+ financially educated members</w:t>
            </w:r>
          </w:p>
        </w:tc>
      </w:tr>
      <w:tr w14:paraId="2BFD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nil"/>
              <w:left w:val="nil"/>
              <w:bottom w:val="nil"/>
              <w:right w:val="nil"/>
            </w:tcBorders>
            <w:shd w:val="clear" w:color="auto" w:fill="D6E4F7"/>
            <w:tcMar>
              <w:top w:w="80" w:type="dxa"/>
              <w:left w:w="120" w:type="dxa"/>
              <w:bottom w:w="80" w:type="dxa"/>
              <w:right w:w="120" w:type="dxa"/>
            </w:tcMar>
            <w:vAlign w:val="center"/>
          </w:tcPr>
          <w:p w14:paraId="73108DB4">
            <w:pPr>
              <w:jc w:val="left"/>
            </w:pPr>
            <w:r>
              <w:rPr>
                <w:rFonts w:ascii="Arial" w:hAnsi="Arial" w:eastAsia="Arial" w:cs="Arial"/>
                <w:b/>
                <w:bCs/>
                <w:color w:val="0D1F15"/>
                <w:sz w:val="19"/>
                <w:szCs w:val="19"/>
              </w:rPr>
              <w:t>Rural &amp; peri-urban outreach</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2CB3CE69">
            <w:pPr>
              <w:jc w:val="left"/>
            </w:pPr>
            <w:r>
              <w:rPr>
                <w:rFonts w:ascii="Arial" w:hAnsi="Arial" w:eastAsia="Arial" w:cs="Arial"/>
                <w:b w:val="0"/>
                <w:bCs w:val="0"/>
                <w:color w:val="0D1F15"/>
                <w:sz w:val="19"/>
                <w:szCs w:val="19"/>
              </w:rPr>
              <w:t>USSD channel enables feature-phone access</w:t>
            </w:r>
          </w:p>
        </w:tc>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74DBE1D1">
            <w:pPr>
              <w:jc w:val="left"/>
            </w:pPr>
            <w:r>
              <w:rPr>
                <w:rFonts w:ascii="Arial" w:hAnsi="Arial" w:eastAsia="Arial" w:cs="Arial"/>
                <w:b w:val="0"/>
                <w:bCs w:val="0"/>
                <w:color w:val="0D1F15"/>
                <w:sz w:val="19"/>
                <w:szCs w:val="19"/>
              </w:rPr>
              <w:t>Extends beyond smartphone users</w:t>
            </w:r>
          </w:p>
        </w:tc>
      </w:tr>
    </w:tbl>
    <w:p w14:paraId="284A0B9A">
      <w:pPr>
        <w:spacing w:before="80" w:after="0"/>
      </w:pPr>
    </w:p>
    <w:p w14:paraId="36BE3475">
      <w:pPr>
        <w:pStyle w:val="3"/>
        <w:spacing w:before="240" w:after="80"/>
      </w:pPr>
      <w:r>
        <w:rPr>
          <w:rFonts w:ascii="Arial" w:hAnsi="Arial" w:eastAsia="Arial" w:cs="Arial"/>
          <w:b/>
          <w:bCs/>
          <w:color w:val="0D1F15"/>
          <w:sz w:val="26"/>
          <w:szCs w:val="26"/>
        </w:rPr>
        <w:t>8.1 Auto-Enrollment Projection: Closing the 3M Gap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920"/>
        <w:gridCol w:w="2040"/>
        <w:gridCol w:w="2160"/>
        <w:gridCol w:w="1440"/>
      </w:tblGrid>
      <w:tr w14:paraId="45CF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5807801A">
            <w:pPr>
              <w:jc w:val="left"/>
            </w:pPr>
            <w:r>
              <w:rPr>
                <w:rFonts w:ascii="Arial" w:hAnsi="Arial" w:eastAsia="Arial" w:cs="Arial"/>
                <w:b/>
                <w:bCs/>
                <w:color w:val="FFFFFF"/>
                <w:sz w:val="19"/>
                <w:szCs w:val="19"/>
              </w:rPr>
              <w:t>Year</w:t>
            </w:r>
          </w:p>
        </w:tc>
        <w:tc>
          <w:tcPr>
            <w:tcW w:w="192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6B12FF5">
            <w:pPr>
              <w:jc w:val="left"/>
            </w:pPr>
            <w:r>
              <w:rPr>
                <w:rFonts w:ascii="Arial" w:hAnsi="Arial" w:eastAsia="Arial" w:cs="Arial"/>
                <w:b/>
                <w:bCs/>
                <w:color w:val="FFFFFF"/>
                <w:sz w:val="19"/>
                <w:szCs w:val="19"/>
              </w:rPr>
              <w:t>OwnIt Users</w:t>
            </w:r>
          </w:p>
        </w:tc>
        <w:tc>
          <w:tcPr>
            <w:tcW w:w="20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5F8F338">
            <w:pPr>
              <w:jc w:val="left"/>
            </w:pPr>
            <w:r>
              <w:rPr>
                <w:rFonts w:ascii="Arial" w:hAnsi="Arial" w:eastAsia="Arial" w:cs="Arial"/>
                <w:b/>
                <w:bCs/>
                <w:color w:val="FFFFFF"/>
                <w:sz w:val="19"/>
                <w:szCs w:val="19"/>
              </w:rPr>
              <w:t>Auto-Enrolled NSSF Members</w:t>
            </w:r>
          </w:p>
        </w:tc>
        <w:tc>
          <w:tcPr>
            <w:tcW w:w="216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6E3A6A6">
            <w:pPr>
              <w:jc w:val="left"/>
            </w:pPr>
            <w:r>
              <w:rPr>
                <w:rFonts w:ascii="Arial" w:hAnsi="Arial" w:eastAsia="Arial" w:cs="Arial"/>
                <w:b/>
                <w:bCs/>
                <w:color w:val="FFFFFF"/>
                <w:sz w:val="19"/>
                <w:szCs w:val="19"/>
              </w:rPr>
              <w:t>Cumulative New NSSF Members</w:t>
            </w:r>
          </w:p>
        </w:tc>
        <w:tc>
          <w:tcPr>
            <w:tcW w:w="144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EA1FC2E">
            <w:pPr>
              <w:jc w:val="left"/>
            </w:pPr>
            <w:r>
              <w:rPr>
                <w:rFonts w:ascii="Arial" w:hAnsi="Arial" w:eastAsia="Arial" w:cs="Arial"/>
                <w:b/>
                <w:bCs/>
                <w:color w:val="FFFFFF"/>
                <w:sz w:val="19"/>
                <w:szCs w:val="19"/>
              </w:rPr>
              <w:t>% of 3M Gap Closed</w:t>
            </w:r>
          </w:p>
        </w:tc>
      </w:tr>
      <w:tr w14:paraId="70D3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366ED0E9">
            <w:pPr>
              <w:jc w:val="left"/>
            </w:pPr>
            <w:r>
              <w:rPr>
                <w:rFonts w:ascii="Arial" w:hAnsi="Arial" w:eastAsia="Arial" w:cs="Arial"/>
                <w:b/>
                <w:bCs/>
                <w:color w:val="0D1F15"/>
                <w:sz w:val="19"/>
                <w:szCs w:val="19"/>
              </w:rPr>
              <w:t>2027 (Year 1)</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A15D329">
            <w:pPr>
              <w:jc w:val="left"/>
            </w:pPr>
            <w:r>
              <w:rPr>
                <w:rFonts w:ascii="Arial" w:hAnsi="Arial" w:eastAsia="Arial" w:cs="Arial"/>
                <w:b w:val="0"/>
                <w:bCs w:val="0"/>
                <w:color w:val="0D1F15"/>
                <w:sz w:val="19"/>
                <w:szCs w:val="19"/>
              </w:rPr>
              <w:t>15,000</w:t>
            </w:r>
          </w:p>
        </w:tc>
        <w:tc>
          <w:tcPr>
            <w:tcW w:w="20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044E274">
            <w:pPr>
              <w:jc w:val="left"/>
            </w:pPr>
            <w:r>
              <w:rPr>
                <w:rFonts w:ascii="Arial" w:hAnsi="Arial" w:eastAsia="Arial" w:cs="Arial"/>
                <w:b w:val="0"/>
                <w:bCs w:val="0"/>
                <w:color w:val="0D1F15"/>
                <w:sz w:val="19"/>
                <w:szCs w:val="19"/>
              </w:rPr>
              <w:t>15,000</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99A51DB">
            <w:pPr>
              <w:jc w:val="left"/>
            </w:pPr>
            <w:r>
              <w:rPr>
                <w:rFonts w:ascii="Arial" w:hAnsi="Arial" w:eastAsia="Arial" w:cs="Arial"/>
                <w:b w:val="0"/>
                <w:bCs w:val="0"/>
                <w:color w:val="0D1F15"/>
                <w:sz w:val="19"/>
                <w:szCs w:val="19"/>
              </w:rPr>
              <w:t>15,000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8DFC9A5">
            <w:pPr>
              <w:jc w:val="left"/>
            </w:pPr>
            <w:r>
              <w:rPr>
                <w:rFonts w:ascii="Arial" w:hAnsi="Arial" w:eastAsia="Arial" w:cs="Arial"/>
                <w:b w:val="0"/>
                <w:bCs w:val="0"/>
                <w:color w:val="0D1F15"/>
                <w:sz w:val="19"/>
                <w:szCs w:val="19"/>
              </w:rPr>
              <w:t>0.5%</w:t>
            </w:r>
          </w:p>
        </w:tc>
      </w:tr>
      <w:tr w14:paraId="0100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0333D57F">
            <w:pPr>
              <w:jc w:val="left"/>
            </w:pPr>
            <w:r>
              <w:rPr>
                <w:rFonts w:ascii="Arial" w:hAnsi="Arial" w:eastAsia="Arial" w:cs="Arial"/>
                <w:b/>
                <w:bCs/>
                <w:color w:val="0D1F15"/>
                <w:sz w:val="19"/>
                <w:szCs w:val="19"/>
              </w:rPr>
              <w:t>2028 (Year 2)</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2DF72FA">
            <w:pPr>
              <w:jc w:val="left"/>
            </w:pPr>
            <w:r>
              <w:rPr>
                <w:rFonts w:ascii="Arial" w:hAnsi="Arial" w:eastAsia="Arial" w:cs="Arial"/>
                <w:b w:val="0"/>
                <w:bCs w:val="0"/>
                <w:color w:val="0D1F15"/>
                <w:sz w:val="19"/>
                <w:szCs w:val="19"/>
              </w:rPr>
              <w:t>60,000</w:t>
            </w:r>
          </w:p>
        </w:tc>
        <w:tc>
          <w:tcPr>
            <w:tcW w:w="20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CD40E8A">
            <w:pPr>
              <w:jc w:val="left"/>
            </w:pPr>
            <w:r>
              <w:rPr>
                <w:rFonts w:ascii="Arial" w:hAnsi="Arial" w:eastAsia="Arial" w:cs="Arial"/>
                <w:b w:val="0"/>
                <w:bCs w:val="0"/>
                <w:color w:val="0D1F15"/>
                <w:sz w:val="19"/>
                <w:szCs w:val="19"/>
              </w:rPr>
              <w:t>60,000</w:t>
            </w:r>
          </w:p>
        </w:tc>
        <w:tc>
          <w:tcPr>
            <w:tcW w:w="21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2613970">
            <w:pPr>
              <w:jc w:val="left"/>
            </w:pPr>
            <w:r>
              <w:rPr>
                <w:rFonts w:ascii="Arial" w:hAnsi="Arial" w:eastAsia="Arial" w:cs="Arial"/>
                <w:b w:val="0"/>
                <w:bCs w:val="0"/>
                <w:color w:val="0D1F15"/>
                <w:sz w:val="19"/>
                <w:szCs w:val="19"/>
              </w:rPr>
              <w:t>75,000</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0A94633">
            <w:pPr>
              <w:jc w:val="left"/>
            </w:pPr>
            <w:r>
              <w:rPr>
                <w:rFonts w:ascii="Arial" w:hAnsi="Arial" w:eastAsia="Arial" w:cs="Arial"/>
                <w:b w:val="0"/>
                <w:bCs w:val="0"/>
                <w:color w:val="0D1F15"/>
                <w:sz w:val="19"/>
                <w:szCs w:val="19"/>
              </w:rPr>
              <w:t>2.5%</w:t>
            </w:r>
          </w:p>
        </w:tc>
      </w:tr>
      <w:tr w14:paraId="612A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03E192B1">
            <w:pPr>
              <w:jc w:val="left"/>
            </w:pPr>
            <w:r>
              <w:rPr>
                <w:rFonts w:ascii="Arial" w:hAnsi="Arial" w:eastAsia="Arial" w:cs="Arial"/>
                <w:b/>
                <w:bCs/>
                <w:color w:val="0D1F15"/>
                <w:sz w:val="19"/>
                <w:szCs w:val="19"/>
              </w:rPr>
              <w:t>2029 (Year 3)</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942CBB0">
            <w:pPr>
              <w:jc w:val="left"/>
            </w:pPr>
            <w:r>
              <w:rPr>
                <w:rFonts w:ascii="Arial" w:hAnsi="Arial" w:eastAsia="Arial" w:cs="Arial"/>
                <w:b w:val="0"/>
                <w:bCs w:val="0"/>
                <w:color w:val="0D1F15"/>
                <w:sz w:val="19"/>
                <w:szCs w:val="19"/>
              </w:rPr>
              <w:t>150,000</w:t>
            </w:r>
          </w:p>
        </w:tc>
        <w:tc>
          <w:tcPr>
            <w:tcW w:w="20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849E4FF">
            <w:pPr>
              <w:jc w:val="left"/>
            </w:pPr>
            <w:r>
              <w:rPr>
                <w:rFonts w:ascii="Arial" w:hAnsi="Arial" w:eastAsia="Arial" w:cs="Arial"/>
                <w:b w:val="0"/>
                <w:bCs w:val="0"/>
                <w:color w:val="0D1F15"/>
                <w:sz w:val="19"/>
                <w:szCs w:val="19"/>
              </w:rPr>
              <w:t>150,000</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785C089">
            <w:pPr>
              <w:jc w:val="left"/>
            </w:pPr>
            <w:r>
              <w:rPr>
                <w:rFonts w:ascii="Arial" w:hAnsi="Arial" w:eastAsia="Arial" w:cs="Arial"/>
                <w:b w:val="0"/>
                <w:bCs w:val="0"/>
                <w:color w:val="0D1F15"/>
                <w:sz w:val="19"/>
                <w:szCs w:val="19"/>
              </w:rPr>
              <w:t>225,000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CDCE760">
            <w:pPr>
              <w:jc w:val="left"/>
            </w:pPr>
            <w:r>
              <w:rPr>
                <w:rFonts w:ascii="Arial" w:hAnsi="Arial" w:eastAsia="Arial" w:cs="Arial"/>
                <w:b w:val="0"/>
                <w:bCs w:val="0"/>
                <w:color w:val="0D1F15"/>
                <w:sz w:val="19"/>
                <w:szCs w:val="19"/>
              </w:rPr>
              <w:t>7.5%</w:t>
            </w:r>
          </w:p>
        </w:tc>
      </w:tr>
      <w:tr w14:paraId="7064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13907D99">
            <w:pPr>
              <w:jc w:val="left"/>
            </w:pPr>
            <w:r>
              <w:rPr>
                <w:rFonts w:ascii="Arial" w:hAnsi="Arial" w:eastAsia="Arial" w:cs="Arial"/>
                <w:b/>
                <w:bCs/>
                <w:color w:val="0D1F15"/>
                <w:sz w:val="19"/>
                <w:szCs w:val="19"/>
              </w:rPr>
              <w:t>2030 (Year 4)</w:t>
            </w:r>
          </w:p>
        </w:tc>
        <w:tc>
          <w:tcPr>
            <w:tcW w:w="192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83D16E3">
            <w:pPr>
              <w:jc w:val="left"/>
            </w:pPr>
            <w:r>
              <w:rPr>
                <w:rFonts w:ascii="Arial" w:hAnsi="Arial" w:eastAsia="Arial" w:cs="Arial"/>
                <w:b w:val="0"/>
                <w:bCs w:val="0"/>
                <w:color w:val="0D1F15"/>
                <w:sz w:val="19"/>
                <w:szCs w:val="19"/>
              </w:rPr>
              <w:t>300,000</w:t>
            </w:r>
          </w:p>
        </w:tc>
        <w:tc>
          <w:tcPr>
            <w:tcW w:w="20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7AC3459">
            <w:pPr>
              <w:jc w:val="left"/>
            </w:pPr>
            <w:r>
              <w:rPr>
                <w:rFonts w:ascii="Arial" w:hAnsi="Arial" w:eastAsia="Arial" w:cs="Arial"/>
                <w:b w:val="0"/>
                <w:bCs w:val="0"/>
                <w:color w:val="0D1F15"/>
                <w:sz w:val="19"/>
                <w:szCs w:val="19"/>
              </w:rPr>
              <w:t>300,000</w:t>
            </w:r>
          </w:p>
        </w:tc>
        <w:tc>
          <w:tcPr>
            <w:tcW w:w="216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1D2BEBA">
            <w:pPr>
              <w:jc w:val="left"/>
            </w:pPr>
            <w:r>
              <w:rPr>
                <w:rFonts w:ascii="Arial" w:hAnsi="Arial" w:eastAsia="Arial" w:cs="Arial"/>
                <w:b w:val="0"/>
                <w:bCs w:val="0"/>
                <w:color w:val="0D1F15"/>
                <w:sz w:val="19"/>
                <w:szCs w:val="19"/>
              </w:rPr>
              <w:t>525,000</w:t>
            </w:r>
          </w:p>
        </w:tc>
        <w:tc>
          <w:tcPr>
            <w:tcW w:w="1440"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937B186">
            <w:pPr>
              <w:jc w:val="left"/>
            </w:pPr>
            <w:r>
              <w:rPr>
                <w:rFonts w:ascii="Arial" w:hAnsi="Arial" w:eastAsia="Arial" w:cs="Arial"/>
                <w:b w:val="0"/>
                <w:bCs w:val="0"/>
                <w:color w:val="0D1F15"/>
                <w:sz w:val="19"/>
                <w:szCs w:val="19"/>
              </w:rPr>
              <w:t>17.5%</w:t>
            </w:r>
          </w:p>
        </w:tc>
      </w:tr>
      <w:tr w14:paraId="5914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42BD35E1">
            <w:pPr>
              <w:jc w:val="left"/>
            </w:pPr>
            <w:r>
              <w:rPr>
                <w:rFonts w:ascii="Arial" w:hAnsi="Arial" w:eastAsia="Arial" w:cs="Arial"/>
                <w:b/>
                <w:bCs/>
                <w:color w:val="0D1F15"/>
                <w:sz w:val="19"/>
                <w:szCs w:val="19"/>
              </w:rPr>
              <w:t>2031 (Year 5)</w:t>
            </w:r>
          </w:p>
        </w:tc>
        <w:tc>
          <w:tcPr>
            <w:tcW w:w="192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F6901F3">
            <w:pPr>
              <w:jc w:val="left"/>
            </w:pPr>
            <w:r>
              <w:rPr>
                <w:rFonts w:ascii="Arial" w:hAnsi="Arial" w:eastAsia="Arial" w:cs="Arial"/>
                <w:b w:val="0"/>
                <w:bCs w:val="0"/>
                <w:color w:val="0D1F15"/>
                <w:sz w:val="19"/>
                <w:szCs w:val="19"/>
              </w:rPr>
              <w:t>500,000</w:t>
            </w:r>
          </w:p>
        </w:tc>
        <w:tc>
          <w:tcPr>
            <w:tcW w:w="20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B24CB17">
            <w:pPr>
              <w:jc w:val="left"/>
            </w:pPr>
            <w:r>
              <w:rPr>
                <w:rFonts w:ascii="Arial" w:hAnsi="Arial" w:eastAsia="Arial" w:cs="Arial"/>
                <w:b w:val="0"/>
                <w:bCs w:val="0"/>
                <w:color w:val="0D1F15"/>
                <w:sz w:val="19"/>
                <w:szCs w:val="19"/>
              </w:rPr>
              <w:t>500,000</w:t>
            </w:r>
          </w:p>
        </w:tc>
        <w:tc>
          <w:tcPr>
            <w:tcW w:w="216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6C2CBF18">
            <w:pPr>
              <w:jc w:val="left"/>
            </w:pPr>
            <w:r>
              <w:rPr>
                <w:rFonts w:ascii="Arial" w:hAnsi="Arial" w:eastAsia="Arial" w:cs="Arial"/>
                <w:b w:val="0"/>
                <w:bCs w:val="0"/>
                <w:color w:val="0D1F15"/>
                <w:sz w:val="19"/>
                <w:szCs w:val="19"/>
              </w:rPr>
              <w:t>1,025,000</w:t>
            </w:r>
          </w:p>
        </w:tc>
        <w:tc>
          <w:tcPr>
            <w:tcW w:w="1440"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E385F96">
            <w:pPr>
              <w:jc w:val="left"/>
            </w:pPr>
            <w:r>
              <w:rPr>
                <w:rFonts w:ascii="Arial" w:hAnsi="Arial" w:eastAsia="Arial" w:cs="Arial"/>
                <w:b w:val="0"/>
                <w:bCs w:val="0"/>
                <w:color w:val="0D1F15"/>
                <w:sz w:val="19"/>
                <w:szCs w:val="19"/>
              </w:rPr>
              <w:t>34.2%</w:t>
            </w:r>
          </w:p>
        </w:tc>
      </w:tr>
    </w:tbl>
    <w:p w14:paraId="65EB13B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07B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60" w:type="dxa"/>
              <w:left w:w="200" w:type="dxa"/>
              <w:bottom w:w="60" w:type="dxa"/>
              <w:right w:w="200" w:type="dxa"/>
            </w:tcMar>
            <w:vAlign w:val="top"/>
          </w:tcPr>
          <w:p w14:paraId="3CA301C3">
            <w:r>
              <w:rPr>
                <w:rFonts w:ascii="Arial" w:hAnsi="Arial" w:eastAsia="Arial" w:cs="Arial"/>
                <w:color w:val="0D1F15"/>
                <w:sz w:val="21"/>
                <w:szCs w:val="21"/>
              </w:rPr>
              <w:t>By 2031, OwnIt Uganda’s auto-enrollment alone can deliver over 1 million new NSSF members —</w:t>
            </w:r>
          </w:p>
        </w:tc>
      </w:tr>
      <w:tr w14:paraId="254C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60" w:type="dxa"/>
              <w:left w:w="200" w:type="dxa"/>
              <w:bottom w:w="60" w:type="dxa"/>
              <w:right w:w="200" w:type="dxa"/>
            </w:tcMar>
            <w:vAlign w:val="top"/>
          </w:tcPr>
          <w:p w14:paraId="1D14BA8F">
            <w:r>
              <w:rPr>
                <w:rFonts w:ascii="Arial" w:hAnsi="Arial" w:eastAsia="Arial" w:cs="Arial"/>
                <w:color w:val="0D1F15"/>
                <w:sz w:val="21"/>
                <w:szCs w:val="21"/>
              </w:rPr>
              <w:t>closing more than one-third of the remaining 2035 membership gap,</w:t>
            </w:r>
          </w:p>
        </w:tc>
      </w:tr>
      <w:tr w14:paraId="49F4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60" w:type="dxa"/>
              <w:left w:w="200" w:type="dxa"/>
              <w:bottom w:w="60" w:type="dxa"/>
              <w:right w:w="200" w:type="dxa"/>
            </w:tcMar>
            <w:vAlign w:val="top"/>
          </w:tcPr>
          <w:p w14:paraId="2D774770">
            <w:r>
              <w:rPr>
                <w:rFonts w:ascii="Arial" w:hAnsi="Arial" w:eastAsia="Arial" w:cs="Arial"/>
                <w:color w:val="0D1F15"/>
                <w:sz w:val="21"/>
                <w:szCs w:val="21"/>
              </w:rPr>
              <w:t>at zero direct acquisition cost to NSSF,</w:t>
            </w:r>
          </w:p>
        </w:tc>
      </w:tr>
      <w:tr w14:paraId="5CC1D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60" w:type="dxa"/>
              <w:left w:w="200" w:type="dxa"/>
              <w:bottom w:w="60" w:type="dxa"/>
              <w:right w:w="200" w:type="dxa"/>
            </w:tcMar>
            <w:vAlign w:val="top"/>
          </w:tcPr>
          <w:p w14:paraId="3EB536C3">
            <w:r>
              <w:rPr>
                <w:rFonts w:ascii="Arial" w:hAnsi="Arial" w:eastAsia="Arial" w:cs="Arial"/>
                <w:color w:val="0D1F15"/>
                <w:sz w:val="21"/>
                <w:szCs w:val="21"/>
              </w:rPr>
              <w:t>each already contributing to their own pension pot via the 2% levy,</w:t>
            </w:r>
          </w:p>
        </w:tc>
      </w:tr>
      <w:tr w14:paraId="6700A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60" w:type="dxa"/>
              <w:left w:w="200" w:type="dxa"/>
              <w:bottom w:w="60" w:type="dxa"/>
              <w:right w:w="200" w:type="dxa"/>
            </w:tcMar>
            <w:vAlign w:val="top"/>
          </w:tcPr>
          <w:p w14:paraId="2D485E14">
            <w:r>
              <w:rPr>
                <w:rFonts w:ascii="Arial" w:hAnsi="Arial" w:eastAsia="Arial" w:cs="Arial"/>
                <w:color w:val="0D1F15"/>
                <w:sz w:val="21"/>
                <w:szCs w:val="21"/>
              </w:rPr>
              <w:t>through a product Gen Z actually wants to use.</w:t>
            </w:r>
          </w:p>
        </w:tc>
      </w:tr>
    </w:tbl>
    <w:p w14:paraId="7D14E16B">
      <w:r>
        <w:br w:type="page"/>
      </w:r>
    </w:p>
    <w:p w14:paraId="47F8B38E">
      <w:pPr>
        <w:pStyle w:val="2"/>
        <w:spacing w:before="360" w:after="120"/>
      </w:pPr>
      <w:r>
        <w:rPr>
          <w:rFonts w:ascii="Arial" w:hAnsi="Arial" w:eastAsia="Arial" w:cs="Arial"/>
          <w:b/>
          <w:bCs/>
          <w:color w:val="1A7A45"/>
          <w:sz w:val="32"/>
          <w:szCs w:val="32"/>
        </w:rPr>
        <w:t>9. SmartLife Flexi &amp; OwnIt: A Powerful Complementary Partnership</w:t>
      </w:r>
    </w:p>
    <w:p w14:paraId="68222B0E">
      <w:pPr>
        <w:pBdr>
          <w:bottom w:val="single" w:color="1A7A45" w:sz="12" w:space="1"/>
        </w:pBd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F3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120" w:type="dxa"/>
              <w:left w:w="200" w:type="dxa"/>
              <w:bottom w:w="120" w:type="dxa"/>
              <w:right w:w="160" w:type="dxa"/>
            </w:tcMar>
          </w:tcPr>
          <w:p w14:paraId="0E13F44F">
            <w:r>
              <w:rPr>
                <w:rFonts w:ascii="Arial" w:hAnsi="Arial" w:eastAsia="Arial" w:cs="Arial"/>
                <w:color w:val="0D1F15"/>
                <w:sz w:val="21"/>
                <w:szCs w:val="21"/>
              </w:rPr>
              <w:t>This section addresses the most important strategic question in this proposal: given that NSSF already has SmartLife Flexi, why does NSSF need OwnIt? The answer is that SmartLife Flexi and OwnIt are not competing for the same outcome. They are two distinct instruments that, when deployed together, produce a result neither can achieve alone.</w:t>
            </w:r>
          </w:p>
        </w:tc>
      </w:tr>
    </w:tbl>
    <w:p w14:paraId="66787853">
      <w:pPr>
        <w:spacing w:before="240" w:after="80"/>
        <w:rPr>
          <w:rFonts w:ascii="Arial" w:hAnsi="Arial" w:eastAsia="Arial" w:cs="Arial"/>
          <w:color w:val="0D1F15"/>
        </w:rPr>
      </w:pPr>
      <w:r>
        <w:rPr>
          <w:rFonts w:ascii="Arial" w:hAnsi="Arial" w:eastAsia="Arial" w:cs="Arial"/>
          <w:b/>
          <w:bCs/>
          <w:color w:val="0D1F15"/>
          <w:sz w:val="26"/>
          <w:szCs w:val="26"/>
        </w:rPr>
        <w:t>9.1 What SmartLife Flexi Is — And What It Is Not</w:t>
      </w:r>
    </w:p>
    <w:p w14:paraId="6B386CA4">
      <w:pPr>
        <w:spacing w:before="60" w:after="80"/>
        <w:jc w:val="left"/>
        <w:rPr>
          <w:rFonts w:ascii="Arial" w:hAnsi="Arial" w:eastAsia="Arial" w:cs="Arial"/>
          <w:color w:val="0D1F15"/>
        </w:rPr>
      </w:pPr>
      <w:r>
        <w:rPr>
          <w:rFonts w:ascii="Arial" w:hAnsi="Arial" w:eastAsia="Arial" w:cs="Arial"/>
          <w:b w:val="0"/>
          <w:bCs w:val="0"/>
          <w:color w:val="0D1F15"/>
          <w:sz w:val="22"/>
          <w:szCs w:val="22"/>
        </w:rPr>
        <w:t>SmartLife Flexi, launched November 2024, is a voluntary savings product that offers NSSF members flexible, goal-driven savings with daily interest accrual, monthly crediting, and a competitive annualised return averaging 13.25%+ since launch (peak: 14.81% in October 2025). Its features include:</w:t>
      </w:r>
    </w:p>
    <w:p w14:paraId="77F61A76">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Minimum contribution of UGX 5,000 per deposit — the lowest entry point of any regulated savings product in Uganda</w:t>
      </w:r>
    </w:p>
    <w:p w14:paraId="44DAF9D3">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Daily balance interest computation starting from day 4 of each deposit, credited monthly to the member’s account</w:t>
      </w:r>
    </w:p>
    <w:p w14:paraId="7A714157">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1-year minimum lock-in period to cultivate savings discipline, with early exit permitted net of withdrawal costs</w:t>
      </w:r>
    </w:p>
    <w:p w14:paraId="31F58526">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0.5% completion bonus on voluntary contributions for members who stay the full declared period</w:t>
      </w:r>
    </w:p>
    <w:p w14:paraId="0E75F4B9">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Multiple goal sub-accounts: a single member may hold several sub-accounts (education, car, emergency fund)</w:t>
      </w:r>
    </w:p>
    <w:p w14:paraId="76C2892D">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Minor sub-accounts: a saver may open a sub-account for a child, transferable when the child turns 16</w:t>
      </w:r>
    </w:p>
    <w:p w14:paraId="5D94A40C">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Survivor benefits with a structured claims process for nominated beneficiaries</w:t>
      </w:r>
    </w:p>
    <w:p w14:paraId="511506E7">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Open to everyone 16+, including non-citizens with valid passports and refugees with valid ID</w:t>
      </w:r>
    </w:p>
    <w:p w14:paraId="5CCA78FF">
      <w:pPr>
        <w:spacing w:before="100" w:after="0"/>
        <w:rPr>
          <w:rFonts w:ascii="Arial" w:hAnsi="Arial" w:eastAsia="Arial" w:cs="Arial"/>
          <w:color w:val="0D1F15"/>
        </w:rPr>
      </w:pPr>
    </w:p>
    <w:p w14:paraId="1EE32C2E">
      <w:pPr>
        <w:spacing w:before="60" w:after="80"/>
        <w:jc w:val="left"/>
        <w:rPr>
          <w:rFonts w:ascii="Arial" w:hAnsi="Arial" w:eastAsia="Arial" w:cs="Arial"/>
          <w:color w:val="0D1F15"/>
        </w:rPr>
      </w:pPr>
      <w:r>
        <w:rPr>
          <w:rFonts w:ascii="Arial" w:hAnsi="Arial" w:eastAsia="Arial" w:cs="Arial"/>
          <w:b w:val="0"/>
          <w:bCs w:val="0"/>
          <w:color w:val="0D1F15"/>
          <w:sz w:val="22"/>
          <w:szCs w:val="22"/>
        </w:rPr>
        <w:t>SmartLife Flexi’s performance is exceptional: UGX 5 billion collected in its first three months, 70% micro-saver enrolment, consistently beating the URBRA sector average return (10.99%) and the unit trust range (10–12%). It is, by any measure, Uganda’s best-performing retail voluntary savings product.</w:t>
      </w:r>
    </w:p>
    <w:p w14:paraId="53FBA131">
      <w:pPr>
        <w:spacing w:before="60" w:after="80"/>
        <w:jc w:val="left"/>
        <w:rPr>
          <w:rFonts w:ascii="Arial" w:hAnsi="Arial" w:eastAsia="Arial" w:cs="Arial"/>
          <w:color w:val="0D1F15"/>
        </w:rPr>
      </w:pPr>
      <w:r>
        <w:rPr>
          <w:rFonts w:ascii="Arial" w:hAnsi="Arial" w:eastAsia="Arial" w:cs="Arial"/>
          <w:b w:val="0"/>
          <w:bCs w:val="0"/>
          <w:color w:val="0D1F15"/>
          <w:sz w:val="22"/>
          <w:szCs w:val="22"/>
        </w:rPr>
        <w:t>However, SmartLife Flexi is a savings and interest product, not an investment and returns product. It does not allow members to own fractional stakes in real estate, commodity trades, government bonds at the retail level, mineral lots, FX instruments, company stocks, or SME equity. Its return is determined by NSSF’s board-approved investment policy — a blended institutional rate across a UGX 22 trillion fund. It cannot offer the specific, asset-linked, short-cycle returns of a 75-day maize export trade or a petroleum consignment.</w:t>
      </w:r>
    </w:p>
    <w:p w14:paraId="31325DF8">
      <w:pPr>
        <w:spacing w:before="80" w:after="0"/>
      </w:pPr>
    </w:p>
    <w:p w14:paraId="2DB8AF38">
      <w:pPr>
        <w:pStyle w:val="3"/>
        <w:spacing w:before="240" w:after="80"/>
      </w:pPr>
      <w:r>
        <w:rPr>
          <w:rFonts w:ascii="Arial" w:hAnsi="Arial" w:eastAsia="Arial" w:cs="Arial"/>
          <w:b/>
          <w:bCs/>
          <w:color w:val="0D1F15"/>
          <w:sz w:val="26"/>
          <w:szCs w:val="26"/>
        </w:rPr>
        <w:t>9.2 The Structural Gap SmartLife Flexi Cannot Fill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3300"/>
        <w:gridCol w:w="3300"/>
      </w:tblGrid>
      <w:tr w14:paraId="65E8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1A7A45"/>
            <w:tcMar>
              <w:top w:w="80" w:type="dxa"/>
              <w:left w:w="120" w:type="dxa"/>
              <w:bottom w:w="80" w:type="dxa"/>
              <w:right w:w="120" w:type="dxa"/>
            </w:tcMar>
            <w:vAlign w:val="center"/>
          </w:tcPr>
          <w:p w14:paraId="1E190BFF">
            <w:pPr>
              <w:jc w:val="left"/>
            </w:pPr>
            <w:r>
              <w:rPr>
                <w:rFonts w:ascii="Arial" w:hAnsi="Arial" w:eastAsia="Arial" w:cs="Arial"/>
                <w:b/>
                <w:bCs/>
                <w:color w:val="FFFFFF"/>
                <w:sz w:val="19"/>
                <w:szCs w:val="19"/>
              </w:rPr>
              <w:t>Dimension</w:t>
            </w:r>
          </w:p>
        </w:tc>
        <w:tc>
          <w:tcPr>
            <w:tcW w:w="3300" w:type="dxa"/>
            <w:tcBorders>
              <w:top w:val="nil"/>
              <w:left w:val="nil"/>
              <w:bottom w:val="nil"/>
              <w:right w:val="nil"/>
            </w:tcBorders>
            <w:shd w:val="clear" w:color="auto" w:fill="003F87"/>
            <w:tcMar>
              <w:top w:w="80" w:type="dxa"/>
              <w:left w:w="120" w:type="dxa"/>
              <w:bottom w:w="80" w:type="dxa"/>
              <w:right w:w="120" w:type="dxa"/>
            </w:tcMar>
            <w:vAlign w:val="center"/>
          </w:tcPr>
          <w:p w14:paraId="7C4F410F">
            <w:pPr>
              <w:jc w:val="left"/>
            </w:pPr>
            <w:r>
              <w:rPr>
                <w:rFonts w:ascii="Arial" w:hAnsi="Arial" w:eastAsia="Arial" w:cs="Arial"/>
                <w:b/>
                <w:bCs/>
                <w:color w:val="FFFFFF"/>
                <w:sz w:val="19"/>
                <w:szCs w:val="19"/>
              </w:rPr>
              <w:t>SmartLife Flexi (NSSF)</w:t>
            </w:r>
          </w:p>
        </w:tc>
        <w:tc>
          <w:tcPr>
            <w:tcW w:w="3300" w:type="dxa"/>
            <w:tcBorders>
              <w:top w:val="nil"/>
              <w:left w:val="nil"/>
              <w:bottom w:val="nil"/>
              <w:right w:val="nil"/>
            </w:tcBorders>
            <w:shd w:val="clear" w:color="auto" w:fill="C17F00"/>
            <w:tcMar>
              <w:top w:w="80" w:type="dxa"/>
              <w:left w:w="120" w:type="dxa"/>
              <w:bottom w:w="80" w:type="dxa"/>
              <w:right w:w="120" w:type="dxa"/>
            </w:tcMar>
            <w:vAlign w:val="center"/>
          </w:tcPr>
          <w:p w14:paraId="738851C8">
            <w:pPr>
              <w:jc w:val="left"/>
            </w:pPr>
            <w:r>
              <w:rPr>
                <w:rFonts w:ascii="Arial" w:hAnsi="Arial" w:eastAsia="Arial" w:cs="Arial"/>
                <w:b/>
                <w:bCs/>
                <w:color w:val="FFFFFF"/>
                <w:sz w:val="19"/>
                <w:szCs w:val="19"/>
              </w:rPr>
              <w:t>OwnIt Uganda</w:t>
            </w:r>
          </w:p>
        </w:tc>
      </w:tr>
      <w:tr w14:paraId="0DB0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471D15B8">
            <w:pPr>
              <w:jc w:val="left"/>
            </w:pPr>
            <w:r>
              <w:rPr>
                <w:rFonts w:ascii="Arial" w:hAnsi="Arial" w:eastAsia="Arial" w:cs="Arial"/>
                <w:b/>
                <w:bCs/>
                <w:color w:val="0D1F15"/>
                <w:sz w:val="19"/>
                <w:szCs w:val="19"/>
              </w:rPr>
              <w:t>Product type</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187F15FD">
            <w:pPr>
              <w:jc w:val="left"/>
            </w:pPr>
            <w:r>
              <w:rPr>
                <w:rFonts w:ascii="Arial" w:hAnsi="Arial" w:eastAsia="Arial" w:cs="Arial"/>
                <w:b w:val="0"/>
                <w:bCs w:val="0"/>
                <w:color w:val="0D1F15"/>
                <w:sz w:val="19"/>
                <w:szCs w:val="19"/>
              </w:rPr>
              <w:t>Savings &amp; interest</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4311F45E">
            <w:pPr>
              <w:jc w:val="left"/>
            </w:pPr>
            <w:r>
              <w:rPr>
                <w:rFonts w:ascii="Arial" w:hAnsi="Arial" w:eastAsia="Arial" w:cs="Arial"/>
                <w:b w:val="0"/>
                <w:bCs w:val="0"/>
                <w:color w:val="0D1F15"/>
                <w:sz w:val="19"/>
                <w:szCs w:val="19"/>
              </w:rPr>
              <w:t>Crowd-investment &amp; asset returns</w:t>
            </w:r>
          </w:p>
        </w:tc>
      </w:tr>
      <w:tr w14:paraId="0BB5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46BACEB3">
            <w:pPr>
              <w:jc w:val="left"/>
            </w:pPr>
            <w:r>
              <w:rPr>
                <w:rFonts w:ascii="Arial" w:hAnsi="Arial" w:eastAsia="Arial" w:cs="Arial"/>
                <w:b/>
                <w:bCs/>
                <w:color w:val="0D1F15"/>
                <w:sz w:val="19"/>
                <w:szCs w:val="19"/>
              </w:rPr>
              <w:t>Return mechanism</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08749A24">
            <w:pPr>
              <w:jc w:val="left"/>
            </w:pPr>
            <w:r>
              <w:rPr>
                <w:rFonts w:ascii="Arial" w:hAnsi="Arial" w:eastAsia="Arial" w:cs="Arial"/>
                <w:b w:val="0"/>
                <w:bCs w:val="0"/>
                <w:color w:val="0D1F15"/>
                <w:sz w:val="19"/>
                <w:szCs w:val="19"/>
              </w:rPr>
              <w:t>NSSF board-set rate (blended fund)</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71BCD143">
            <w:pPr>
              <w:jc w:val="left"/>
            </w:pPr>
            <w:r>
              <w:rPr>
                <w:rFonts w:ascii="Arial" w:hAnsi="Arial" w:eastAsia="Arial" w:cs="Arial"/>
                <w:b w:val="0"/>
                <w:bCs w:val="0"/>
                <w:color w:val="0D1F15"/>
                <w:sz w:val="19"/>
                <w:szCs w:val="19"/>
              </w:rPr>
              <w:t>Asset-specific returns (15–60%+ per cycle)</w:t>
            </w:r>
          </w:p>
        </w:tc>
      </w:tr>
      <w:tr w14:paraId="06D0D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1E4F1C8B">
            <w:pPr>
              <w:jc w:val="left"/>
            </w:pPr>
            <w:r>
              <w:rPr>
                <w:rFonts w:ascii="Arial" w:hAnsi="Arial" w:eastAsia="Arial" w:cs="Arial"/>
                <w:b/>
                <w:bCs/>
                <w:color w:val="0D1F15"/>
                <w:sz w:val="19"/>
                <w:szCs w:val="19"/>
              </w:rPr>
              <w:t>Return speed</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1EE807D3">
            <w:pPr>
              <w:jc w:val="left"/>
            </w:pPr>
            <w:r>
              <w:rPr>
                <w:rFonts w:ascii="Arial" w:hAnsi="Arial" w:eastAsia="Arial" w:cs="Arial"/>
                <w:b w:val="0"/>
                <w:bCs w:val="0"/>
                <w:color w:val="0D1F15"/>
                <w:sz w:val="19"/>
                <w:szCs w:val="19"/>
              </w:rPr>
              <w:t>Monthly interest credits</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48B93885">
            <w:pPr>
              <w:jc w:val="left"/>
            </w:pPr>
            <w:r>
              <w:rPr>
                <w:rFonts w:ascii="Arial" w:hAnsi="Arial" w:eastAsia="Arial" w:cs="Arial"/>
                <w:b w:val="0"/>
                <w:bCs w:val="0"/>
                <w:color w:val="0D1F15"/>
                <w:sz w:val="19"/>
                <w:szCs w:val="19"/>
              </w:rPr>
              <w:t>30–90 day asset payouts</w:t>
            </w:r>
          </w:p>
        </w:tc>
      </w:tr>
      <w:tr w14:paraId="1CF5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20F268E9">
            <w:pPr>
              <w:jc w:val="left"/>
            </w:pPr>
            <w:r>
              <w:rPr>
                <w:rFonts w:ascii="Arial" w:hAnsi="Arial" w:eastAsia="Arial" w:cs="Arial"/>
                <w:b/>
                <w:bCs/>
                <w:color w:val="0D1F15"/>
                <w:sz w:val="19"/>
                <w:szCs w:val="19"/>
              </w:rPr>
              <w:t>Member control</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2BDE001D">
            <w:pPr>
              <w:jc w:val="left"/>
            </w:pPr>
            <w:r>
              <w:rPr>
                <w:rFonts w:ascii="Arial" w:hAnsi="Arial" w:eastAsia="Arial" w:cs="Arial"/>
                <w:b w:val="0"/>
                <w:bCs w:val="0"/>
                <w:color w:val="0D1F15"/>
                <w:sz w:val="19"/>
                <w:szCs w:val="19"/>
              </w:rPr>
              <w:t>Deposit amount &amp; frequency</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4419EC22">
            <w:pPr>
              <w:jc w:val="left"/>
            </w:pPr>
            <w:r>
              <w:rPr>
                <w:rFonts w:ascii="Arial" w:hAnsi="Arial" w:eastAsia="Arial" w:cs="Arial"/>
                <w:b w:val="0"/>
                <w:bCs w:val="0"/>
                <w:color w:val="0D1F15"/>
                <w:sz w:val="19"/>
                <w:szCs w:val="19"/>
              </w:rPr>
              <w:t>Choose specific asset classes &amp; listings</w:t>
            </w:r>
          </w:p>
        </w:tc>
      </w:tr>
      <w:tr w14:paraId="40AB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699B874F">
            <w:pPr>
              <w:jc w:val="left"/>
            </w:pPr>
            <w:r>
              <w:rPr>
                <w:rFonts w:ascii="Arial" w:hAnsi="Arial" w:eastAsia="Arial" w:cs="Arial"/>
                <w:b/>
                <w:bCs/>
                <w:color w:val="0D1F15"/>
                <w:sz w:val="19"/>
                <w:szCs w:val="19"/>
              </w:rPr>
              <w:t>Asset exposure</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7463617C">
            <w:pPr>
              <w:jc w:val="left"/>
            </w:pPr>
            <w:r>
              <w:rPr>
                <w:rFonts w:ascii="Arial" w:hAnsi="Arial" w:eastAsia="Arial" w:cs="Arial"/>
                <w:b w:val="0"/>
                <w:bCs w:val="0"/>
                <w:color w:val="0D1F15"/>
                <w:sz w:val="19"/>
                <w:szCs w:val="19"/>
              </w:rPr>
              <w:t>NSSF’s internal portfolio (indirect)</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31210F45">
            <w:pPr>
              <w:jc w:val="left"/>
            </w:pPr>
            <w:r>
              <w:rPr>
                <w:rFonts w:ascii="Arial" w:hAnsi="Arial" w:eastAsia="Arial" w:cs="Arial"/>
                <w:b w:val="0"/>
                <w:bCs w:val="0"/>
                <w:color w:val="0D1F15"/>
                <w:sz w:val="19"/>
                <w:szCs w:val="19"/>
              </w:rPr>
              <w:t>Real estate, commodities, minerals, stocks (direct)</w:t>
            </w:r>
          </w:p>
        </w:tc>
      </w:tr>
      <w:tr w14:paraId="42E1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7AA666B4">
            <w:pPr>
              <w:jc w:val="left"/>
            </w:pPr>
            <w:r>
              <w:rPr>
                <w:rFonts w:ascii="Arial" w:hAnsi="Arial" w:eastAsia="Arial" w:cs="Arial"/>
                <w:b/>
                <w:bCs/>
                <w:color w:val="0D1F15"/>
                <w:sz w:val="19"/>
                <w:szCs w:val="19"/>
              </w:rPr>
              <w:t>Engagement model</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76EAE038">
            <w:pPr>
              <w:jc w:val="left"/>
            </w:pPr>
            <w:r>
              <w:rPr>
                <w:rFonts w:ascii="Arial" w:hAnsi="Arial" w:eastAsia="Arial" w:cs="Arial"/>
                <w:b w:val="0"/>
                <w:bCs w:val="0"/>
                <w:color w:val="0D1F15"/>
                <w:sz w:val="19"/>
                <w:szCs w:val="19"/>
              </w:rPr>
              <w:t>Passive saving (deposit &amp; wait)</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5EAF4B6D">
            <w:pPr>
              <w:jc w:val="left"/>
            </w:pPr>
            <w:r>
              <w:rPr>
                <w:rFonts w:ascii="Arial" w:hAnsi="Arial" w:eastAsia="Arial" w:cs="Arial"/>
                <w:b w:val="0"/>
                <w:bCs w:val="0"/>
                <w:color w:val="0D1F15"/>
                <w:sz w:val="19"/>
                <w:szCs w:val="19"/>
              </w:rPr>
              <w:t>Active investing (browse, select, track, earn)</w:t>
            </w:r>
          </w:p>
        </w:tc>
      </w:tr>
      <w:tr w14:paraId="2EBE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188EDF3D">
            <w:pPr>
              <w:jc w:val="left"/>
            </w:pPr>
            <w:r>
              <w:rPr>
                <w:rFonts w:ascii="Arial" w:hAnsi="Arial" w:eastAsia="Arial" w:cs="Arial"/>
                <w:b/>
                <w:bCs/>
                <w:color w:val="0D1F15"/>
                <w:sz w:val="19"/>
                <w:szCs w:val="19"/>
              </w:rPr>
              <w:t>Lock-in structure</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78691081">
            <w:pPr>
              <w:jc w:val="left"/>
            </w:pPr>
            <w:r>
              <w:rPr>
                <w:rFonts w:ascii="Arial" w:hAnsi="Arial" w:eastAsia="Arial" w:cs="Arial"/>
                <w:b w:val="0"/>
                <w:bCs w:val="0"/>
                <w:color w:val="0D1F15"/>
                <w:sz w:val="19"/>
                <w:szCs w:val="19"/>
              </w:rPr>
              <w:t>1-year minimum</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4A0113FE">
            <w:pPr>
              <w:jc w:val="left"/>
            </w:pPr>
            <w:r>
              <w:rPr>
                <w:rFonts w:ascii="Arial" w:hAnsi="Arial" w:eastAsia="Arial" w:cs="Arial"/>
                <w:b w:val="0"/>
                <w:bCs w:val="0"/>
                <w:color w:val="0D1F15"/>
                <w:sz w:val="19"/>
                <w:szCs w:val="19"/>
              </w:rPr>
              <w:t>Asset-specific (30 days to 24 months)</w:t>
            </w:r>
          </w:p>
        </w:tc>
      </w:tr>
      <w:tr w14:paraId="1F626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0B18B641">
            <w:pPr>
              <w:jc w:val="left"/>
            </w:pPr>
            <w:r>
              <w:rPr>
                <w:rFonts w:ascii="Arial" w:hAnsi="Arial" w:eastAsia="Arial" w:cs="Arial"/>
                <w:b/>
                <w:bCs/>
                <w:color w:val="0D1F15"/>
                <w:sz w:val="19"/>
                <w:szCs w:val="19"/>
              </w:rPr>
              <w:t>Target behaviour</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30B53A1E">
            <w:pPr>
              <w:jc w:val="left"/>
            </w:pPr>
            <w:r>
              <w:rPr>
                <w:rFonts w:ascii="Arial" w:hAnsi="Arial" w:eastAsia="Arial" w:cs="Arial"/>
                <w:b w:val="0"/>
                <w:bCs w:val="0"/>
                <w:color w:val="0D1F15"/>
                <w:sz w:val="19"/>
                <w:szCs w:val="19"/>
              </w:rPr>
              <w:t>Build savings discipline</w:t>
            </w:r>
          </w:p>
        </w:tc>
        <w:tc>
          <w:tcPr>
            <w:tcW w:w="3300" w:type="dxa"/>
            <w:tcBorders>
              <w:top w:val="nil"/>
              <w:left w:val="nil"/>
              <w:bottom w:val="nil"/>
              <w:right w:val="nil"/>
            </w:tcBorders>
            <w:shd w:val="clear" w:color="auto" w:fill="D4EFE0"/>
            <w:tcMar>
              <w:top w:w="80" w:type="dxa"/>
              <w:left w:w="120" w:type="dxa"/>
              <w:bottom w:w="80" w:type="dxa"/>
              <w:right w:w="120" w:type="dxa"/>
            </w:tcMar>
            <w:vAlign w:val="center"/>
          </w:tcPr>
          <w:p w14:paraId="62FBE6DB">
            <w:pPr>
              <w:jc w:val="left"/>
            </w:pPr>
            <w:r>
              <w:rPr>
                <w:rFonts w:ascii="Arial" w:hAnsi="Arial" w:eastAsia="Arial" w:cs="Arial"/>
                <w:b w:val="0"/>
                <w:bCs w:val="0"/>
                <w:color w:val="0D1F15"/>
                <w:sz w:val="19"/>
                <w:szCs w:val="19"/>
              </w:rPr>
              <w:t>Generate near-term income AND build wealth</w:t>
            </w:r>
          </w:p>
        </w:tc>
      </w:tr>
      <w:tr w14:paraId="276E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79F4A8A3">
            <w:pPr>
              <w:jc w:val="left"/>
            </w:pPr>
            <w:r>
              <w:rPr>
                <w:rFonts w:ascii="Arial" w:hAnsi="Arial" w:eastAsia="Arial" w:cs="Arial"/>
                <w:b/>
                <w:bCs/>
                <w:color w:val="0D1F15"/>
                <w:sz w:val="19"/>
                <w:szCs w:val="19"/>
              </w:rPr>
              <w:t>Feeder to NSSF</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21BE215A">
            <w:pPr>
              <w:jc w:val="left"/>
            </w:pPr>
            <w:r>
              <w:rPr>
                <w:rFonts w:ascii="Arial" w:hAnsi="Arial" w:eastAsia="Arial" w:cs="Arial"/>
                <w:b w:val="0"/>
                <w:bCs w:val="0"/>
                <w:color w:val="0D1F15"/>
                <w:sz w:val="19"/>
                <w:szCs w:val="19"/>
              </w:rPr>
              <w:t>IS the NSSF product</w:t>
            </w:r>
          </w:p>
        </w:tc>
        <w:tc>
          <w:tcPr>
            <w:tcW w:w="3300" w:type="dxa"/>
            <w:tcBorders>
              <w:top w:val="nil"/>
              <w:left w:val="nil"/>
              <w:bottom w:val="nil"/>
              <w:right w:val="nil"/>
            </w:tcBorders>
            <w:shd w:val="clear" w:color="auto" w:fill="FFFFFF"/>
            <w:tcMar>
              <w:top w:w="80" w:type="dxa"/>
              <w:left w:w="120" w:type="dxa"/>
              <w:bottom w:w="80" w:type="dxa"/>
              <w:right w:w="120" w:type="dxa"/>
            </w:tcMar>
            <w:vAlign w:val="center"/>
          </w:tcPr>
          <w:p w14:paraId="418604A9">
            <w:pPr>
              <w:jc w:val="left"/>
            </w:pPr>
            <w:r>
              <w:rPr>
                <w:rFonts w:ascii="Arial" w:hAnsi="Arial" w:eastAsia="Arial" w:cs="Arial"/>
                <w:b w:val="0"/>
                <w:bCs w:val="0"/>
                <w:color w:val="0D1F15"/>
                <w:sz w:val="19"/>
                <w:szCs w:val="19"/>
              </w:rPr>
              <w:t>Feeds members INTO SmartLife Flexi post-payout</w:t>
            </w:r>
          </w:p>
        </w:tc>
      </w:tr>
    </w:tbl>
    <w:p w14:paraId="248DE6A3">
      <w:pPr>
        <w:spacing w:before="80" w:after="0"/>
      </w:pPr>
    </w:p>
    <w:p w14:paraId="5796AF43">
      <w:pPr>
        <w:pStyle w:val="3"/>
        <w:spacing w:before="240" w:after="80"/>
        <w:rPr>
          <w:rFonts w:ascii="Arial" w:hAnsi="Arial" w:eastAsia="Arial" w:cs="Arial"/>
          <w:b/>
          <w:bCs/>
          <w:color w:val="0D1F15"/>
          <w:sz w:val="26"/>
          <w:szCs w:val="26"/>
        </w:rPr>
      </w:pPr>
      <w:r>
        <w:rPr>
          <w:rFonts w:ascii="Arial" w:hAnsi="Arial" w:eastAsia="Arial" w:cs="Arial"/>
          <w:b/>
          <w:bCs/>
          <w:color w:val="0D1F15"/>
          <w:sz w:val="26"/>
          <w:szCs w:val="26"/>
        </w:rPr>
        <w:t>9.3 How OwnIt and SmartLife Flexi Work Together — The Dual-Product Flywheel</w:t>
      </w:r>
    </w:p>
    <w:p w14:paraId="6823C343"/>
    <w:p w14:paraId="2F481436">
      <w:pPr>
        <w:spacing w:before="60" w:after="80"/>
        <w:jc w:val="left"/>
        <w:rPr>
          <w:rFonts w:ascii="Arial" w:hAnsi="Arial" w:eastAsia="Arial" w:cs="Arial"/>
          <w:color w:val="0D1F15"/>
        </w:rPr>
      </w:pPr>
      <w:r>
        <w:rPr>
          <w:rFonts w:ascii="Arial" w:hAnsi="Arial" w:eastAsia="Arial" w:cs="Arial"/>
          <w:b w:val="0"/>
          <w:bCs w:val="0"/>
          <w:color w:val="0D1F15"/>
          <w:sz w:val="22"/>
          <w:szCs w:val="22"/>
        </w:rPr>
        <w:t>The most powerful outcome of the OwnIt–NSSF partnership is not OwnIt alone, and not SmartLife Flexi alone. It is the flywheel created when both products operate in tandem, each feeding the other: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2"/>
        <w:gridCol w:w="8708"/>
      </w:tblGrid>
      <w:tr w14:paraId="7B1B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32BD3A97">
            <w:pPr>
              <w:jc w:val="left"/>
            </w:pPr>
            <w:r>
              <w:rPr>
                <w:rFonts w:ascii="Arial" w:hAnsi="Arial" w:eastAsia="Arial" w:cs="Arial"/>
                <w:b/>
                <w:bCs/>
                <w:color w:val="FFFFFF"/>
                <w:sz w:val="19"/>
                <w:szCs w:val="19"/>
              </w:rPr>
              <w:t>Step</w:t>
            </w:r>
          </w:p>
        </w:tc>
        <w:tc>
          <w:tcPr>
            <w:tcW w:w="8880" w:type="dxa"/>
            <w:tcBorders>
              <w:top w:val="nil"/>
              <w:left w:val="nil"/>
              <w:bottom w:val="nil"/>
              <w:right w:val="nil"/>
            </w:tcBorders>
            <w:shd w:val="clear" w:color="auto" w:fill="1A7A45"/>
            <w:tcMar>
              <w:top w:w="80" w:type="dxa"/>
              <w:left w:w="120" w:type="dxa"/>
              <w:bottom w:w="80" w:type="dxa"/>
              <w:right w:w="120" w:type="dxa"/>
            </w:tcMar>
            <w:vAlign w:val="center"/>
          </w:tcPr>
          <w:p w14:paraId="0A8BC627">
            <w:pPr>
              <w:jc w:val="left"/>
            </w:pPr>
            <w:r>
              <w:rPr>
                <w:rFonts w:ascii="Arial" w:hAnsi="Arial" w:eastAsia="Arial" w:cs="Arial"/>
                <w:b/>
                <w:bCs/>
                <w:color w:val="FFFFFF"/>
                <w:sz w:val="19"/>
                <w:szCs w:val="19"/>
              </w:rPr>
              <w:t>The Dual-Product Flywheel</w:t>
            </w:r>
          </w:p>
        </w:tc>
      </w:tr>
      <w:tr w14:paraId="4A2F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2755767F">
            <w:pPr>
              <w:jc w:val="center"/>
            </w:pPr>
            <w:r>
              <w:rPr>
                <w:rFonts w:ascii="Arial" w:hAnsi="Arial" w:eastAsia="Arial" w:cs="Arial"/>
                <w:b/>
                <w:bCs/>
                <w:color w:val="FFFFFF"/>
                <w:sz w:val="20"/>
                <w:szCs w:val="20"/>
              </w:rPr>
              <w:t>1</w:t>
            </w:r>
          </w:p>
        </w:tc>
        <w:tc>
          <w:tcPr>
            <w:tcW w:w="8880" w:type="dxa"/>
            <w:tcBorders>
              <w:top w:val="nil"/>
              <w:left w:val="nil"/>
              <w:bottom w:val="nil"/>
              <w:right w:val="nil"/>
            </w:tcBorders>
            <w:shd w:val="clear" w:color="auto" w:fill="D4EFE0"/>
            <w:tcMar>
              <w:top w:w="80" w:type="dxa"/>
              <w:left w:w="120" w:type="dxa"/>
              <w:bottom w:w="80" w:type="dxa"/>
              <w:right w:w="120" w:type="dxa"/>
            </w:tcMar>
            <w:vAlign w:val="center"/>
          </w:tcPr>
          <w:p w14:paraId="04120CDD">
            <w:pPr>
              <w:jc w:val="left"/>
            </w:pPr>
            <w:r>
              <w:rPr>
                <w:rFonts w:ascii="Arial" w:hAnsi="Arial" w:eastAsia="Arial" w:cs="Arial"/>
                <w:b w:val="0"/>
                <w:bCs w:val="0"/>
                <w:color w:val="0D1F15"/>
                <w:sz w:val="19"/>
                <w:szCs w:val="19"/>
              </w:rPr>
              <w:t>A 22-year-old market trader registers on OwnIt Uganda with their NIN. They are instantly auto-enrolled as an NSSF member.</w:t>
            </w:r>
          </w:p>
        </w:tc>
      </w:tr>
      <w:tr w14:paraId="2A90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003F87"/>
            <w:tcMar>
              <w:top w:w="80" w:type="dxa"/>
              <w:left w:w="120" w:type="dxa"/>
              <w:bottom w:w="80" w:type="dxa"/>
              <w:right w:w="120" w:type="dxa"/>
            </w:tcMar>
            <w:vAlign w:val="center"/>
          </w:tcPr>
          <w:p w14:paraId="14034D61">
            <w:pPr>
              <w:jc w:val="center"/>
            </w:pPr>
            <w:r>
              <w:rPr>
                <w:rFonts w:ascii="Arial" w:hAnsi="Arial" w:eastAsia="Arial" w:cs="Arial"/>
                <w:b/>
                <w:bCs/>
                <w:color w:val="FFFFFF"/>
                <w:sz w:val="20"/>
                <w:szCs w:val="20"/>
              </w:rPr>
              <w:t>2</w:t>
            </w:r>
          </w:p>
        </w:tc>
        <w:tc>
          <w:tcPr>
            <w:tcW w:w="8880" w:type="dxa"/>
            <w:tcBorders>
              <w:top w:val="nil"/>
              <w:left w:val="nil"/>
              <w:bottom w:val="nil"/>
              <w:right w:val="nil"/>
            </w:tcBorders>
            <w:shd w:val="clear" w:color="auto" w:fill="D6E4F7"/>
            <w:tcMar>
              <w:top w:w="80" w:type="dxa"/>
              <w:left w:w="120" w:type="dxa"/>
              <w:bottom w:w="80" w:type="dxa"/>
              <w:right w:w="120" w:type="dxa"/>
            </w:tcMar>
            <w:vAlign w:val="center"/>
          </w:tcPr>
          <w:p w14:paraId="2D070465">
            <w:pPr>
              <w:jc w:val="left"/>
            </w:pPr>
            <w:r>
              <w:rPr>
                <w:rFonts w:ascii="Arial" w:hAnsi="Arial" w:eastAsia="Arial" w:cs="Arial"/>
                <w:b w:val="0"/>
                <w:bCs w:val="0"/>
                <w:color w:val="0D1F15"/>
                <w:sz w:val="19"/>
                <w:szCs w:val="19"/>
              </w:rPr>
              <w:t>They invest UGX 100,000 in a maize commodity lot on OwnIt. In 75 days, they earn a UGX 28,000 return.</w:t>
            </w:r>
          </w:p>
        </w:tc>
      </w:tr>
      <w:tr w14:paraId="42C75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6EF7CE9D">
            <w:pPr>
              <w:jc w:val="center"/>
            </w:pPr>
            <w:r>
              <w:rPr>
                <w:rFonts w:ascii="Arial" w:hAnsi="Arial" w:eastAsia="Arial" w:cs="Arial"/>
                <w:b/>
                <w:bCs/>
                <w:color w:val="FFFFFF"/>
                <w:sz w:val="20"/>
                <w:szCs w:val="20"/>
              </w:rPr>
              <w:t>3</w:t>
            </w:r>
          </w:p>
        </w:tc>
        <w:tc>
          <w:tcPr>
            <w:tcW w:w="8880" w:type="dxa"/>
            <w:tcBorders>
              <w:top w:val="nil"/>
              <w:left w:val="nil"/>
              <w:bottom w:val="nil"/>
              <w:right w:val="nil"/>
            </w:tcBorders>
            <w:shd w:val="clear" w:color="auto" w:fill="D4EFE0"/>
            <w:tcMar>
              <w:top w:w="80" w:type="dxa"/>
              <w:left w:w="120" w:type="dxa"/>
              <w:bottom w:w="80" w:type="dxa"/>
              <w:right w:w="120" w:type="dxa"/>
            </w:tcMar>
            <w:vAlign w:val="center"/>
          </w:tcPr>
          <w:p w14:paraId="3EE01F87">
            <w:pPr>
              <w:jc w:val="left"/>
            </w:pPr>
            <w:r>
              <w:rPr>
                <w:rFonts w:ascii="Arial" w:hAnsi="Arial" w:eastAsia="Arial" w:cs="Arial"/>
                <w:b w:val="0"/>
                <w:bCs w:val="0"/>
                <w:color w:val="0D1F15"/>
                <w:sz w:val="19"/>
                <w:szCs w:val="19"/>
              </w:rPr>
              <w:t>Before the return hits their OwnIt wallet, NSSF deducts 3% (UGX 840 operating revenue) and 2% pension levy (UGX 560, invested by NSSF on their behalf).</w:t>
            </w:r>
          </w:p>
        </w:tc>
      </w:tr>
      <w:tr w14:paraId="77E8C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003F87"/>
            <w:tcMar>
              <w:top w:w="80" w:type="dxa"/>
              <w:left w:w="120" w:type="dxa"/>
              <w:bottom w:w="80" w:type="dxa"/>
              <w:right w:w="120" w:type="dxa"/>
            </w:tcMar>
            <w:vAlign w:val="center"/>
          </w:tcPr>
          <w:p w14:paraId="57495B21">
            <w:pPr>
              <w:jc w:val="center"/>
            </w:pPr>
            <w:r>
              <w:rPr>
                <w:rFonts w:ascii="Arial" w:hAnsi="Arial" w:eastAsia="Arial" w:cs="Arial"/>
                <w:b/>
                <w:bCs/>
                <w:color w:val="FFFFFF"/>
                <w:sz w:val="20"/>
                <w:szCs w:val="20"/>
              </w:rPr>
              <w:t>4</w:t>
            </w:r>
          </w:p>
        </w:tc>
        <w:tc>
          <w:tcPr>
            <w:tcW w:w="8880" w:type="dxa"/>
            <w:tcBorders>
              <w:top w:val="nil"/>
              <w:left w:val="nil"/>
              <w:bottom w:val="nil"/>
              <w:right w:val="nil"/>
            </w:tcBorders>
            <w:shd w:val="clear" w:color="auto" w:fill="D6E4F7"/>
            <w:tcMar>
              <w:top w:w="80" w:type="dxa"/>
              <w:left w:w="120" w:type="dxa"/>
              <w:bottom w:w="80" w:type="dxa"/>
              <w:right w:w="120" w:type="dxa"/>
            </w:tcMar>
            <w:vAlign w:val="center"/>
          </w:tcPr>
          <w:p w14:paraId="6245E8DD">
            <w:pPr>
              <w:jc w:val="left"/>
            </w:pPr>
            <w:r>
              <w:rPr>
                <w:rFonts w:ascii="Arial" w:hAnsi="Arial" w:eastAsia="Arial" w:cs="Arial"/>
                <w:b w:val="0"/>
                <w:bCs w:val="0"/>
                <w:color w:val="0D1F15"/>
                <w:sz w:val="19"/>
                <w:szCs w:val="19"/>
              </w:rPr>
              <w:t>The OwnIt app displays: “You earned UGX 27,160. Save UGX 10,000 to your SmartLife Flexi goal?” One tap opens a SmartLife Flexi ‘Emergency Fund’ sub-account.</w:t>
            </w:r>
          </w:p>
        </w:tc>
      </w:tr>
      <w:tr w14:paraId="212B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794BD656">
            <w:pPr>
              <w:jc w:val="center"/>
            </w:pPr>
            <w:r>
              <w:rPr>
                <w:rFonts w:ascii="Arial" w:hAnsi="Arial" w:eastAsia="Arial" w:cs="Arial"/>
                <w:b/>
                <w:bCs/>
                <w:color w:val="FFFFFF"/>
                <w:sz w:val="20"/>
                <w:szCs w:val="20"/>
              </w:rPr>
              <w:t>5</w:t>
            </w:r>
          </w:p>
        </w:tc>
        <w:tc>
          <w:tcPr>
            <w:tcW w:w="8880" w:type="dxa"/>
            <w:tcBorders>
              <w:top w:val="nil"/>
              <w:left w:val="nil"/>
              <w:bottom w:val="nil"/>
              <w:right w:val="nil"/>
            </w:tcBorders>
            <w:shd w:val="clear" w:color="auto" w:fill="D4EFE0"/>
            <w:tcMar>
              <w:top w:w="80" w:type="dxa"/>
              <w:left w:w="120" w:type="dxa"/>
              <w:bottom w:w="80" w:type="dxa"/>
              <w:right w:w="120" w:type="dxa"/>
            </w:tcMar>
            <w:vAlign w:val="center"/>
          </w:tcPr>
          <w:p w14:paraId="093F3E65">
            <w:pPr>
              <w:jc w:val="left"/>
            </w:pPr>
            <w:r>
              <w:rPr>
                <w:rFonts w:ascii="Arial" w:hAnsi="Arial" w:eastAsia="Arial" w:cs="Arial"/>
                <w:b w:val="0"/>
                <w:bCs w:val="0"/>
                <w:color w:val="0D1F15"/>
                <w:sz w:val="19"/>
                <w:szCs w:val="19"/>
              </w:rPr>
              <w:t>The member is now: (a) an active OwnIt investor; (b) a SmartLife Flexi saver; (c) an NSSF member with a growing pension pot — all from a single registration flow.</w:t>
            </w:r>
          </w:p>
        </w:tc>
      </w:tr>
      <w:tr w14:paraId="1E0C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003F87"/>
            <w:tcMar>
              <w:top w:w="80" w:type="dxa"/>
              <w:left w:w="120" w:type="dxa"/>
              <w:bottom w:w="80" w:type="dxa"/>
              <w:right w:w="120" w:type="dxa"/>
            </w:tcMar>
            <w:vAlign w:val="center"/>
          </w:tcPr>
          <w:p w14:paraId="2846C316">
            <w:pPr>
              <w:jc w:val="center"/>
            </w:pPr>
            <w:r>
              <w:rPr>
                <w:rFonts w:ascii="Arial" w:hAnsi="Arial" w:eastAsia="Arial" w:cs="Arial"/>
                <w:b/>
                <w:bCs/>
                <w:color w:val="FFFFFF"/>
                <w:sz w:val="20"/>
                <w:szCs w:val="20"/>
              </w:rPr>
              <w:t>6</w:t>
            </w:r>
          </w:p>
        </w:tc>
        <w:tc>
          <w:tcPr>
            <w:tcW w:w="8880" w:type="dxa"/>
            <w:tcBorders>
              <w:top w:val="nil"/>
              <w:left w:val="nil"/>
              <w:bottom w:val="nil"/>
              <w:right w:val="nil"/>
            </w:tcBorders>
            <w:shd w:val="clear" w:color="auto" w:fill="D6E4F7"/>
            <w:tcMar>
              <w:top w:w="80" w:type="dxa"/>
              <w:left w:w="120" w:type="dxa"/>
              <w:bottom w:w="80" w:type="dxa"/>
              <w:right w:w="120" w:type="dxa"/>
            </w:tcMar>
            <w:vAlign w:val="center"/>
          </w:tcPr>
          <w:p w14:paraId="64FB8105">
            <w:pPr>
              <w:jc w:val="left"/>
            </w:pPr>
            <w:r>
              <w:rPr>
                <w:rFonts w:ascii="Arial" w:hAnsi="Arial" w:eastAsia="Arial" w:cs="Arial"/>
                <w:b w:val="0"/>
                <w:bCs w:val="0"/>
                <w:color w:val="0D1F15"/>
                <w:sz w:val="19"/>
                <w:szCs w:val="19"/>
              </w:rPr>
              <w:t>Every subsequent OwnIt payout reinforces the cycle: invest, earn, save, grow. NSSF earns revenue at every stage and gains a member who is engaged across three distinct product touchpoints.</w:t>
            </w:r>
          </w:p>
        </w:tc>
      </w:tr>
    </w:tbl>
    <w:p w14:paraId="0E9B943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8A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DECEA"/>
            <w:tcMar>
              <w:top w:w="120" w:type="dxa"/>
              <w:left w:w="200" w:type="dxa"/>
              <w:bottom w:w="120" w:type="dxa"/>
              <w:right w:w="160" w:type="dxa"/>
            </w:tcMar>
          </w:tcPr>
          <w:p w14:paraId="0C029170">
            <w:r>
              <w:rPr>
                <w:rFonts w:ascii="Arial" w:hAnsi="Arial" w:eastAsia="Arial" w:cs="Arial"/>
                <w:b w:val="0"/>
                <w:bCs w:val="0"/>
                <w:color w:val="0D1F15"/>
                <w:sz w:val="21"/>
                <w:szCs w:val="21"/>
              </w:rPr>
              <w:t>This flywheel is the single most important differentiator in this proposal. SmartLife Flexi, operating alone, acquires savers. OwnIt, operating alone, acquires investors. Together, they create NSSF members who do both — and the value of a member who is simultaneously investing, saving, and building a pension pot is exponentially higher than a member who does only one.</w:t>
            </w:r>
          </w:p>
        </w:tc>
      </w:tr>
    </w:tbl>
    <w:p w14:paraId="26325F2F">
      <w:pPr>
        <w:spacing w:before="240" w:after="80"/>
      </w:pPr>
      <w:r>
        <w:rPr>
          <w:rFonts w:ascii="Arial" w:hAnsi="Arial" w:eastAsia="Arial" w:cs="Arial"/>
          <w:b/>
          <w:bCs/>
          <w:color w:val="0D1F15"/>
          <w:sz w:val="26"/>
          <w:szCs w:val="26"/>
        </w:rPr>
        <w:t>9.4 Why OwnIt Outperforms SmartLife Flexi on Gen Z Acquisition</w:t>
      </w:r>
    </w:p>
    <w:p w14:paraId="60A52B1E">
      <w:pPr>
        <w:spacing w:before="60" w:after="80"/>
        <w:jc w:val="left"/>
      </w:pPr>
      <w:r>
        <w:rPr>
          <w:rFonts w:ascii="Arial" w:hAnsi="Arial" w:eastAsia="Arial" w:cs="Arial"/>
          <w:b w:val="0"/>
          <w:bCs w:val="0"/>
          <w:color w:val="0D1F15"/>
          <w:sz w:val="22"/>
          <w:szCs w:val="22"/>
        </w:rPr>
        <w:t>SmartLife Flexi has demonstrated extraordinary traction with micro-savers. But its design — a minimum 1-year lock-in, monthly interest crediting, and a savings-based value proposition — is optimised for savers, not investors. Uganda’s Gen Z is aspirationally investment-oriented: they want returns, ownership, and visibility. They want to “own a piece” of the economy they observe but cannot access.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58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003F87"/>
            <w:tcMar>
              <w:top w:w="80" w:type="dxa"/>
              <w:left w:w="120" w:type="dxa"/>
              <w:bottom w:w="80" w:type="dxa"/>
              <w:right w:w="120" w:type="dxa"/>
            </w:tcMar>
            <w:vAlign w:val="center"/>
          </w:tcPr>
          <w:p w14:paraId="7214568E">
            <w:pPr>
              <w:jc w:val="left"/>
            </w:pPr>
            <w:r>
              <w:rPr>
                <w:rFonts w:ascii="Arial" w:hAnsi="Arial" w:eastAsia="Arial" w:cs="Arial"/>
                <w:b/>
                <w:bCs/>
                <w:color w:val="FFFFFF"/>
                <w:sz w:val="19"/>
                <w:szCs w:val="19"/>
              </w:rPr>
              <w:t>Gen Z Financial Aspiration</w:t>
            </w:r>
          </w:p>
        </w:tc>
        <w:tc>
          <w:tcPr>
            <w:tcW w:w="4680" w:type="dxa"/>
            <w:tcBorders>
              <w:top w:val="nil"/>
              <w:left w:val="nil"/>
              <w:bottom w:val="nil"/>
              <w:right w:val="nil"/>
            </w:tcBorders>
            <w:shd w:val="clear" w:color="auto" w:fill="003F87"/>
            <w:tcMar>
              <w:top w:w="80" w:type="dxa"/>
              <w:left w:w="120" w:type="dxa"/>
              <w:bottom w:w="80" w:type="dxa"/>
              <w:right w:w="120" w:type="dxa"/>
            </w:tcMar>
            <w:vAlign w:val="center"/>
          </w:tcPr>
          <w:p w14:paraId="22FDFEA4">
            <w:pPr>
              <w:jc w:val="left"/>
            </w:pPr>
            <w:r>
              <w:rPr>
                <w:rFonts w:ascii="Arial" w:hAnsi="Arial" w:eastAsia="Arial" w:cs="Arial"/>
                <w:b/>
                <w:bCs/>
                <w:color w:val="FFFFFF"/>
                <w:sz w:val="19"/>
                <w:szCs w:val="19"/>
              </w:rPr>
              <w:t>Which Product Addresses It</w:t>
            </w:r>
          </w:p>
        </w:tc>
      </w:tr>
      <w:tr w14:paraId="2A56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6532B3D6">
            <w:pPr>
              <w:jc w:val="left"/>
            </w:pPr>
            <w:r>
              <w:rPr>
                <w:rFonts w:ascii="Arial" w:hAnsi="Arial" w:eastAsia="Arial" w:cs="Arial"/>
                <w:b/>
                <w:bCs/>
                <w:color w:val="0D1F15"/>
                <w:sz w:val="19"/>
                <w:szCs w:val="19"/>
              </w:rPr>
              <w:t>I want to own part of a building in Ntinda</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E7D42F6">
            <w:pPr>
              <w:jc w:val="left"/>
            </w:pPr>
            <w:r>
              <w:rPr>
                <w:rFonts w:ascii="Arial" w:hAnsi="Arial" w:eastAsia="Arial" w:cs="Arial"/>
                <w:b w:val="0"/>
                <w:bCs w:val="0"/>
                <w:color w:val="0D1F15"/>
                <w:sz w:val="19"/>
                <w:szCs w:val="19"/>
              </w:rPr>
              <w:t>OwnIt (Real Estate class, from UGX 50,000)</w:t>
            </w:r>
          </w:p>
        </w:tc>
      </w:tr>
      <w:tr w14:paraId="14F0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0AAF9CA9">
            <w:pPr>
              <w:jc w:val="left"/>
            </w:pPr>
            <w:r>
              <w:rPr>
                <w:rFonts w:ascii="Arial" w:hAnsi="Arial" w:eastAsia="Arial" w:cs="Arial"/>
                <w:b/>
                <w:bCs/>
                <w:color w:val="0D1F15"/>
                <w:sz w:val="19"/>
                <w:szCs w:val="19"/>
              </w:rPr>
              <w:t>I want to earn something in the next 3 months</w:t>
            </w:r>
          </w:p>
        </w:tc>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6803BF03">
            <w:pPr>
              <w:jc w:val="left"/>
            </w:pPr>
            <w:r>
              <w:rPr>
                <w:rFonts w:ascii="Arial" w:hAnsi="Arial" w:eastAsia="Arial" w:cs="Arial"/>
                <w:b w:val="0"/>
                <w:bCs w:val="0"/>
                <w:color w:val="0D1F15"/>
                <w:sz w:val="19"/>
                <w:szCs w:val="19"/>
              </w:rPr>
              <w:t>OwnIt (Agri/Petroleum cycles, 30–90 days)</w:t>
            </w:r>
          </w:p>
        </w:tc>
      </w:tr>
      <w:tr w14:paraId="40EB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9F68A39">
            <w:pPr>
              <w:jc w:val="left"/>
            </w:pPr>
            <w:r>
              <w:rPr>
                <w:rFonts w:ascii="Arial" w:hAnsi="Arial" w:eastAsia="Arial" w:cs="Arial"/>
                <w:b/>
                <w:bCs/>
                <w:color w:val="0D1F15"/>
                <w:sz w:val="19"/>
                <w:szCs w:val="19"/>
              </w:rPr>
              <w:t>I want to build a savings cushion for emergencies</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331733D">
            <w:pPr>
              <w:jc w:val="left"/>
            </w:pPr>
            <w:r>
              <w:rPr>
                <w:rFonts w:ascii="Arial" w:hAnsi="Arial" w:eastAsia="Arial" w:cs="Arial"/>
                <w:b w:val="0"/>
                <w:bCs w:val="0"/>
                <w:color w:val="0D1F15"/>
                <w:sz w:val="19"/>
                <w:szCs w:val="19"/>
              </w:rPr>
              <w:t>SmartLife Flexi (goal sub-account, UGX 5,000 min)</w:t>
            </w:r>
          </w:p>
        </w:tc>
      </w:tr>
      <w:tr w14:paraId="3A2D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485EBDB2">
            <w:pPr>
              <w:jc w:val="left"/>
            </w:pPr>
            <w:r>
              <w:rPr>
                <w:rFonts w:ascii="Arial" w:hAnsi="Arial" w:eastAsia="Arial" w:cs="Arial"/>
                <w:b/>
                <w:bCs/>
                <w:color w:val="0D1F15"/>
                <w:sz w:val="19"/>
                <w:szCs w:val="19"/>
              </w:rPr>
              <w:t>I want to invest in government bonds like the rich do</w:t>
            </w:r>
          </w:p>
        </w:tc>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56D0CF09">
            <w:pPr>
              <w:jc w:val="left"/>
            </w:pPr>
            <w:r>
              <w:rPr>
                <w:rFonts w:ascii="Arial" w:hAnsi="Arial" w:eastAsia="Arial" w:cs="Arial"/>
                <w:b w:val="0"/>
                <w:bCs w:val="0"/>
                <w:color w:val="0D1F15"/>
                <w:sz w:val="19"/>
                <w:szCs w:val="19"/>
              </w:rPr>
              <w:t>OwnIt (T-Bills class, fractional from UGX 50,000)</w:t>
            </w:r>
          </w:p>
        </w:tc>
      </w:tr>
      <w:tr w14:paraId="5819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348CBE21">
            <w:pPr>
              <w:jc w:val="left"/>
            </w:pPr>
            <w:r>
              <w:rPr>
                <w:rFonts w:ascii="Arial" w:hAnsi="Arial" w:eastAsia="Arial" w:cs="Arial"/>
                <w:b/>
                <w:bCs/>
                <w:color w:val="0D1F15"/>
                <w:sz w:val="19"/>
                <w:szCs w:val="19"/>
              </w:rPr>
              <w:t>I want to save for my child’s school fees</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3B285769">
            <w:pPr>
              <w:jc w:val="left"/>
            </w:pPr>
            <w:r>
              <w:rPr>
                <w:rFonts w:ascii="Arial" w:hAnsi="Arial" w:eastAsia="Arial" w:cs="Arial"/>
                <w:b w:val="0"/>
                <w:bCs w:val="0"/>
                <w:color w:val="0D1F15"/>
                <w:sz w:val="19"/>
                <w:szCs w:val="19"/>
              </w:rPr>
              <w:t>SmartLife Flexi (minor sub-account, monthly interest)</w:t>
            </w:r>
          </w:p>
        </w:tc>
      </w:tr>
      <w:tr w14:paraId="4C45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400A5F92">
            <w:pPr>
              <w:jc w:val="left"/>
            </w:pPr>
            <w:r>
              <w:rPr>
                <w:rFonts w:ascii="Arial" w:hAnsi="Arial" w:eastAsia="Arial" w:cs="Arial"/>
                <w:b/>
                <w:bCs/>
                <w:color w:val="0D1F15"/>
                <w:sz w:val="19"/>
                <w:szCs w:val="19"/>
              </w:rPr>
              <w:t>I want to own shares in MTN Uganda or Stanbic</w:t>
            </w:r>
          </w:p>
        </w:tc>
        <w:tc>
          <w:tcPr>
            <w:tcW w:w="4680" w:type="dxa"/>
            <w:tcBorders>
              <w:top w:val="nil"/>
              <w:left w:val="nil"/>
              <w:bottom w:val="nil"/>
              <w:right w:val="nil"/>
            </w:tcBorders>
            <w:shd w:val="clear" w:color="auto" w:fill="D6E4F7"/>
            <w:tcMar>
              <w:top w:w="80" w:type="dxa"/>
              <w:left w:w="120" w:type="dxa"/>
              <w:bottom w:w="80" w:type="dxa"/>
              <w:right w:w="120" w:type="dxa"/>
            </w:tcMar>
            <w:vAlign w:val="center"/>
          </w:tcPr>
          <w:p w14:paraId="39FD72EC">
            <w:pPr>
              <w:jc w:val="left"/>
            </w:pPr>
            <w:r>
              <w:rPr>
                <w:rFonts w:ascii="Arial" w:hAnsi="Arial" w:eastAsia="Arial" w:cs="Arial"/>
                <w:b w:val="0"/>
                <w:bCs w:val="0"/>
                <w:color w:val="0D1F15"/>
                <w:sz w:val="19"/>
                <w:szCs w:val="19"/>
              </w:rPr>
              <w:t>OwnIt (Stocks class, USE-listed equities)</w:t>
            </w:r>
          </w:p>
        </w:tc>
      </w:tr>
      <w:tr w14:paraId="5E74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77071BBB">
            <w:pPr>
              <w:jc w:val="left"/>
            </w:pPr>
            <w:r>
              <w:rPr>
                <w:rFonts w:ascii="Arial" w:hAnsi="Arial" w:eastAsia="Arial" w:cs="Arial"/>
                <w:b/>
                <w:bCs/>
                <w:color w:val="0D1F15"/>
                <w:sz w:val="19"/>
                <w:szCs w:val="19"/>
              </w:rPr>
              <w:t>I want to build long-term financial security</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4CE6329B">
            <w:pPr>
              <w:jc w:val="left"/>
            </w:pPr>
            <w:r>
              <w:rPr>
                <w:rFonts w:ascii="Arial" w:hAnsi="Arial" w:eastAsia="Arial" w:cs="Arial"/>
                <w:b w:val="0"/>
                <w:bCs w:val="0"/>
                <w:color w:val="0D1F15"/>
                <w:sz w:val="19"/>
                <w:szCs w:val="19"/>
              </w:rPr>
              <w:t>SmartLife Flexi + OwnIt pension levy (both together)</w:t>
            </w:r>
          </w:p>
        </w:tc>
      </w:tr>
    </w:tbl>
    <w:p w14:paraId="24D5EE8F">
      <w:pPr>
        <w:spacing w:before="240" w:after="80"/>
        <w:rPr>
          <w:rFonts w:ascii="Arial" w:hAnsi="Arial" w:eastAsia="Arial" w:cs="Arial"/>
          <w:b/>
          <w:bCs/>
          <w:color w:val="0D1F15"/>
          <w:sz w:val="26"/>
          <w:szCs w:val="26"/>
        </w:rPr>
      </w:pPr>
    </w:p>
    <w:p w14:paraId="39752EA9">
      <w:pPr>
        <w:spacing w:before="240" w:after="80"/>
      </w:pPr>
      <w:r>
        <w:rPr>
          <w:rFonts w:ascii="Arial" w:hAnsi="Arial" w:eastAsia="Arial" w:cs="Arial"/>
          <w:b/>
          <w:bCs/>
          <w:color w:val="0D1F15"/>
          <w:sz w:val="26"/>
          <w:szCs w:val="26"/>
        </w:rPr>
        <w:t>9.5 OwnIt’s Competitive Edge — Why No Competitor Can Replicate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6600"/>
      </w:tblGrid>
      <w:tr w14:paraId="674C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1A7A45"/>
            <w:tcMar>
              <w:top w:w="80" w:type="dxa"/>
              <w:left w:w="120" w:type="dxa"/>
              <w:bottom w:w="80" w:type="dxa"/>
              <w:right w:w="120" w:type="dxa"/>
            </w:tcMar>
            <w:vAlign w:val="center"/>
          </w:tcPr>
          <w:p w14:paraId="103CD537">
            <w:pPr>
              <w:jc w:val="left"/>
            </w:pPr>
            <w:r>
              <w:rPr>
                <w:rFonts w:ascii="Arial" w:hAnsi="Arial" w:eastAsia="Arial" w:cs="Arial"/>
                <w:b/>
                <w:bCs/>
                <w:color w:val="FFFFFF"/>
                <w:sz w:val="19"/>
                <w:szCs w:val="19"/>
              </w:rPr>
              <w:t>Competitive Advantage</w:t>
            </w:r>
          </w:p>
        </w:tc>
        <w:tc>
          <w:tcPr>
            <w:tcW w:w="6600" w:type="dxa"/>
            <w:tcBorders>
              <w:top w:val="nil"/>
              <w:left w:val="nil"/>
              <w:bottom w:val="nil"/>
              <w:right w:val="nil"/>
            </w:tcBorders>
            <w:shd w:val="clear" w:color="auto" w:fill="1A7A45"/>
            <w:tcMar>
              <w:top w:w="80" w:type="dxa"/>
              <w:left w:w="120" w:type="dxa"/>
              <w:bottom w:w="80" w:type="dxa"/>
              <w:right w:w="120" w:type="dxa"/>
            </w:tcMar>
            <w:vAlign w:val="center"/>
          </w:tcPr>
          <w:p w14:paraId="2A47246F">
            <w:pPr>
              <w:jc w:val="left"/>
            </w:pPr>
            <w:r>
              <w:rPr>
                <w:rFonts w:ascii="Arial" w:hAnsi="Arial" w:eastAsia="Arial" w:cs="Arial"/>
                <w:b/>
                <w:bCs/>
                <w:color w:val="FFFFFF"/>
                <w:sz w:val="19"/>
                <w:szCs w:val="19"/>
              </w:rPr>
              <w:t>Why It Cannot Be Replicated</w:t>
            </w:r>
          </w:p>
        </w:tc>
      </w:tr>
      <w:tr w14:paraId="5680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479137C6">
            <w:pPr>
              <w:jc w:val="left"/>
            </w:pPr>
            <w:r>
              <w:rPr>
                <w:rFonts w:ascii="Arial" w:hAnsi="Arial" w:eastAsia="Arial" w:cs="Arial"/>
                <w:b/>
                <w:bCs/>
                <w:color w:val="0D1F15"/>
                <w:sz w:val="19"/>
                <w:szCs w:val="19"/>
              </w:rPr>
              <w:t>NSSF co-brand</w:t>
            </w:r>
          </w:p>
        </w:tc>
        <w:tc>
          <w:tcPr>
            <w:tcW w:w="6600" w:type="dxa"/>
            <w:tcBorders>
              <w:top w:val="nil"/>
              <w:left w:val="nil"/>
              <w:bottom w:val="nil"/>
              <w:right w:val="nil"/>
            </w:tcBorders>
            <w:shd w:val="clear" w:color="auto" w:fill="FFFFFF"/>
            <w:tcMar>
              <w:top w:w="80" w:type="dxa"/>
              <w:left w:w="120" w:type="dxa"/>
              <w:bottom w:w="80" w:type="dxa"/>
              <w:right w:w="120" w:type="dxa"/>
            </w:tcMar>
            <w:vAlign w:val="center"/>
          </w:tcPr>
          <w:p w14:paraId="2C5A2077">
            <w:pPr>
              <w:jc w:val="left"/>
            </w:pPr>
            <w:r>
              <w:rPr>
                <w:rFonts w:ascii="Arial" w:hAnsi="Arial" w:eastAsia="Arial" w:cs="Arial"/>
                <w:b w:val="0"/>
                <w:bCs w:val="0"/>
                <w:color w:val="0D1F15"/>
                <w:sz w:val="19"/>
                <w:szCs w:val="19"/>
              </w:rPr>
              <w:t>No private fintech can attach NSSF’s institutional trust to its product. The NSSF partnership is a structural moat, not a feature.</w:t>
            </w:r>
          </w:p>
        </w:tc>
      </w:tr>
      <w:tr w14:paraId="24CE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19D73A77">
            <w:pPr>
              <w:jc w:val="left"/>
            </w:pPr>
            <w:r>
              <w:rPr>
                <w:rFonts w:ascii="Arial" w:hAnsi="Arial" w:eastAsia="Arial" w:cs="Arial"/>
                <w:b/>
                <w:bCs/>
                <w:color w:val="0D1F15"/>
                <w:sz w:val="19"/>
                <w:szCs w:val="19"/>
              </w:rPr>
              <w:t>9 asset classes, one platform</w:t>
            </w:r>
          </w:p>
        </w:tc>
        <w:tc>
          <w:tcPr>
            <w:tcW w:w="6600" w:type="dxa"/>
            <w:tcBorders>
              <w:top w:val="nil"/>
              <w:left w:val="nil"/>
              <w:bottom w:val="nil"/>
              <w:right w:val="nil"/>
            </w:tcBorders>
            <w:shd w:val="clear" w:color="auto" w:fill="D4EFE0"/>
            <w:tcMar>
              <w:top w:w="80" w:type="dxa"/>
              <w:left w:w="120" w:type="dxa"/>
              <w:bottom w:w="80" w:type="dxa"/>
              <w:right w:w="120" w:type="dxa"/>
            </w:tcMar>
            <w:vAlign w:val="center"/>
          </w:tcPr>
          <w:p w14:paraId="1720CB78">
            <w:pPr>
              <w:jc w:val="left"/>
            </w:pPr>
            <w:r>
              <w:rPr>
                <w:rFonts w:ascii="Arial" w:hAnsi="Arial" w:eastAsia="Arial" w:cs="Arial"/>
                <w:b w:val="0"/>
                <w:bCs w:val="0"/>
                <w:color w:val="0D1F15"/>
                <w:sz w:val="19"/>
                <w:szCs w:val="19"/>
              </w:rPr>
              <w:t>No platform in Uganda offers multi-asset fractional investment. Building equivalent breadth would take a competitor 3–5 years.</w:t>
            </w:r>
          </w:p>
        </w:tc>
      </w:tr>
      <w:tr w14:paraId="2080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00A0036A">
            <w:pPr>
              <w:jc w:val="left"/>
            </w:pPr>
            <w:r>
              <w:rPr>
                <w:rFonts w:ascii="Arial" w:hAnsi="Arial" w:eastAsia="Arial" w:cs="Arial"/>
                <w:b/>
                <w:bCs/>
                <w:color w:val="0D1F15"/>
                <w:sz w:val="19"/>
                <w:szCs w:val="19"/>
              </w:rPr>
              <w:t>Auto-enrollment to NSSF</w:t>
            </w:r>
          </w:p>
        </w:tc>
        <w:tc>
          <w:tcPr>
            <w:tcW w:w="6600" w:type="dxa"/>
            <w:tcBorders>
              <w:top w:val="nil"/>
              <w:left w:val="nil"/>
              <w:bottom w:val="nil"/>
              <w:right w:val="nil"/>
            </w:tcBorders>
            <w:shd w:val="clear" w:color="auto" w:fill="FFFFFF"/>
            <w:tcMar>
              <w:top w:w="80" w:type="dxa"/>
              <w:left w:w="120" w:type="dxa"/>
              <w:bottom w:w="80" w:type="dxa"/>
              <w:right w:w="120" w:type="dxa"/>
            </w:tcMar>
            <w:vAlign w:val="center"/>
          </w:tcPr>
          <w:p w14:paraId="1AF7BBD6">
            <w:pPr>
              <w:jc w:val="left"/>
            </w:pPr>
            <w:r>
              <w:rPr>
                <w:rFonts w:ascii="Arial" w:hAnsi="Arial" w:eastAsia="Arial" w:cs="Arial"/>
                <w:b w:val="0"/>
                <w:bCs w:val="0"/>
                <w:color w:val="0D1F15"/>
                <w:sz w:val="19"/>
                <w:szCs w:val="19"/>
              </w:rPr>
              <w:t>Requires NSSF’s cooperation and NIN API access. Cannot be replicated without NSSF’s explicit participation.</w:t>
            </w:r>
          </w:p>
        </w:tc>
      </w:tr>
      <w:tr w14:paraId="1665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07AAF327">
            <w:pPr>
              <w:jc w:val="left"/>
            </w:pPr>
            <w:r>
              <w:rPr>
                <w:rFonts w:ascii="Arial" w:hAnsi="Arial" w:eastAsia="Arial" w:cs="Arial"/>
                <w:b/>
                <w:bCs/>
                <w:color w:val="0D1F15"/>
                <w:sz w:val="19"/>
                <w:szCs w:val="19"/>
              </w:rPr>
              <w:t>SmartLife Flexi integration</w:t>
            </w:r>
          </w:p>
        </w:tc>
        <w:tc>
          <w:tcPr>
            <w:tcW w:w="6600" w:type="dxa"/>
            <w:tcBorders>
              <w:top w:val="nil"/>
              <w:left w:val="nil"/>
              <w:bottom w:val="nil"/>
              <w:right w:val="nil"/>
            </w:tcBorders>
            <w:shd w:val="clear" w:color="auto" w:fill="D4EFE0"/>
            <w:tcMar>
              <w:top w:w="80" w:type="dxa"/>
              <w:left w:w="120" w:type="dxa"/>
              <w:bottom w:w="80" w:type="dxa"/>
              <w:right w:w="120" w:type="dxa"/>
            </w:tcMar>
            <w:vAlign w:val="center"/>
          </w:tcPr>
          <w:p w14:paraId="06F4FF52">
            <w:pPr>
              <w:jc w:val="left"/>
            </w:pPr>
            <w:r>
              <w:rPr>
                <w:rFonts w:ascii="Arial" w:hAnsi="Arial" w:eastAsia="Arial" w:cs="Arial"/>
                <w:b w:val="0"/>
                <w:bCs w:val="0"/>
                <w:color w:val="0D1F15"/>
                <w:sz w:val="19"/>
                <w:szCs w:val="19"/>
              </w:rPr>
              <w:t>Only OwnIt will have a built-in, one-tap pathway to SmartLife Flexi post-payout — an exclusive cross-product member journey.</w:t>
            </w:r>
          </w:p>
        </w:tc>
      </w:tr>
      <w:tr w14:paraId="250E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40BCD654">
            <w:pPr>
              <w:jc w:val="left"/>
            </w:pPr>
            <w:r>
              <w:rPr>
                <w:rFonts w:ascii="Arial" w:hAnsi="Arial" w:eastAsia="Arial" w:cs="Arial"/>
                <w:b/>
                <w:bCs/>
                <w:color w:val="0D1F15"/>
                <w:sz w:val="19"/>
                <w:szCs w:val="19"/>
              </w:rPr>
              <w:t>2% pension levy mechanism</w:t>
            </w:r>
          </w:p>
        </w:tc>
        <w:tc>
          <w:tcPr>
            <w:tcW w:w="6600" w:type="dxa"/>
            <w:tcBorders>
              <w:top w:val="nil"/>
              <w:left w:val="nil"/>
              <w:bottom w:val="nil"/>
              <w:right w:val="nil"/>
            </w:tcBorders>
            <w:shd w:val="clear" w:color="auto" w:fill="FFFFFF"/>
            <w:tcMar>
              <w:top w:w="80" w:type="dxa"/>
              <w:left w:w="120" w:type="dxa"/>
              <w:bottom w:w="80" w:type="dxa"/>
              <w:right w:w="120" w:type="dxa"/>
            </w:tcMar>
            <w:vAlign w:val="center"/>
          </w:tcPr>
          <w:p w14:paraId="00BD077B">
            <w:pPr>
              <w:jc w:val="left"/>
            </w:pPr>
            <w:r>
              <w:rPr>
                <w:rFonts w:ascii="Arial" w:hAnsi="Arial" w:eastAsia="Arial" w:cs="Arial"/>
                <w:b w:val="0"/>
                <w:bCs w:val="0"/>
                <w:color w:val="0D1F15"/>
                <w:sz w:val="19"/>
                <w:szCs w:val="19"/>
              </w:rPr>
              <w:t>A legally meaningful NSSF contribution from each payout — a compliance structure that a competitor without NSSF cannot replicate.</w:t>
            </w:r>
          </w:p>
        </w:tc>
      </w:tr>
      <w:tr w14:paraId="5654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D4EFE0"/>
            <w:tcMar>
              <w:top w:w="80" w:type="dxa"/>
              <w:left w:w="120" w:type="dxa"/>
              <w:bottom w:w="80" w:type="dxa"/>
              <w:right w:w="120" w:type="dxa"/>
            </w:tcMar>
            <w:vAlign w:val="center"/>
          </w:tcPr>
          <w:p w14:paraId="70DAF22B">
            <w:pPr>
              <w:jc w:val="left"/>
            </w:pPr>
            <w:r>
              <w:rPr>
                <w:rFonts w:ascii="Arial" w:hAnsi="Arial" w:eastAsia="Arial" w:cs="Arial"/>
                <w:b/>
                <w:bCs/>
                <w:color w:val="0D1F15"/>
                <w:sz w:val="19"/>
                <w:szCs w:val="19"/>
              </w:rPr>
              <w:t>USSD channel</w:t>
            </w:r>
          </w:p>
        </w:tc>
        <w:tc>
          <w:tcPr>
            <w:tcW w:w="6600" w:type="dxa"/>
            <w:tcBorders>
              <w:top w:val="nil"/>
              <w:left w:val="nil"/>
              <w:bottom w:val="nil"/>
              <w:right w:val="nil"/>
            </w:tcBorders>
            <w:shd w:val="clear" w:color="auto" w:fill="D4EFE0"/>
            <w:tcMar>
              <w:top w:w="80" w:type="dxa"/>
              <w:left w:w="120" w:type="dxa"/>
              <w:bottom w:w="80" w:type="dxa"/>
              <w:right w:w="120" w:type="dxa"/>
            </w:tcMar>
            <w:vAlign w:val="center"/>
          </w:tcPr>
          <w:p w14:paraId="00216F2C">
            <w:pPr>
              <w:jc w:val="left"/>
            </w:pPr>
            <w:r>
              <w:rPr>
                <w:rFonts w:ascii="Arial" w:hAnsi="Arial" w:eastAsia="Arial" w:cs="Arial"/>
                <w:b w:val="0"/>
                <w:bCs w:val="0"/>
                <w:color w:val="0D1F15"/>
                <w:sz w:val="19"/>
                <w:szCs w:val="19"/>
              </w:rPr>
              <w:t>Enables feature-phone access for rural and peri-urban populations that smartphones do not reach.</w:t>
            </w:r>
          </w:p>
        </w:tc>
      </w:tr>
      <w:tr w14:paraId="5CBFF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nil"/>
              <w:left w:val="nil"/>
              <w:bottom w:val="nil"/>
              <w:right w:val="nil"/>
            </w:tcBorders>
            <w:shd w:val="clear" w:color="auto" w:fill="FFFFFF"/>
            <w:tcMar>
              <w:top w:w="80" w:type="dxa"/>
              <w:left w:w="120" w:type="dxa"/>
              <w:bottom w:w="80" w:type="dxa"/>
              <w:right w:w="120" w:type="dxa"/>
            </w:tcMar>
            <w:vAlign w:val="center"/>
          </w:tcPr>
          <w:p w14:paraId="0933D7B8">
            <w:pPr>
              <w:jc w:val="left"/>
            </w:pPr>
            <w:r>
              <w:rPr>
                <w:rFonts w:ascii="Arial" w:hAnsi="Arial" w:eastAsia="Arial" w:cs="Arial"/>
                <w:b/>
                <w:bCs/>
                <w:color w:val="0D1F15"/>
                <w:sz w:val="19"/>
                <w:szCs w:val="19"/>
              </w:rPr>
              <w:t>First-mover advantage</w:t>
            </w:r>
          </w:p>
        </w:tc>
        <w:tc>
          <w:tcPr>
            <w:tcW w:w="6600" w:type="dxa"/>
            <w:tcBorders>
              <w:top w:val="nil"/>
              <w:left w:val="nil"/>
              <w:bottom w:val="nil"/>
              <w:right w:val="nil"/>
            </w:tcBorders>
            <w:shd w:val="clear" w:color="auto" w:fill="FFFFFF"/>
            <w:tcMar>
              <w:top w:w="80" w:type="dxa"/>
              <w:left w:w="120" w:type="dxa"/>
              <w:bottom w:w="80" w:type="dxa"/>
              <w:right w:w="120" w:type="dxa"/>
            </w:tcMar>
            <w:vAlign w:val="center"/>
          </w:tcPr>
          <w:p w14:paraId="319BCC08">
            <w:pPr>
              <w:jc w:val="left"/>
            </w:pPr>
            <w:r>
              <w:rPr>
                <w:rFonts w:ascii="Arial" w:hAnsi="Arial" w:eastAsia="Arial" w:cs="Arial"/>
                <w:b w:val="0"/>
                <w:bCs w:val="0"/>
                <w:color w:val="0D1F15"/>
                <w:sz w:val="19"/>
                <w:szCs w:val="19"/>
              </w:rPr>
              <w:t>OwnIt is being built now. Every month of delay is market share and member growth ceded permanently.</w:t>
            </w:r>
          </w:p>
        </w:tc>
      </w:tr>
    </w:tbl>
    <w:p w14:paraId="2F2CE54B">
      <w:pPr>
        <w:spacing w:before="240" w:after="80"/>
        <w:rPr>
          <w:rFonts w:ascii="Arial" w:hAnsi="Arial" w:eastAsia="Arial" w:cs="Arial"/>
          <w:b/>
          <w:bCs/>
          <w:color w:val="0D1F15"/>
          <w:sz w:val="26"/>
          <w:szCs w:val="26"/>
        </w:rPr>
      </w:pPr>
    </w:p>
    <w:p w14:paraId="337DBE52">
      <w:pPr>
        <w:spacing w:before="240" w:after="80"/>
      </w:pPr>
      <w:r>
        <w:rPr>
          <w:rFonts w:ascii="Arial" w:hAnsi="Arial" w:eastAsia="Arial" w:cs="Arial"/>
          <w:b/>
          <w:bCs/>
          <w:color w:val="0D1F15"/>
          <w:sz w:val="26"/>
          <w:szCs w:val="26"/>
        </w:rPr>
        <w:t>9.6 Probability of Success: Why OwnIt Will Succeed</w:t>
      </w:r>
    </w:p>
    <w:p w14:paraId="5450EF79">
      <w:pPr>
        <w:pStyle w:val="16"/>
        <w:numPr>
          <w:ilvl w:val="0"/>
          <w:numId w:val="1"/>
        </w:numPr>
        <w:spacing w:before="40" w:after="40"/>
      </w:pPr>
      <w:r>
        <w:rPr>
          <w:rFonts w:ascii="Arial" w:hAnsi="Arial" w:eastAsia="Arial" w:cs="Arial"/>
          <w:b/>
          <w:bCs/>
          <w:color w:val="0D1F15"/>
          <w:sz w:val="21"/>
          <w:szCs w:val="21"/>
        </w:rPr>
        <w:t xml:space="preserve">Evidence 1: </w:t>
      </w:r>
      <w:r>
        <w:rPr>
          <w:rFonts w:ascii="Arial" w:hAnsi="Arial" w:eastAsia="Arial" w:cs="Arial"/>
          <w:color w:val="5A6B5E"/>
          <w:sz w:val="21"/>
          <w:szCs w:val="21"/>
        </w:rPr>
        <w:t>Market validation exists: SmartLife Flexi collected UGX 5B in 3 months from 70% micro-savers. The market is not hypothetical.</w:t>
      </w:r>
    </w:p>
    <w:p w14:paraId="39796CD0">
      <w:pPr>
        <w:pStyle w:val="16"/>
        <w:numPr>
          <w:ilvl w:val="0"/>
          <w:numId w:val="1"/>
        </w:numPr>
        <w:spacing w:before="40" w:after="40"/>
      </w:pPr>
      <w:r>
        <w:rPr>
          <w:rFonts w:ascii="Arial" w:hAnsi="Arial" w:eastAsia="Arial" w:cs="Arial"/>
          <w:b/>
          <w:bCs/>
          <w:color w:val="0D1F15"/>
          <w:sz w:val="21"/>
          <w:szCs w:val="21"/>
        </w:rPr>
        <w:t xml:space="preserve">Evidence 2: </w:t>
      </w:r>
      <w:r>
        <w:rPr>
          <w:rFonts w:ascii="Arial" w:hAnsi="Arial" w:eastAsia="Arial" w:cs="Arial"/>
          <w:color w:val="5A6B5E"/>
          <w:sz w:val="21"/>
          <w:szCs w:val="21"/>
        </w:rPr>
        <w:t>Payment infrastructure is ready: 30M+ mobile money accounts, UGX 200T+ processed annually. OwnIt does not need to build the rails — they exist.</w:t>
      </w:r>
    </w:p>
    <w:p w14:paraId="5F39ACEB">
      <w:pPr>
        <w:pStyle w:val="16"/>
        <w:numPr>
          <w:ilvl w:val="0"/>
          <w:numId w:val="1"/>
        </w:numPr>
        <w:spacing w:before="40" w:after="40"/>
      </w:pPr>
      <w:r>
        <w:rPr>
          <w:rFonts w:ascii="Arial" w:hAnsi="Arial" w:eastAsia="Arial" w:cs="Arial"/>
          <w:b/>
          <w:bCs/>
          <w:color w:val="0D1F15"/>
          <w:sz w:val="21"/>
          <w:szCs w:val="21"/>
        </w:rPr>
        <w:t xml:space="preserve">Evidence 3: </w:t>
      </w:r>
      <w:r>
        <w:rPr>
          <w:rFonts w:ascii="Arial" w:hAnsi="Arial" w:eastAsia="Arial" w:cs="Arial"/>
          <w:color w:val="5A6B5E"/>
          <w:sz w:val="21"/>
          <w:szCs w:val="21"/>
        </w:rPr>
        <w:t>Asset supply is proven: Uganda’s petroleum, agri, property, and mineral markets are active, documented, and revenue-generating. Listers are not a supply problem.</w:t>
      </w:r>
    </w:p>
    <w:p w14:paraId="5587F58C">
      <w:pPr>
        <w:pStyle w:val="16"/>
        <w:numPr>
          <w:ilvl w:val="0"/>
          <w:numId w:val="1"/>
        </w:numPr>
        <w:spacing w:before="40" w:after="40"/>
      </w:pPr>
      <w:r>
        <w:rPr>
          <w:rFonts w:ascii="Arial" w:hAnsi="Arial" w:eastAsia="Arial" w:cs="Arial"/>
          <w:b/>
          <w:bCs/>
          <w:color w:val="0D1F15"/>
          <w:sz w:val="21"/>
          <w:szCs w:val="21"/>
        </w:rPr>
        <w:t xml:space="preserve">Evidence 4: </w:t>
      </w:r>
      <w:r>
        <w:rPr>
          <w:rFonts w:ascii="Arial" w:hAnsi="Arial" w:eastAsia="Arial" w:cs="Arial"/>
          <w:color w:val="5A6B5E"/>
          <w:sz w:val="21"/>
          <w:szCs w:val="21"/>
        </w:rPr>
        <w:t>Comparable models work globally: Risevest, Cowrywise, AgroStar, Republic, and Seedrs have collectively onboarded tens of millions of investors on similar models.</w:t>
      </w:r>
    </w:p>
    <w:p w14:paraId="5DE1BDC7">
      <w:pPr>
        <w:pStyle w:val="16"/>
        <w:numPr>
          <w:ilvl w:val="0"/>
          <w:numId w:val="1"/>
        </w:numPr>
        <w:spacing w:before="40" w:after="40"/>
      </w:pPr>
      <w:r>
        <w:rPr>
          <w:rFonts w:ascii="Arial" w:hAnsi="Arial" w:eastAsia="Arial" w:cs="Arial"/>
          <w:b/>
          <w:bCs/>
          <w:color w:val="0D1F15"/>
          <w:sz w:val="21"/>
          <w:szCs w:val="21"/>
        </w:rPr>
        <w:t xml:space="preserve">Evidence 5: </w:t>
      </w:r>
      <w:r>
        <w:rPr>
          <w:rFonts w:ascii="Arial" w:hAnsi="Arial" w:eastAsia="Arial" w:cs="Arial"/>
          <w:color w:val="5A6B5E"/>
          <w:sz w:val="21"/>
          <w:szCs w:val="21"/>
        </w:rPr>
        <w:t>No direct competitor exists in Uganda: The multi-asset fractional investment space is entirely greenfield as of 2026. OwnIt enters an empty category.</w:t>
      </w:r>
    </w:p>
    <w:p w14:paraId="57A13375">
      <w:pPr>
        <w:pStyle w:val="16"/>
        <w:numPr>
          <w:ilvl w:val="0"/>
          <w:numId w:val="1"/>
        </w:numPr>
        <w:spacing w:before="40" w:after="40"/>
      </w:pPr>
      <w:r>
        <w:rPr>
          <w:rFonts w:ascii="Arial" w:hAnsi="Arial" w:eastAsia="Arial" w:cs="Arial"/>
          <w:b/>
          <w:bCs/>
          <w:color w:val="0D1F15"/>
          <w:sz w:val="21"/>
          <w:szCs w:val="21"/>
        </w:rPr>
        <w:t xml:space="preserve">Evidence 6: </w:t>
      </w:r>
      <w:r>
        <w:rPr>
          <w:rFonts w:ascii="Arial" w:hAnsi="Arial" w:eastAsia="Arial" w:cs="Arial"/>
          <w:color w:val="5A6B5E"/>
          <w:sz w:val="21"/>
          <w:szCs w:val="21"/>
        </w:rPr>
        <w:t>NSSF’s co-brand resolves the #1 barrier — Trust: Uganda’s informal sector has been burned by collapsed pyramid schemes. The NSSF badge eliminates the primary reason a first-time investor would decline.</w:t>
      </w:r>
    </w:p>
    <w:p w14:paraId="368F5CCF">
      <w:pPr>
        <w:pStyle w:val="16"/>
        <w:numPr>
          <w:ilvl w:val="0"/>
          <w:numId w:val="1"/>
        </w:numPr>
        <w:spacing w:before="40" w:after="40"/>
      </w:pPr>
      <w:r>
        <w:rPr>
          <w:rFonts w:ascii="Arial" w:hAnsi="Arial" w:eastAsia="Arial" w:cs="Arial"/>
          <w:b/>
          <w:bCs/>
          <w:color w:val="0D1F15"/>
          <w:sz w:val="21"/>
          <w:szCs w:val="21"/>
        </w:rPr>
        <w:t xml:space="preserve">Evidence 7: </w:t>
      </w:r>
      <w:r>
        <w:rPr>
          <w:rFonts w:ascii="Arial" w:hAnsi="Arial" w:eastAsia="Arial" w:cs="Arial"/>
          <w:color w:val="5A6B5E"/>
          <w:sz w:val="21"/>
          <w:szCs w:val="21"/>
        </w:rPr>
        <w:t>Regulatory pathway is navigable: Uganda’s CMA, URBRA, BoU, PAU, and DGSM all have established frameworks that OwnIt’s asset classes fit within.</w:t>
      </w:r>
    </w:p>
    <w:p w14:paraId="3A256A04"/>
    <w:p w14:paraId="55205896">
      <w:r>
        <w:br w:type="page"/>
      </w:r>
    </w:p>
    <w:p w14:paraId="43C133DE">
      <w:pPr>
        <w:pStyle w:val="3"/>
        <w:spacing w:before="360" w:after="120"/>
      </w:pPr>
      <w:r>
        <w:rPr>
          <w:rFonts w:ascii="Arial" w:hAnsi="Arial" w:eastAsia="Arial" w:cs="Arial"/>
          <w:b/>
          <w:bCs/>
          <w:color w:val="1A7A45"/>
          <w:sz w:val="32"/>
          <w:szCs w:val="32"/>
        </w:rPr>
        <w:t>10. Market Analysis</w:t>
      </w:r>
    </w:p>
    <w:p w14:paraId="2CB3118C">
      <w:pPr>
        <w:spacing w:before="240" w:after="80"/>
        <w:rPr>
          <w:rFonts w:ascii="Arial" w:hAnsi="Arial" w:eastAsia="Arial" w:cs="Arial"/>
          <w:color w:val="0D1F15"/>
        </w:rPr>
      </w:pPr>
      <w:r>
        <w:rPr>
          <w:rFonts w:ascii="Arial" w:hAnsi="Arial" w:eastAsia="Arial" w:cs="Arial"/>
          <w:b/>
          <w:bCs/>
          <w:color w:val="0D1F15"/>
          <w:sz w:val="26"/>
          <w:szCs w:val="26"/>
        </w:rPr>
        <w:t>10.1 Uganda’s Investment Opportunity Landscape</w:t>
      </w:r>
    </w:p>
    <w:p w14:paraId="23049434">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Mobile money: 30M+ accounts; UGX 200T+ processed annually (GSMA 2025). The payment rails for OwnIt already exist at scale.</w:t>
      </w:r>
    </w:p>
    <w:p w14:paraId="726C4058">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Real estate: 8–12% annual property appreciation in Kampala; 2.4M unit housing deficit; 10–16% rental yields among East Africa’s highest.</w:t>
      </w:r>
    </w:p>
    <w:p w14:paraId="2347B43A">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Agricultural exports: Uganda exports UGX 12T+ in commodities annually. Coffee alone earned USD 1.1B in FY2024/25.</w:t>
      </w:r>
    </w:p>
    <w:p w14:paraId="5A2E6D07">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Petroleum trade: ~50,000 barrels of refined fuel imported daily. Licensed distributors operate high-volume, short-cycle trading with documented margins.</w:t>
      </w:r>
    </w:p>
    <w:p w14:paraId="6C5D1699">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Government bonds: T-Bills consistently oversubscribed at BoU auctions; 14–18% yields. Retail participation under 3% of eligible investors.</w:t>
      </w:r>
    </w:p>
    <w:p w14:paraId="01A73653">
      <w:pPr>
        <w:pStyle w:val="16"/>
        <w:numPr>
          <w:ilvl w:val="0"/>
          <w:numId w:val="1"/>
        </w:numPr>
        <w:spacing w:before="40" w:after="40"/>
        <w:ind w:left="720" w:hanging="360"/>
        <w:rPr>
          <w:rFonts w:ascii="Arial" w:hAnsi="Arial" w:eastAsia="Arial" w:cs="Arial"/>
          <w:color w:val="0D1F15"/>
        </w:rPr>
      </w:pPr>
      <w:r>
        <w:rPr>
          <w:rFonts w:ascii="Arial" w:hAnsi="Arial" w:eastAsia="Arial" w:cs="Arial"/>
          <w:color w:val="0D1F15"/>
          <w:sz w:val="21"/>
          <w:szCs w:val="21"/>
        </w:rPr>
        <w:t>Minerals: Uganda exported $700M+ in minerals in FY2024/25. Global coltan, cobalt, and lithium demand surging due to EV battery supply chains.</w:t>
      </w:r>
    </w:p>
    <w:p w14:paraId="1D72908C">
      <w:pPr>
        <w:pStyle w:val="16"/>
        <w:numPr>
          <w:ilvl w:val="0"/>
          <w:numId w:val="1"/>
        </w:numPr>
        <w:spacing w:before="40" w:after="40"/>
        <w:ind w:left="720" w:hanging="360"/>
        <w:rPr>
          <w:rFonts w:ascii="Arial" w:hAnsi="Arial" w:eastAsia="Arial" w:cs="Arial"/>
          <w:b/>
          <w:bCs/>
          <w:color w:val="1A7A45"/>
          <w:sz w:val="32"/>
          <w:szCs w:val="32"/>
        </w:rPr>
      </w:pPr>
      <w:r>
        <w:rPr>
          <w:rFonts w:ascii="Arial" w:hAnsi="Arial" w:eastAsia="Arial" w:cs="Arial"/>
          <w:color w:val="0D1F15"/>
          <w:sz w:val="21"/>
          <w:szCs w:val="21"/>
        </w:rPr>
        <w:t>Stock market: USE-listed companies deliver 8–15% dividend yields. Only ~35,000 individual Ugandans hold USE accounts — a market of 45M is essentially untapped.</w:t>
      </w:r>
    </w:p>
    <w:p w14:paraId="068ECF46">
      <w:pPr>
        <w:pStyle w:val="16"/>
        <w:numPr>
          <w:ilvl w:val="0"/>
          <w:numId w:val="1"/>
        </w:numPr>
        <w:spacing w:before="40" w:after="40"/>
        <w:ind w:left="720" w:hanging="360"/>
        <w:rPr>
          <w:rFonts w:ascii="Arial" w:hAnsi="Arial" w:eastAsia="Arial" w:cs="Arial"/>
          <w:b/>
          <w:bCs/>
          <w:color w:val="1A7A45"/>
          <w:sz w:val="32"/>
          <w:szCs w:val="32"/>
        </w:rPr>
      </w:pPr>
      <w:r>
        <w:rPr>
          <w:rFonts w:ascii="Arial" w:hAnsi="Arial" w:eastAsia="Arial" w:cs="Arial"/>
          <w:color w:val="0D1F15"/>
          <w:sz w:val="21"/>
          <w:szCs w:val="21"/>
        </w:rPr>
        <w:t>SmartLife Flexi AUM: UGX 5B+ collected in 3 months — the clearest proof that informal sector financial demand is real and scalable</w:t>
      </w:r>
    </w:p>
    <w:p w14:paraId="331CEFD7">
      <w:pPr>
        <w:pStyle w:val="16"/>
        <w:numPr>
          <w:ilvl w:val="0"/>
          <w:numId w:val="0"/>
        </w:numPr>
        <w:spacing w:before="40" w:after="40"/>
        <w:rPr>
          <w:rFonts w:ascii="Arial" w:hAnsi="Arial" w:eastAsia="Arial" w:cs="Arial"/>
          <w:b/>
          <w:bCs/>
          <w:color w:val="1A7A45"/>
          <w:sz w:val="32"/>
          <w:szCs w:val="32"/>
        </w:rPr>
      </w:pPr>
    </w:p>
    <w:p w14:paraId="5ACE4CE4">
      <w:pPr>
        <w:spacing w:before="240" w:after="80"/>
      </w:pPr>
      <w:r>
        <w:rPr>
          <w:rFonts w:ascii="Arial" w:hAnsi="Arial" w:eastAsia="Arial" w:cs="Arial"/>
          <w:b/>
          <w:bCs/>
          <w:color w:val="0D1F15"/>
          <w:sz w:val="26"/>
          <w:szCs w:val="26"/>
        </w:rPr>
        <w:t>10.2 Target Market Segments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080"/>
        <w:gridCol w:w="2160"/>
        <w:gridCol w:w="2160"/>
        <w:gridCol w:w="1800"/>
      </w:tblGrid>
      <w:tr w14:paraId="20FB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1A7A45"/>
            <w:tcMar>
              <w:top w:w="80" w:type="dxa"/>
              <w:left w:w="120" w:type="dxa"/>
              <w:bottom w:w="80" w:type="dxa"/>
              <w:right w:w="120" w:type="dxa"/>
            </w:tcMar>
            <w:vAlign w:val="center"/>
          </w:tcPr>
          <w:p w14:paraId="1959E75A">
            <w:pPr>
              <w:jc w:val="left"/>
            </w:pPr>
            <w:r>
              <w:rPr>
                <w:rFonts w:ascii="Arial" w:hAnsi="Arial" w:eastAsia="Arial" w:cs="Arial"/>
                <w:b/>
                <w:bCs/>
                <w:color w:val="FFFFFF"/>
                <w:sz w:val="19"/>
                <w:szCs w:val="19"/>
              </w:rPr>
              <w:t>Segment</w:t>
            </w:r>
          </w:p>
        </w:tc>
        <w:tc>
          <w:tcPr>
            <w:tcW w:w="1080" w:type="dxa"/>
            <w:tcBorders>
              <w:top w:val="nil"/>
              <w:left w:val="nil"/>
              <w:bottom w:val="nil"/>
              <w:right w:val="nil"/>
            </w:tcBorders>
            <w:shd w:val="clear" w:color="auto" w:fill="1A7A45"/>
            <w:tcMar>
              <w:top w:w="80" w:type="dxa"/>
              <w:left w:w="120" w:type="dxa"/>
              <w:bottom w:w="80" w:type="dxa"/>
              <w:right w:w="120" w:type="dxa"/>
            </w:tcMar>
            <w:vAlign w:val="center"/>
          </w:tcPr>
          <w:p w14:paraId="782CD13C">
            <w:pPr>
              <w:jc w:val="left"/>
            </w:pPr>
            <w:r>
              <w:rPr>
                <w:rFonts w:ascii="Arial" w:hAnsi="Arial" w:eastAsia="Arial" w:cs="Arial"/>
                <w:b/>
                <w:bCs/>
                <w:color w:val="FFFFFF"/>
                <w:sz w:val="19"/>
                <w:szCs w:val="19"/>
              </w:rPr>
              <w:t>Est. Size</w:t>
            </w:r>
          </w:p>
        </w:tc>
        <w:tc>
          <w:tcPr>
            <w:tcW w:w="2160" w:type="dxa"/>
            <w:tcBorders>
              <w:top w:val="nil"/>
              <w:left w:val="nil"/>
              <w:bottom w:val="nil"/>
              <w:right w:val="nil"/>
            </w:tcBorders>
            <w:shd w:val="clear" w:color="auto" w:fill="1A7A45"/>
            <w:tcMar>
              <w:top w:w="80" w:type="dxa"/>
              <w:left w:w="120" w:type="dxa"/>
              <w:bottom w:w="80" w:type="dxa"/>
              <w:right w:w="120" w:type="dxa"/>
            </w:tcMar>
            <w:vAlign w:val="center"/>
          </w:tcPr>
          <w:p w14:paraId="2E0ED79F">
            <w:pPr>
              <w:jc w:val="left"/>
            </w:pPr>
            <w:r>
              <w:rPr>
                <w:rFonts w:ascii="Arial" w:hAnsi="Arial" w:eastAsia="Arial" w:cs="Arial"/>
                <w:b/>
                <w:bCs/>
                <w:color w:val="FFFFFF"/>
                <w:sz w:val="19"/>
                <w:szCs w:val="19"/>
              </w:rPr>
              <w:t>Key Need</w:t>
            </w:r>
          </w:p>
        </w:tc>
        <w:tc>
          <w:tcPr>
            <w:tcW w:w="2160" w:type="dxa"/>
            <w:tcBorders>
              <w:top w:val="nil"/>
              <w:left w:val="nil"/>
              <w:bottom w:val="nil"/>
              <w:right w:val="nil"/>
            </w:tcBorders>
            <w:shd w:val="clear" w:color="auto" w:fill="1A7A45"/>
            <w:tcMar>
              <w:top w:w="80" w:type="dxa"/>
              <w:left w:w="120" w:type="dxa"/>
              <w:bottom w:w="80" w:type="dxa"/>
              <w:right w:w="120" w:type="dxa"/>
            </w:tcMar>
            <w:vAlign w:val="center"/>
          </w:tcPr>
          <w:p w14:paraId="68491F37">
            <w:pPr>
              <w:jc w:val="left"/>
            </w:pPr>
            <w:r>
              <w:rPr>
                <w:rFonts w:ascii="Arial" w:hAnsi="Arial" w:eastAsia="Arial" w:cs="Arial"/>
                <w:b/>
                <w:bCs/>
                <w:color w:val="FFFFFF"/>
                <w:sz w:val="19"/>
                <w:szCs w:val="19"/>
              </w:rPr>
              <w:t>Best OwnIt Asset Class</w:t>
            </w:r>
          </w:p>
        </w:tc>
        <w:tc>
          <w:tcPr>
            <w:tcW w:w="1800" w:type="dxa"/>
            <w:tcBorders>
              <w:top w:val="nil"/>
              <w:left w:val="nil"/>
              <w:bottom w:val="nil"/>
              <w:right w:val="nil"/>
            </w:tcBorders>
            <w:shd w:val="clear" w:color="auto" w:fill="1A7A45"/>
            <w:tcMar>
              <w:top w:w="80" w:type="dxa"/>
              <w:left w:w="120" w:type="dxa"/>
              <w:bottom w:w="80" w:type="dxa"/>
              <w:right w:w="120" w:type="dxa"/>
            </w:tcMar>
            <w:vAlign w:val="center"/>
          </w:tcPr>
          <w:p w14:paraId="3F7F1FA2">
            <w:pPr>
              <w:jc w:val="left"/>
            </w:pPr>
            <w:r>
              <w:rPr>
                <w:rFonts w:ascii="Arial" w:hAnsi="Arial" w:eastAsia="Arial" w:cs="Arial"/>
                <w:b/>
                <w:bCs/>
                <w:color w:val="FFFFFF"/>
                <w:sz w:val="19"/>
                <w:szCs w:val="19"/>
              </w:rPr>
              <w:t>SmartLife Flexi Potential</w:t>
            </w:r>
          </w:p>
        </w:tc>
      </w:tr>
      <w:tr w14:paraId="733B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6599BF9F">
            <w:pPr>
              <w:jc w:val="left"/>
            </w:pPr>
            <w:r>
              <w:rPr>
                <w:rFonts w:ascii="Arial" w:hAnsi="Arial" w:eastAsia="Arial" w:cs="Arial"/>
                <w:b/>
                <w:bCs/>
                <w:color w:val="0D1F15"/>
                <w:sz w:val="19"/>
                <w:szCs w:val="19"/>
              </w:rPr>
              <w:t>Gen Z (18–29)</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3E1C5888">
            <w:pPr>
              <w:jc w:val="left"/>
            </w:pPr>
            <w:r>
              <w:rPr>
                <w:rFonts w:ascii="Arial" w:hAnsi="Arial" w:eastAsia="Arial" w:cs="Arial"/>
                <w:b w:val="0"/>
                <w:bCs w:val="0"/>
                <w:color w:val="0D1F15"/>
                <w:sz w:val="19"/>
                <w:szCs w:val="19"/>
              </w:rPr>
              <w:t>~4.5M</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7439EC9D">
            <w:pPr>
              <w:jc w:val="left"/>
            </w:pPr>
            <w:r>
              <w:rPr>
                <w:rFonts w:ascii="Arial" w:hAnsi="Arial" w:eastAsia="Arial" w:cs="Arial"/>
                <w:b w:val="0"/>
                <w:bCs w:val="0"/>
                <w:color w:val="0D1F15"/>
                <w:sz w:val="19"/>
                <w:szCs w:val="19"/>
              </w:rPr>
              <w:t>Near-term income, mobile-first</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51BE5661">
            <w:pPr>
              <w:jc w:val="left"/>
            </w:pPr>
            <w:r>
              <w:rPr>
                <w:rFonts w:ascii="Arial" w:hAnsi="Arial" w:eastAsia="Arial" w:cs="Arial"/>
                <w:b w:val="0"/>
                <w:bCs w:val="0"/>
                <w:color w:val="0D1F15"/>
                <w:sz w:val="19"/>
                <w:szCs w:val="19"/>
              </w:rPr>
              <w:t>Agri, Oil, FX, T-Bills</w:t>
            </w:r>
          </w:p>
        </w:tc>
        <w:tc>
          <w:tcPr>
            <w:tcW w:w="1800" w:type="dxa"/>
            <w:tcBorders>
              <w:top w:val="nil"/>
              <w:left w:val="nil"/>
              <w:bottom w:val="nil"/>
              <w:right w:val="nil"/>
            </w:tcBorders>
            <w:shd w:val="clear" w:color="auto" w:fill="FFFFFF"/>
            <w:tcMar>
              <w:top w:w="80" w:type="dxa"/>
              <w:left w:w="120" w:type="dxa"/>
              <w:bottom w:w="80" w:type="dxa"/>
              <w:right w:w="120" w:type="dxa"/>
            </w:tcMar>
            <w:vAlign w:val="center"/>
          </w:tcPr>
          <w:p w14:paraId="1ED770B5">
            <w:pPr>
              <w:jc w:val="left"/>
            </w:pPr>
            <w:r>
              <w:rPr>
                <w:rFonts w:ascii="Arial" w:hAnsi="Arial" w:eastAsia="Arial" w:cs="Arial"/>
                <w:b w:val="0"/>
                <w:bCs w:val="0"/>
                <w:color w:val="0D1F15"/>
                <w:sz w:val="19"/>
                <w:szCs w:val="19"/>
              </w:rPr>
              <w:t>Very High</w:t>
            </w:r>
          </w:p>
        </w:tc>
      </w:tr>
      <w:tr w14:paraId="45FE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4D3EDE0A">
            <w:pPr>
              <w:jc w:val="left"/>
            </w:pPr>
            <w:r>
              <w:rPr>
                <w:rFonts w:ascii="Arial" w:hAnsi="Arial" w:eastAsia="Arial" w:cs="Arial"/>
                <w:b/>
                <w:bCs/>
                <w:color w:val="0D1F15"/>
                <w:sz w:val="19"/>
                <w:szCs w:val="19"/>
              </w:rPr>
              <w:t>Gig / Informal Workers</w:t>
            </w:r>
          </w:p>
        </w:tc>
        <w:tc>
          <w:tcPr>
            <w:tcW w:w="1080" w:type="dxa"/>
            <w:tcBorders>
              <w:top w:val="nil"/>
              <w:left w:val="nil"/>
              <w:bottom w:val="nil"/>
              <w:right w:val="nil"/>
            </w:tcBorders>
            <w:shd w:val="clear" w:color="auto" w:fill="D4EFE0"/>
            <w:tcMar>
              <w:top w:w="80" w:type="dxa"/>
              <w:left w:w="120" w:type="dxa"/>
              <w:bottom w:w="80" w:type="dxa"/>
              <w:right w:w="120" w:type="dxa"/>
            </w:tcMar>
            <w:vAlign w:val="center"/>
          </w:tcPr>
          <w:p w14:paraId="3C471BDB">
            <w:pPr>
              <w:jc w:val="left"/>
            </w:pPr>
            <w:r>
              <w:rPr>
                <w:rFonts w:ascii="Arial" w:hAnsi="Arial" w:eastAsia="Arial" w:cs="Arial"/>
                <w:b w:val="0"/>
                <w:bCs w:val="0"/>
                <w:color w:val="0D1F15"/>
                <w:sz w:val="19"/>
                <w:szCs w:val="19"/>
              </w:rPr>
              <w:t>~9M</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26E50990">
            <w:pPr>
              <w:jc w:val="left"/>
            </w:pPr>
            <w:r>
              <w:rPr>
                <w:rFonts w:ascii="Arial" w:hAnsi="Arial" w:eastAsia="Arial" w:cs="Arial"/>
                <w:b w:val="0"/>
                <w:bCs w:val="0"/>
                <w:color w:val="0D1F15"/>
                <w:sz w:val="19"/>
                <w:szCs w:val="19"/>
              </w:rPr>
              <w:t>Flexible, low-minimum, MoMo</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3BB05EB8">
            <w:pPr>
              <w:jc w:val="left"/>
            </w:pPr>
            <w:r>
              <w:rPr>
                <w:rFonts w:ascii="Arial" w:hAnsi="Arial" w:eastAsia="Arial" w:cs="Arial"/>
                <w:b w:val="0"/>
                <w:bCs w:val="0"/>
                <w:color w:val="0D1F15"/>
                <w:sz w:val="19"/>
                <w:szCs w:val="19"/>
              </w:rPr>
              <w:t>Agri, Real Estate, Bonds</w:t>
            </w:r>
          </w:p>
        </w:tc>
        <w:tc>
          <w:tcPr>
            <w:tcW w:w="1800" w:type="dxa"/>
            <w:tcBorders>
              <w:top w:val="nil"/>
              <w:left w:val="nil"/>
              <w:bottom w:val="nil"/>
              <w:right w:val="nil"/>
            </w:tcBorders>
            <w:shd w:val="clear" w:color="auto" w:fill="D4EFE0"/>
            <w:tcMar>
              <w:top w:w="80" w:type="dxa"/>
              <w:left w:w="120" w:type="dxa"/>
              <w:bottom w:w="80" w:type="dxa"/>
              <w:right w:w="120" w:type="dxa"/>
            </w:tcMar>
            <w:vAlign w:val="center"/>
          </w:tcPr>
          <w:p w14:paraId="21D4E7FE">
            <w:pPr>
              <w:jc w:val="left"/>
            </w:pPr>
            <w:r>
              <w:rPr>
                <w:rFonts w:ascii="Arial" w:hAnsi="Arial" w:eastAsia="Arial" w:cs="Arial"/>
                <w:b w:val="0"/>
                <w:bCs w:val="0"/>
                <w:color w:val="0D1F15"/>
                <w:sz w:val="19"/>
                <w:szCs w:val="19"/>
              </w:rPr>
              <w:t>High</w:t>
            </w:r>
          </w:p>
        </w:tc>
      </w:tr>
      <w:tr w14:paraId="0AC2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1D5F7B5B">
            <w:pPr>
              <w:jc w:val="left"/>
            </w:pPr>
            <w:r>
              <w:rPr>
                <w:rFonts w:ascii="Arial" w:hAnsi="Arial" w:eastAsia="Arial" w:cs="Arial"/>
                <w:b/>
                <w:bCs/>
                <w:color w:val="0D1F15"/>
                <w:sz w:val="19"/>
                <w:szCs w:val="19"/>
              </w:rPr>
              <w:t>Salaried NSSF Members</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56247FBE">
            <w:pPr>
              <w:jc w:val="left"/>
            </w:pPr>
            <w:r>
              <w:rPr>
                <w:rFonts w:ascii="Arial" w:hAnsi="Arial" w:eastAsia="Arial" w:cs="Arial"/>
                <w:b w:val="0"/>
                <w:bCs w:val="0"/>
                <w:color w:val="0D1F15"/>
                <w:sz w:val="19"/>
                <w:szCs w:val="19"/>
              </w:rPr>
              <w:t>~2M</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43BB96C4">
            <w:pPr>
              <w:jc w:val="left"/>
            </w:pPr>
            <w:r>
              <w:rPr>
                <w:rFonts w:ascii="Arial" w:hAnsi="Arial" w:eastAsia="Arial" w:cs="Arial"/>
                <w:b w:val="0"/>
                <w:bCs w:val="0"/>
                <w:color w:val="0D1F15"/>
                <w:sz w:val="19"/>
                <w:szCs w:val="19"/>
              </w:rPr>
              <w:t>Supplement pension with near-term</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582F7141">
            <w:pPr>
              <w:jc w:val="left"/>
            </w:pPr>
            <w:r>
              <w:rPr>
                <w:rFonts w:ascii="Arial" w:hAnsi="Arial" w:eastAsia="Arial" w:cs="Arial"/>
                <w:b w:val="0"/>
                <w:bCs w:val="0"/>
                <w:color w:val="0D1F15"/>
                <w:sz w:val="19"/>
                <w:szCs w:val="19"/>
              </w:rPr>
              <w:t>Bonds, Stocks, Real Estate</w:t>
            </w:r>
          </w:p>
        </w:tc>
        <w:tc>
          <w:tcPr>
            <w:tcW w:w="1800" w:type="dxa"/>
            <w:tcBorders>
              <w:top w:val="nil"/>
              <w:left w:val="nil"/>
              <w:bottom w:val="nil"/>
              <w:right w:val="nil"/>
            </w:tcBorders>
            <w:shd w:val="clear" w:color="auto" w:fill="FFFFFF"/>
            <w:tcMar>
              <w:top w:w="80" w:type="dxa"/>
              <w:left w:w="120" w:type="dxa"/>
              <w:bottom w:w="80" w:type="dxa"/>
              <w:right w:w="120" w:type="dxa"/>
            </w:tcMar>
            <w:vAlign w:val="center"/>
          </w:tcPr>
          <w:p w14:paraId="722A8103">
            <w:pPr>
              <w:jc w:val="left"/>
            </w:pPr>
            <w:r>
              <w:rPr>
                <w:rFonts w:ascii="Arial" w:hAnsi="Arial" w:eastAsia="Arial" w:cs="Arial"/>
                <w:b w:val="0"/>
                <w:bCs w:val="0"/>
                <w:color w:val="0D1F15"/>
                <w:sz w:val="19"/>
                <w:szCs w:val="19"/>
              </w:rPr>
              <w:t>High</w:t>
            </w:r>
          </w:p>
        </w:tc>
      </w:tr>
      <w:tr w14:paraId="6E84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634AC654">
            <w:pPr>
              <w:jc w:val="left"/>
            </w:pPr>
            <w:r>
              <w:rPr>
                <w:rFonts w:ascii="Arial" w:hAnsi="Arial" w:eastAsia="Arial" w:cs="Arial"/>
                <w:b/>
                <w:bCs/>
                <w:color w:val="0D1F15"/>
                <w:sz w:val="19"/>
                <w:szCs w:val="19"/>
              </w:rPr>
              <w:t>Rural Savers / SACCOs</w:t>
            </w:r>
          </w:p>
        </w:tc>
        <w:tc>
          <w:tcPr>
            <w:tcW w:w="1080" w:type="dxa"/>
            <w:tcBorders>
              <w:top w:val="nil"/>
              <w:left w:val="nil"/>
              <w:bottom w:val="nil"/>
              <w:right w:val="nil"/>
            </w:tcBorders>
            <w:shd w:val="clear" w:color="auto" w:fill="D4EFE0"/>
            <w:tcMar>
              <w:top w:w="80" w:type="dxa"/>
              <w:left w:w="120" w:type="dxa"/>
              <w:bottom w:w="80" w:type="dxa"/>
              <w:right w:w="120" w:type="dxa"/>
            </w:tcMar>
            <w:vAlign w:val="center"/>
          </w:tcPr>
          <w:p w14:paraId="2F6538DB">
            <w:pPr>
              <w:jc w:val="left"/>
            </w:pPr>
            <w:r>
              <w:rPr>
                <w:rFonts w:ascii="Arial" w:hAnsi="Arial" w:eastAsia="Arial" w:cs="Arial"/>
                <w:b w:val="0"/>
                <w:bCs w:val="0"/>
                <w:color w:val="0D1F15"/>
                <w:sz w:val="19"/>
                <w:szCs w:val="19"/>
              </w:rPr>
              <w:t>~5M</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029CABC9">
            <w:pPr>
              <w:jc w:val="left"/>
            </w:pPr>
            <w:r>
              <w:rPr>
                <w:rFonts w:ascii="Arial" w:hAnsi="Arial" w:eastAsia="Arial" w:cs="Arial"/>
                <w:b w:val="0"/>
                <w:bCs w:val="0"/>
                <w:color w:val="0D1F15"/>
                <w:sz w:val="19"/>
                <w:szCs w:val="19"/>
              </w:rPr>
              <w:t>Higher returns than savings accounts</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4056B5BB">
            <w:pPr>
              <w:jc w:val="left"/>
            </w:pPr>
            <w:r>
              <w:rPr>
                <w:rFonts w:ascii="Arial" w:hAnsi="Arial" w:eastAsia="Arial" w:cs="Arial"/>
                <w:b w:val="0"/>
                <w:bCs w:val="0"/>
                <w:color w:val="0D1F15"/>
                <w:sz w:val="19"/>
                <w:szCs w:val="19"/>
              </w:rPr>
              <w:t>Agri, Minerals, Bonds</w:t>
            </w:r>
          </w:p>
        </w:tc>
        <w:tc>
          <w:tcPr>
            <w:tcW w:w="1800" w:type="dxa"/>
            <w:tcBorders>
              <w:top w:val="nil"/>
              <w:left w:val="nil"/>
              <w:bottom w:val="nil"/>
              <w:right w:val="nil"/>
            </w:tcBorders>
            <w:shd w:val="clear" w:color="auto" w:fill="D4EFE0"/>
            <w:tcMar>
              <w:top w:w="80" w:type="dxa"/>
              <w:left w:w="120" w:type="dxa"/>
              <w:bottom w:w="80" w:type="dxa"/>
              <w:right w:w="120" w:type="dxa"/>
            </w:tcMar>
            <w:vAlign w:val="center"/>
          </w:tcPr>
          <w:p w14:paraId="676FC89A">
            <w:pPr>
              <w:jc w:val="left"/>
            </w:pPr>
            <w:r>
              <w:rPr>
                <w:rFonts w:ascii="Arial" w:hAnsi="Arial" w:eastAsia="Arial" w:cs="Arial"/>
                <w:b w:val="0"/>
                <w:bCs w:val="0"/>
                <w:color w:val="0D1F15"/>
                <w:sz w:val="19"/>
                <w:szCs w:val="19"/>
              </w:rPr>
              <w:t>Medium</w:t>
            </w:r>
          </w:p>
        </w:tc>
      </w:tr>
      <w:tr w14:paraId="1AFC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6D48E8E2">
            <w:pPr>
              <w:jc w:val="left"/>
            </w:pPr>
            <w:r>
              <w:rPr>
                <w:rFonts w:ascii="Arial" w:hAnsi="Arial" w:eastAsia="Arial" w:cs="Arial"/>
                <w:b/>
                <w:bCs/>
                <w:color w:val="0D1F15"/>
                <w:sz w:val="19"/>
                <w:szCs w:val="19"/>
              </w:rPr>
              <w:t>Diaspora Ugandans</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60632455">
            <w:pPr>
              <w:jc w:val="left"/>
            </w:pPr>
            <w:r>
              <w:rPr>
                <w:rFonts w:ascii="Arial" w:hAnsi="Arial" w:eastAsia="Arial" w:cs="Arial"/>
                <w:b w:val="0"/>
                <w:bCs w:val="0"/>
                <w:color w:val="0D1F15"/>
                <w:sz w:val="19"/>
                <w:szCs w:val="19"/>
              </w:rPr>
              <w:t>~700K</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43040859">
            <w:pPr>
              <w:jc w:val="left"/>
            </w:pPr>
            <w:r>
              <w:rPr>
                <w:rFonts w:ascii="Arial" w:hAnsi="Arial" w:eastAsia="Arial" w:cs="Arial"/>
                <w:b w:val="0"/>
                <w:bCs w:val="0"/>
                <w:color w:val="0D1F15"/>
                <w:sz w:val="19"/>
                <w:szCs w:val="19"/>
              </w:rPr>
              <w:t>Uganda asset exposure from abroad</w:t>
            </w:r>
          </w:p>
        </w:tc>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13369D75">
            <w:pPr>
              <w:jc w:val="left"/>
            </w:pPr>
            <w:r>
              <w:rPr>
                <w:rFonts w:ascii="Arial" w:hAnsi="Arial" w:eastAsia="Arial" w:cs="Arial"/>
                <w:b w:val="0"/>
                <w:bCs w:val="0"/>
                <w:color w:val="0D1F15"/>
                <w:sz w:val="19"/>
                <w:szCs w:val="19"/>
              </w:rPr>
              <w:t>FX, Real Estate, Stocks</w:t>
            </w:r>
          </w:p>
        </w:tc>
        <w:tc>
          <w:tcPr>
            <w:tcW w:w="1800" w:type="dxa"/>
            <w:tcBorders>
              <w:top w:val="nil"/>
              <w:left w:val="nil"/>
              <w:bottom w:val="nil"/>
              <w:right w:val="nil"/>
            </w:tcBorders>
            <w:shd w:val="clear" w:color="auto" w:fill="FFFFFF"/>
            <w:tcMar>
              <w:top w:w="80" w:type="dxa"/>
              <w:left w:w="120" w:type="dxa"/>
              <w:bottom w:w="80" w:type="dxa"/>
              <w:right w:w="120" w:type="dxa"/>
            </w:tcMar>
            <w:vAlign w:val="center"/>
          </w:tcPr>
          <w:p w14:paraId="113A9C3E">
            <w:pPr>
              <w:jc w:val="left"/>
            </w:pPr>
            <w:r>
              <w:rPr>
                <w:rFonts w:ascii="Arial" w:hAnsi="Arial" w:eastAsia="Arial" w:cs="Arial"/>
                <w:b w:val="0"/>
                <w:bCs w:val="0"/>
                <w:color w:val="0D1F15"/>
                <w:sz w:val="19"/>
                <w:szCs w:val="19"/>
              </w:rPr>
              <w:t>Medium</w:t>
            </w:r>
          </w:p>
        </w:tc>
      </w:tr>
      <w:tr w14:paraId="19BE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0D3E2809">
            <w:pPr>
              <w:jc w:val="left"/>
            </w:pPr>
            <w:r>
              <w:rPr>
                <w:rFonts w:ascii="Arial" w:hAnsi="Arial" w:eastAsia="Arial" w:cs="Arial"/>
                <w:b/>
                <w:bCs/>
                <w:color w:val="0D1F15"/>
                <w:sz w:val="19"/>
                <w:szCs w:val="19"/>
              </w:rPr>
              <w:t>Small Business Owners</w:t>
            </w:r>
          </w:p>
        </w:tc>
        <w:tc>
          <w:tcPr>
            <w:tcW w:w="1080" w:type="dxa"/>
            <w:tcBorders>
              <w:top w:val="nil"/>
              <w:left w:val="nil"/>
              <w:bottom w:val="nil"/>
              <w:right w:val="nil"/>
            </w:tcBorders>
            <w:shd w:val="clear" w:color="auto" w:fill="D4EFE0"/>
            <w:tcMar>
              <w:top w:w="80" w:type="dxa"/>
              <w:left w:w="120" w:type="dxa"/>
              <w:bottom w:w="80" w:type="dxa"/>
              <w:right w:w="120" w:type="dxa"/>
            </w:tcMar>
            <w:vAlign w:val="center"/>
          </w:tcPr>
          <w:p w14:paraId="20B05632">
            <w:pPr>
              <w:jc w:val="left"/>
            </w:pPr>
            <w:r>
              <w:rPr>
                <w:rFonts w:ascii="Arial" w:hAnsi="Arial" w:eastAsia="Arial" w:cs="Arial"/>
                <w:b w:val="0"/>
                <w:bCs w:val="0"/>
                <w:color w:val="0D1F15"/>
                <w:sz w:val="19"/>
                <w:szCs w:val="19"/>
              </w:rPr>
              <w:t>~3M</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64318271">
            <w:pPr>
              <w:jc w:val="left"/>
            </w:pPr>
            <w:r>
              <w:rPr>
                <w:rFonts w:ascii="Arial" w:hAnsi="Arial" w:eastAsia="Arial" w:cs="Arial"/>
                <w:b w:val="0"/>
                <w:bCs w:val="0"/>
                <w:color w:val="0D1F15"/>
                <w:sz w:val="19"/>
                <w:szCs w:val="19"/>
              </w:rPr>
              <w:t>Asset diversification beyond business</w:t>
            </w:r>
          </w:p>
        </w:tc>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125098FB">
            <w:pPr>
              <w:jc w:val="left"/>
            </w:pPr>
            <w:r>
              <w:rPr>
                <w:rFonts w:ascii="Arial" w:hAnsi="Arial" w:eastAsia="Arial" w:cs="Arial"/>
                <w:b w:val="0"/>
                <w:bCs w:val="0"/>
                <w:color w:val="0D1F15"/>
                <w:sz w:val="19"/>
                <w:szCs w:val="19"/>
              </w:rPr>
              <w:t>Bonds, Stocks, Real Estate</w:t>
            </w:r>
          </w:p>
        </w:tc>
        <w:tc>
          <w:tcPr>
            <w:tcW w:w="1800" w:type="dxa"/>
            <w:tcBorders>
              <w:top w:val="nil"/>
              <w:left w:val="nil"/>
              <w:bottom w:val="nil"/>
              <w:right w:val="nil"/>
            </w:tcBorders>
            <w:shd w:val="clear" w:color="auto" w:fill="D4EFE0"/>
            <w:tcMar>
              <w:top w:w="80" w:type="dxa"/>
              <w:left w:w="120" w:type="dxa"/>
              <w:bottom w:w="80" w:type="dxa"/>
              <w:right w:w="120" w:type="dxa"/>
            </w:tcMar>
            <w:vAlign w:val="center"/>
          </w:tcPr>
          <w:p w14:paraId="4D5E43CD">
            <w:pPr>
              <w:jc w:val="left"/>
            </w:pPr>
            <w:r>
              <w:rPr>
                <w:rFonts w:ascii="Arial" w:hAnsi="Arial" w:eastAsia="Arial" w:cs="Arial"/>
                <w:b w:val="0"/>
                <w:bCs w:val="0"/>
                <w:color w:val="0D1F15"/>
                <w:sz w:val="19"/>
                <w:szCs w:val="19"/>
              </w:rPr>
              <w:t>High</w:t>
            </w:r>
          </w:p>
        </w:tc>
      </w:tr>
    </w:tbl>
    <w:p w14:paraId="0B7A4FE7">
      <w:pPr>
        <w:rPr>
          <w:rFonts w:ascii="Arial" w:hAnsi="Arial" w:eastAsia="Arial" w:cs="Arial"/>
          <w:b/>
          <w:bCs/>
          <w:color w:val="1A7A45"/>
          <w:sz w:val="32"/>
          <w:szCs w:val="32"/>
        </w:rPr>
      </w:pPr>
    </w:p>
    <w:p w14:paraId="6EB96FDC">
      <w:pPr>
        <w:spacing w:before="240" w:after="80"/>
      </w:pPr>
      <w:r>
        <w:rPr>
          <w:rFonts w:ascii="Arial" w:hAnsi="Arial" w:eastAsia="Arial" w:cs="Arial"/>
          <w:b/>
          <w:bCs/>
          <w:color w:val="0D1F15"/>
          <w:sz w:val="26"/>
          <w:szCs w:val="26"/>
        </w:rPr>
        <w:t>10.3 Competitive Landscape</w:t>
      </w:r>
    </w:p>
    <w:p w14:paraId="371A166E">
      <w:pPr>
        <w:spacing w:before="60" w:after="80"/>
        <w:jc w:val="left"/>
      </w:pPr>
      <w:r>
        <w:rPr>
          <w:rFonts w:ascii="Arial" w:hAnsi="Arial" w:eastAsia="Arial" w:cs="Arial"/>
          <w:b w:val="0"/>
          <w:bCs w:val="0"/>
          <w:color w:val="0D1F15"/>
          <w:sz w:val="22"/>
          <w:szCs w:val="22"/>
        </w:rPr>
        <w:t>OwnIt Uganda enters an essentially greenfield market. No platform in Uganda currently offers multi-asset fractional investment across these nine classes with mobile money integration, sub-UGX 50K minimums, and an institutional co-brand of NSSF’s calibre. Globally comparable platforms — Risevest (Nigeria), Cowrywise, Republic, Seedrs — operate in single or dual asset classes and do not have Uganda market presence.</w:t>
      </w:r>
    </w:p>
    <w:p w14:paraId="6E2805B9">
      <w:pPr>
        <w:pStyle w:val="16"/>
        <w:numPr>
          <w:ilvl w:val="0"/>
          <w:numId w:val="1"/>
        </w:numPr>
        <w:spacing w:before="40" w:after="40"/>
      </w:pPr>
      <w:r>
        <w:rPr>
          <w:rFonts w:ascii="Arial" w:hAnsi="Arial" w:eastAsia="Arial" w:cs="Arial"/>
          <w:color w:val="0D1F15"/>
          <w:sz w:val="21"/>
          <w:szCs w:val="21"/>
        </w:rPr>
        <w:t>Direct competitors: None identified in Uganda’s multi-asset fractional investment space as of 2026.</w:t>
      </w:r>
    </w:p>
    <w:p w14:paraId="78C6767A">
      <w:pPr>
        <w:pStyle w:val="16"/>
        <w:numPr>
          <w:ilvl w:val="0"/>
          <w:numId w:val="1"/>
        </w:numPr>
        <w:spacing w:before="40" w:after="40"/>
      </w:pPr>
      <w:r>
        <w:rPr>
          <w:rFonts w:ascii="Arial" w:hAnsi="Arial" w:eastAsia="Arial" w:cs="Arial"/>
          <w:color w:val="0D1F15"/>
          <w:sz w:val="21"/>
          <w:szCs w:val="21"/>
        </w:rPr>
        <w:t>Structural moat: The NSSF partnership and auto-enrollment mechanism create a competitive barrier that cannot be replicated without an equivalent institutional partner.</w:t>
      </w:r>
    </w:p>
    <w:p w14:paraId="002D764C">
      <w:pPr>
        <w:rPr>
          <w:rFonts w:ascii="Arial" w:hAnsi="Arial" w:eastAsia="Arial" w:cs="Arial"/>
          <w:b/>
          <w:bCs/>
          <w:color w:val="1A7A45"/>
          <w:sz w:val="32"/>
          <w:szCs w:val="32"/>
        </w:rPr>
      </w:pPr>
    </w:p>
    <w:p w14:paraId="3062B50D">
      <w:pPr>
        <w:rPr>
          <w:rFonts w:ascii="Arial" w:hAnsi="Arial" w:eastAsia="Arial" w:cs="Arial"/>
          <w:b/>
          <w:bCs/>
          <w:color w:val="1A7A45"/>
          <w:sz w:val="32"/>
          <w:szCs w:val="32"/>
        </w:rPr>
      </w:pPr>
    </w:p>
    <w:p w14:paraId="724E06FE">
      <w:pPr>
        <w:rPr>
          <w:rFonts w:ascii="Arial" w:hAnsi="Arial" w:eastAsia="Arial" w:cs="Arial"/>
          <w:b/>
          <w:bCs/>
          <w:color w:val="1A7A45"/>
          <w:sz w:val="32"/>
          <w:szCs w:val="32"/>
        </w:rPr>
      </w:pPr>
    </w:p>
    <w:p w14:paraId="4E8D0C20">
      <w:pPr>
        <w:pStyle w:val="3"/>
        <w:spacing w:before="360" w:after="120"/>
        <w:outlineLvl w:val="0"/>
        <w:rPr>
          <w:rFonts w:ascii="Arial" w:hAnsi="Arial" w:eastAsia="Arial" w:cs="Arial"/>
          <w:color w:val="1A7A45"/>
          <w:sz w:val="32"/>
          <w:szCs w:val="32"/>
        </w:rPr>
      </w:pPr>
      <w:r>
        <w:rPr>
          <w:rFonts w:ascii="Arial" w:hAnsi="Arial" w:eastAsia="Arial" w:cs="Arial"/>
          <w:b/>
          <w:bCs/>
          <w:color w:val="1A7A45"/>
          <w:sz w:val="32"/>
          <w:szCs w:val="32"/>
        </w:rPr>
        <w:t>1</w:t>
      </w:r>
      <w:r>
        <w:rPr>
          <w:rFonts w:hint="default" w:cs="Arial"/>
          <w:b/>
          <w:bCs/>
          <w:color w:val="1A7A45"/>
          <w:sz w:val="32"/>
          <w:szCs w:val="32"/>
          <w:lang w:val="en-US"/>
        </w:rPr>
        <w:t>1</w:t>
      </w:r>
      <w:r>
        <w:rPr>
          <w:rFonts w:ascii="Arial" w:hAnsi="Arial" w:eastAsia="Arial" w:cs="Arial"/>
          <w:b/>
          <w:bCs/>
          <w:color w:val="1A7A45"/>
          <w:sz w:val="32"/>
          <w:szCs w:val="32"/>
        </w:rPr>
        <w:t>.  The Partnership Structure (3 Tiers)</w:t>
      </w:r>
    </w:p>
    <w:p w14:paraId="19321682">
      <w:pPr>
        <w:pBdr>
          <w:bottom w:val="single" w:color="1A7A45" w:sz="12" w:space="1"/>
        </w:pBdr>
        <w:spacing w:before="60" w:after="60"/>
      </w:pPr>
    </w:p>
    <w:p w14:paraId="5A8E0576">
      <w:pPr>
        <w:spacing w:before="60" w:after="100"/>
        <w:jc w:val="left"/>
        <w:rPr>
          <w:rFonts w:ascii="Arial" w:hAnsi="Arial" w:eastAsia="Arial" w:cs="Arial"/>
          <w:color w:val="0D1F15"/>
        </w:rPr>
      </w:pPr>
      <w:r>
        <w:rPr>
          <w:rFonts w:ascii="Arial" w:hAnsi="Arial" w:eastAsia="Arial" w:cs="Arial"/>
          <w:b w:val="0"/>
          <w:bCs w:val="0"/>
          <w:color w:val="0D1F15"/>
          <w:sz w:val="22"/>
          <w:szCs w:val="22"/>
        </w:rPr>
        <w:t>We propose a three-tier partnership with escalating depth of NSSF involvement. NSSF may begin at Tier 1 and progress based on performance milestones.</w:t>
      </w:r>
    </w:p>
    <w:p w14:paraId="31618837">
      <w:pPr>
        <w:spacing w:before="80" w:after="0"/>
      </w:pPr>
    </w:p>
    <w:p w14:paraId="7AD2D8E9">
      <w:pPr>
        <w:pStyle w:val="3"/>
        <w:spacing w:before="240" w:after="80"/>
      </w:pPr>
      <w:r>
        <w:rPr>
          <w:rFonts w:ascii="Arial" w:hAnsi="Arial" w:eastAsia="Arial" w:cs="Arial"/>
          <w:b/>
          <w:bCs/>
          <w:color w:val="0D1F15"/>
          <w:sz w:val="26"/>
          <w:szCs w:val="26"/>
        </w:rPr>
        <w:t>Tier 1: Revenue &amp; Co-Brand Partnership — Months 0–6 (Recommended Entry 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71C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80" w:type="dxa"/>
              <w:left w:w="160" w:type="dxa"/>
              <w:bottom w:w="80" w:type="dxa"/>
              <w:right w:w="120" w:type="dxa"/>
            </w:tcMar>
          </w:tcPr>
          <w:p w14:paraId="588C33B9">
            <w:r>
              <w:rPr>
                <w:rFonts w:ascii="Arial" w:hAnsi="Arial" w:eastAsia="Arial" w:cs="Arial"/>
                <w:color w:val="1A7A45"/>
                <w:sz w:val="20"/>
                <w:szCs w:val="20"/>
              </w:rPr>
              <w:t xml:space="preserve">✅  </w:t>
            </w:r>
            <w:r>
              <w:rPr>
                <w:rFonts w:ascii="Arial" w:hAnsi="Arial" w:eastAsia="Arial" w:cs="Arial"/>
                <w:b w:val="0"/>
                <w:bCs w:val="0"/>
                <w:color w:val="5A6B5E"/>
                <w:sz w:val="20"/>
                <w:szCs w:val="20"/>
              </w:rPr>
              <w:t>NSSF co-brands OwnIt Uganda with institutional endorsement</w:t>
            </w:r>
          </w:p>
        </w:tc>
      </w:tr>
      <w:tr w14:paraId="0D39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096E4CF4">
            <w:r>
              <w:rPr>
                <w:rFonts w:ascii="Arial" w:hAnsi="Arial" w:eastAsia="Arial" w:cs="Arial"/>
                <w:color w:val="1A7A45"/>
                <w:sz w:val="20"/>
                <w:szCs w:val="20"/>
              </w:rPr>
              <w:t xml:space="preserve">✅  </w:t>
            </w:r>
            <w:r>
              <w:rPr>
                <w:rFonts w:ascii="Arial" w:hAnsi="Arial" w:eastAsia="Arial" w:cs="Arial"/>
                <w:b w:val="0"/>
                <w:bCs w:val="0"/>
                <w:color w:val="5A6B5E"/>
                <w:sz w:val="20"/>
                <w:szCs w:val="20"/>
              </w:rPr>
              <w:t>OwnIt integrates NSSF auto-enrollment API — every registration = 1 new NSSF member</w:t>
            </w:r>
          </w:p>
        </w:tc>
      </w:tr>
      <w:tr w14:paraId="5272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80" w:type="dxa"/>
              <w:left w:w="160" w:type="dxa"/>
              <w:bottom w:w="80" w:type="dxa"/>
              <w:right w:w="120" w:type="dxa"/>
            </w:tcMar>
          </w:tcPr>
          <w:p w14:paraId="3676C9D6">
            <w:r>
              <w:rPr>
                <w:rFonts w:ascii="Arial" w:hAnsi="Arial" w:eastAsia="Arial" w:cs="Arial"/>
                <w:color w:val="1A7A45"/>
                <w:sz w:val="20"/>
                <w:szCs w:val="20"/>
              </w:rPr>
              <w:t xml:space="preserve">✅  </w:t>
            </w:r>
            <w:r>
              <w:rPr>
                <w:rFonts w:ascii="Arial" w:hAnsi="Arial" w:eastAsia="Arial" w:cs="Arial"/>
                <w:b w:val="0"/>
                <w:bCs w:val="0"/>
                <w:color w:val="5A6B5E"/>
                <w:sz w:val="20"/>
                <w:szCs w:val="20"/>
              </w:rPr>
              <w:t>NSSF earns 60% of 3% payout charge from Day 1 — no capital investment required</w:t>
            </w:r>
          </w:p>
        </w:tc>
      </w:tr>
      <w:tr w14:paraId="4260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1DC3CCA9">
            <w:r>
              <w:rPr>
                <w:rFonts w:ascii="Arial" w:hAnsi="Arial" w:eastAsia="Arial" w:cs="Arial"/>
                <w:color w:val="1A7A45"/>
                <w:sz w:val="20"/>
                <w:szCs w:val="20"/>
              </w:rPr>
              <w:t xml:space="preserve">✅  </w:t>
            </w:r>
            <w:r>
              <w:rPr>
                <w:rFonts w:ascii="Arial" w:hAnsi="Arial" w:eastAsia="Arial" w:cs="Arial"/>
                <w:b w:val="0"/>
                <w:bCs w:val="0"/>
                <w:color w:val="5A6B5E"/>
                <w:sz w:val="20"/>
                <w:szCs w:val="20"/>
              </w:rPr>
              <w:t>NSSF earns 30% of all listing fees on the platform</w:t>
            </w:r>
          </w:p>
        </w:tc>
      </w:tr>
      <w:tr w14:paraId="0717B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4EFE0"/>
            <w:tcMar>
              <w:top w:w="80" w:type="dxa"/>
              <w:left w:w="160" w:type="dxa"/>
              <w:bottom w:w="80" w:type="dxa"/>
              <w:right w:w="120" w:type="dxa"/>
            </w:tcMar>
          </w:tcPr>
          <w:p w14:paraId="18E71855">
            <w:r>
              <w:rPr>
                <w:rFonts w:ascii="Arial" w:hAnsi="Arial" w:eastAsia="Arial" w:cs="Arial"/>
                <w:color w:val="1A7A45"/>
                <w:sz w:val="20"/>
                <w:szCs w:val="20"/>
              </w:rPr>
              <w:t xml:space="preserve">✅  </w:t>
            </w:r>
            <w:r>
              <w:rPr>
                <w:rFonts w:ascii="Arial" w:hAnsi="Arial" w:eastAsia="Arial" w:cs="Arial"/>
                <w:b w:val="0"/>
                <w:bCs w:val="0"/>
                <w:color w:val="5A6B5E"/>
                <w:sz w:val="20"/>
                <w:szCs w:val="20"/>
              </w:rPr>
              <w:t>SmartLife Flexi post-payout prompt integrated from launch — feeding SFL from Day 1</w:t>
            </w:r>
          </w:p>
        </w:tc>
      </w:tr>
      <w:tr w14:paraId="5BA5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01ACF16D">
            <w:r>
              <w:rPr>
                <w:rFonts w:ascii="Arial" w:hAnsi="Arial" w:eastAsia="Arial" w:cs="Arial"/>
                <w:color w:val="1A7A45"/>
                <w:sz w:val="20"/>
                <w:szCs w:val="20"/>
              </w:rPr>
              <w:t xml:space="preserve">✅  </w:t>
            </w:r>
            <w:r>
              <w:rPr>
                <w:rFonts w:ascii="Arial" w:hAnsi="Arial" w:eastAsia="Arial" w:cs="Arial"/>
                <w:b w:val="0"/>
                <w:bCs w:val="0"/>
                <w:color w:val="5A6B5E"/>
                <w:sz w:val="20"/>
                <w:szCs w:val="20"/>
              </w:rPr>
              <w:t>NSSF holds one seat on Asset Admissions Committee</w:t>
            </w:r>
          </w:p>
        </w:tc>
      </w:tr>
      <w:tr w14:paraId="3C59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589AA21F">
            <w:r>
              <w:rPr>
                <w:rFonts w:ascii="Arial" w:hAnsi="Arial" w:eastAsia="Arial" w:cs="Arial"/>
                <w:b/>
                <w:bCs/>
                <w:color w:val="0D1F15"/>
                <w:sz w:val="20"/>
                <w:szCs w:val="20"/>
              </w:rPr>
              <w:t>Capital required from NSSF: None  |  Target by Month 6: 15,000 users  |  UGX 61M NSSF revenue  |  First SmartLife Flexi referral deposits recorded</w:t>
            </w:r>
          </w:p>
        </w:tc>
      </w:tr>
    </w:tbl>
    <w:p w14:paraId="1465CA88">
      <w:pPr>
        <w:spacing w:before="60" w:after="0"/>
      </w:pPr>
    </w:p>
    <w:p w14:paraId="108425CF">
      <w:pPr>
        <w:pStyle w:val="3"/>
        <w:spacing w:before="240" w:after="80"/>
      </w:pPr>
      <w:r>
        <w:rPr>
          <w:rFonts w:ascii="Arial" w:hAnsi="Arial" w:eastAsia="Arial" w:cs="Arial"/>
          <w:b/>
          <w:bCs/>
          <w:color w:val="0D1F15"/>
          <w:sz w:val="26"/>
          <w:szCs w:val="26"/>
        </w:rPr>
        <w:t>Tier 2: NSSF Hisa Co-Branded Product — Months 6–18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FE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80" w:type="dxa"/>
              <w:left w:w="160" w:type="dxa"/>
              <w:bottom w:w="80" w:type="dxa"/>
              <w:right w:w="120" w:type="dxa"/>
            </w:tcMar>
          </w:tcPr>
          <w:p w14:paraId="48FA7427">
            <w:r>
              <w:rPr>
                <w:rFonts w:ascii="Arial" w:hAnsi="Arial" w:eastAsia="Arial" w:cs="Arial"/>
                <w:color w:val="003F87"/>
                <w:sz w:val="20"/>
                <w:szCs w:val="20"/>
              </w:rPr>
              <w:t xml:space="preserve">✅  </w:t>
            </w:r>
            <w:r>
              <w:rPr>
                <w:rFonts w:ascii="Arial" w:hAnsi="Arial" w:eastAsia="Arial" w:cs="Arial"/>
                <w:b w:val="0"/>
                <w:bCs w:val="0"/>
                <w:color w:val="5A6B5E"/>
                <w:sz w:val="20"/>
                <w:szCs w:val="20"/>
              </w:rPr>
              <w:t>Joint launch of ‘NSSF Hisa’ — a branded voluntary near-term investment product</w:t>
            </w:r>
          </w:p>
        </w:tc>
      </w:tr>
      <w:tr w14:paraId="61C9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1898E63C">
            <w:r>
              <w:rPr>
                <w:rFonts w:ascii="Arial" w:hAnsi="Arial" w:eastAsia="Arial" w:cs="Arial"/>
                <w:color w:val="003F87"/>
                <w:sz w:val="20"/>
                <w:szCs w:val="20"/>
              </w:rPr>
              <w:t xml:space="preserve">✅  </w:t>
            </w:r>
            <w:r>
              <w:rPr>
                <w:rFonts w:ascii="Arial" w:hAnsi="Arial" w:eastAsia="Arial" w:cs="Arial"/>
                <w:b w:val="0"/>
                <w:bCs w:val="0"/>
                <w:color w:val="5A6B5E"/>
                <w:sz w:val="20"/>
                <w:szCs w:val="20"/>
              </w:rPr>
              <w:t>OwnIt investors can auto-sweep a % of each payout to their SmartLife Flexi account (one-tap)</w:t>
            </w:r>
          </w:p>
        </w:tc>
      </w:tr>
      <w:tr w14:paraId="2EE9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80" w:type="dxa"/>
              <w:left w:w="160" w:type="dxa"/>
              <w:bottom w:w="80" w:type="dxa"/>
              <w:right w:w="120" w:type="dxa"/>
            </w:tcMar>
          </w:tcPr>
          <w:p w14:paraId="619CB688">
            <w:r>
              <w:rPr>
                <w:rFonts w:ascii="Arial" w:hAnsi="Arial" w:eastAsia="Arial" w:cs="Arial"/>
                <w:color w:val="003F87"/>
                <w:sz w:val="20"/>
                <w:szCs w:val="20"/>
              </w:rPr>
              <w:t xml:space="preserve">✅  </w:t>
            </w:r>
            <w:r>
              <w:rPr>
                <w:rFonts w:ascii="Arial" w:hAnsi="Arial" w:eastAsia="Arial" w:cs="Arial"/>
                <w:b w:val="0"/>
                <w:bCs w:val="0"/>
                <w:color w:val="5A6B5E"/>
                <w:sz w:val="20"/>
                <w:szCs w:val="20"/>
              </w:rPr>
              <w:t>NSSF-vetted properties and commercial assets listed on platform with NSSF due diligence seal</w:t>
            </w:r>
          </w:p>
        </w:tc>
      </w:tr>
      <w:tr w14:paraId="2827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204987B2">
            <w:r>
              <w:rPr>
                <w:rFonts w:ascii="Arial" w:hAnsi="Arial" w:eastAsia="Arial" w:cs="Arial"/>
                <w:color w:val="003F87"/>
                <w:sz w:val="20"/>
                <w:szCs w:val="20"/>
              </w:rPr>
              <w:t xml:space="preserve">✅  </w:t>
            </w:r>
            <w:r>
              <w:rPr>
                <w:rFonts w:ascii="Arial" w:hAnsi="Arial" w:eastAsia="Arial" w:cs="Arial"/>
                <w:b w:val="0"/>
                <w:bCs w:val="0"/>
                <w:color w:val="5A6B5E"/>
                <w:sz w:val="20"/>
                <w:szCs w:val="20"/>
              </w:rPr>
              <w:t>USSD channel launched for feature phone access (rural/peri-urban markets)</w:t>
            </w:r>
          </w:p>
        </w:tc>
      </w:tr>
      <w:tr w14:paraId="47C7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D6E4F7"/>
            <w:tcMar>
              <w:top w:w="80" w:type="dxa"/>
              <w:left w:w="160" w:type="dxa"/>
              <w:bottom w:w="80" w:type="dxa"/>
              <w:right w:w="120" w:type="dxa"/>
            </w:tcMar>
          </w:tcPr>
          <w:p w14:paraId="7CCE403E">
            <w:r>
              <w:rPr>
                <w:rFonts w:ascii="Arial" w:hAnsi="Arial" w:eastAsia="Arial" w:cs="Arial"/>
                <w:color w:val="003F87"/>
                <w:sz w:val="20"/>
                <w:szCs w:val="20"/>
              </w:rPr>
              <w:t xml:space="preserve">✅  </w:t>
            </w:r>
            <w:r>
              <w:rPr>
                <w:rFonts w:ascii="Arial" w:hAnsi="Arial" w:eastAsia="Arial" w:cs="Arial"/>
                <w:b w:val="0"/>
                <w:bCs w:val="0"/>
                <w:color w:val="5A6B5E"/>
                <w:sz w:val="20"/>
                <w:szCs w:val="20"/>
              </w:rPr>
              <w:t>Joint national marketing campaign: ‘Own it today. Secure it tomorrow.’</w:t>
            </w:r>
          </w:p>
        </w:tc>
      </w:tr>
      <w:tr w14:paraId="3DE9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4BFBCEE5">
            <w:r>
              <w:rPr>
                <w:rFonts w:ascii="Arial" w:hAnsi="Arial" w:eastAsia="Arial" w:cs="Arial"/>
                <w:b/>
                <w:bCs/>
                <w:color w:val="0D1F15"/>
                <w:sz w:val="20"/>
                <w:szCs w:val="20"/>
              </w:rPr>
              <w:t>Capital required from NSSF: Minimal  |  Target by Month 18: 150,000 users  |  UGX 1B NSSF revenue  |  SmartLife Flexi AUM +UGX 500M from OwnIt referrals</w:t>
            </w:r>
          </w:p>
        </w:tc>
      </w:tr>
    </w:tbl>
    <w:p w14:paraId="35E8FE46">
      <w:pPr>
        <w:spacing w:before="60" w:after="0"/>
      </w:pPr>
    </w:p>
    <w:p w14:paraId="2FEF57A1">
      <w:pPr>
        <w:pStyle w:val="3"/>
        <w:spacing w:before="240" w:after="80"/>
      </w:pPr>
      <w:r>
        <w:rPr>
          <w:rFonts w:ascii="Arial" w:hAnsi="Arial" w:eastAsia="Arial" w:cs="Arial"/>
          <w:b/>
          <w:bCs/>
          <w:color w:val="0D1F15"/>
          <w:sz w:val="26"/>
          <w:szCs w:val="26"/>
        </w:rPr>
        <w:t>Tier 3: Strategic Equity &amp; Joint Venture — Months 18+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1A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76361769">
            <w:r>
              <w:rPr>
                <w:rFonts w:ascii="Arial" w:hAnsi="Arial" w:eastAsia="Arial" w:cs="Arial"/>
                <w:color w:val="C17F00"/>
                <w:sz w:val="20"/>
                <w:szCs w:val="20"/>
              </w:rPr>
              <w:t xml:space="preserve">✅  </w:t>
            </w:r>
            <w:r>
              <w:rPr>
                <w:rFonts w:ascii="Arial" w:hAnsi="Arial" w:eastAsia="Arial" w:cs="Arial"/>
                <w:b w:val="0"/>
                <w:bCs w:val="0"/>
                <w:color w:val="5A6B5E"/>
                <w:sz w:val="20"/>
                <w:szCs w:val="20"/>
              </w:rPr>
              <w:t>NSSF acquires strategic equity stake in OwnIt Uganda Ltd.</w:t>
            </w:r>
          </w:p>
        </w:tc>
      </w:tr>
      <w:tr w14:paraId="2C2F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028C5F32">
            <w:r>
              <w:rPr>
                <w:rFonts w:ascii="Arial" w:hAnsi="Arial" w:eastAsia="Arial" w:cs="Arial"/>
                <w:color w:val="C17F00"/>
                <w:sz w:val="20"/>
                <w:szCs w:val="20"/>
              </w:rPr>
              <w:t xml:space="preserve">✅  </w:t>
            </w:r>
            <w:r>
              <w:rPr>
                <w:rFonts w:ascii="Arial" w:hAnsi="Arial" w:eastAsia="Arial" w:cs="Arial"/>
                <w:b w:val="0"/>
                <w:bCs w:val="0"/>
                <w:color w:val="5A6B5E"/>
                <w:sz w:val="20"/>
                <w:szCs w:val="20"/>
              </w:rPr>
              <w:t>NSSF’s own real estate and bond portfolio listed on OwnIt for member co-investment</w:t>
            </w:r>
          </w:p>
        </w:tc>
      </w:tr>
      <w:tr w14:paraId="2B81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4F1CFD40">
            <w:r>
              <w:rPr>
                <w:rFonts w:ascii="Arial" w:hAnsi="Arial" w:eastAsia="Arial" w:cs="Arial"/>
                <w:color w:val="C17F00"/>
                <w:sz w:val="20"/>
                <w:szCs w:val="20"/>
              </w:rPr>
              <w:t xml:space="preserve">✅  </w:t>
            </w:r>
            <w:r>
              <w:rPr>
                <w:rFonts w:ascii="Arial" w:hAnsi="Arial" w:eastAsia="Arial" w:cs="Arial"/>
                <w:b w:val="0"/>
                <w:bCs w:val="0"/>
                <w:color w:val="5A6B5E"/>
                <w:sz w:val="20"/>
                <w:szCs w:val="20"/>
              </w:rPr>
              <w:t>OwnIt becomes the digital voluntary investment arm of NSSF’s product portfolio</w:t>
            </w:r>
          </w:p>
        </w:tc>
      </w:tr>
      <w:tr w14:paraId="26C6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1D49A0A7">
            <w:r>
              <w:rPr>
                <w:rFonts w:ascii="Arial" w:hAnsi="Arial" w:eastAsia="Arial" w:cs="Arial"/>
                <w:color w:val="C17F00"/>
                <w:sz w:val="20"/>
                <w:szCs w:val="20"/>
              </w:rPr>
              <w:t xml:space="preserve">✅  </w:t>
            </w:r>
            <w:r>
              <w:rPr>
                <w:rFonts w:ascii="Arial" w:hAnsi="Arial" w:eastAsia="Arial" w:cs="Arial"/>
                <w:b w:val="0"/>
                <w:bCs w:val="0"/>
                <w:color w:val="5A6B5E"/>
                <w:sz w:val="20"/>
                <w:szCs w:val="20"/>
              </w:rPr>
              <w:t>SmartLife Flexi and OwnIt operate under a unified ‘NSSF Digital’ umbrella brand</w:t>
            </w:r>
          </w:p>
        </w:tc>
      </w:tr>
      <w:tr w14:paraId="4508E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0472A647">
            <w:r>
              <w:rPr>
                <w:rFonts w:ascii="Arial" w:hAnsi="Arial" w:eastAsia="Arial" w:cs="Arial"/>
                <w:color w:val="C17F00"/>
                <w:sz w:val="20"/>
                <w:szCs w:val="20"/>
              </w:rPr>
              <w:t xml:space="preserve">✅  </w:t>
            </w:r>
            <w:r>
              <w:rPr>
                <w:rFonts w:ascii="Arial" w:hAnsi="Arial" w:eastAsia="Arial" w:cs="Arial"/>
                <w:b w:val="0"/>
                <w:bCs w:val="0"/>
                <w:color w:val="5A6B5E"/>
                <w:sz w:val="20"/>
                <w:szCs w:val="20"/>
              </w:rPr>
              <w:t>Joint regulatory framework submission (URBRA + CMA) for ‘Fractional Asset Investment’ category</w:t>
            </w:r>
          </w:p>
        </w:tc>
      </w:tr>
      <w:tr w14:paraId="6B072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FFF"/>
            <w:tcMar>
              <w:top w:w="80" w:type="dxa"/>
              <w:left w:w="160" w:type="dxa"/>
              <w:bottom w:w="80" w:type="dxa"/>
              <w:right w:w="120" w:type="dxa"/>
            </w:tcMar>
          </w:tcPr>
          <w:p w14:paraId="1B6B00DD">
            <w:r>
              <w:rPr>
                <w:rFonts w:ascii="Arial" w:hAnsi="Arial" w:eastAsia="Arial" w:cs="Arial"/>
                <w:color w:val="C17F00"/>
                <w:sz w:val="20"/>
                <w:szCs w:val="20"/>
              </w:rPr>
              <w:t xml:space="preserve">✅  </w:t>
            </w:r>
            <w:r>
              <w:rPr>
                <w:rFonts w:ascii="Arial" w:hAnsi="Arial" w:eastAsia="Arial" w:cs="Arial"/>
                <w:b w:val="0"/>
                <w:bCs w:val="0"/>
                <w:color w:val="5A6B5E"/>
                <w:sz w:val="20"/>
                <w:szCs w:val="20"/>
              </w:rPr>
              <w:t>NSSF pension infrastructure underwrites investor protections on OwnIt</w:t>
            </w:r>
          </w:p>
        </w:tc>
      </w:tr>
      <w:tr w14:paraId="410C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6CB0713B">
            <w:r>
              <w:rPr>
                <w:rFonts w:ascii="Arial" w:hAnsi="Arial" w:eastAsia="Arial" w:cs="Arial"/>
                <w:color w:val="C17F00"/>
                <w:sz w:val="20"/>
                <w:szCs w:val="20"/>
              </w:rPr>
              <w:t xml:space="preserve">✅  </w:t>
            </w:r>
            <w:r>
              <w:rPr>
                <w:rFonts w:ascii="Arial" w:hAnsi="Arial" w:eastAsia="Arial" w:cs="Arial"/>
                <w:b w:val="0"/>
                <w:bCs w:val="0"/>
                <w:color w:val="5A6B5E"/>
                <w:sz w:val="20"/>
                <w:szCs w:val="20"/>
              </w:rPr>
              <w:t>East Africa expansion (Kenya, Tanzania, Rwanda) co-piloted by NSSF and OwnIt</w:t>
            </w:r>
          </w:p>
        </w:tc>
      </w:tr>
      <w:tr w14:paraId="1332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80" w:type="dxa"/>
              <w:left w:w="160" w:type="dxa"/>
              <w:bottom w:w="80" w:type="dxa"/>
              <w:right w:w="120" w:type="dxa"/>
            </w:tcMar>
          </w:tcPr>
          <w:p w14:paraId="7D7A7AA9">
            <w:r>
              <w:rPr>
                <w:rFonts w:ascii="Arial" w:hAnsi="Arial" w:eastAsia="Arial" w:cs="Arial"/>
                <w:b/>
                <w:bCs/>
                <w:color w:val="0D1F15"/>
                <w:sz w:val="20"/>
                <w:szCs w:val="20"/>
              </w:rPr>
              <w:t>Capital required: NSSF equity investment (amount TBD)  |  Target by Month 36: 500,000+ users  |  UGX 4.2B+ NSSF annual revenue  |  SmartLife Flexi AUM +UGX 2B+ from OwnIt pipeline</w:t>
            </w:r>
          </w:p>
        </w:tc>
      </w:tr>
    </w:tbl>
    <w:p w14:paraId="6AA74456">
      <w:r>
        <w:br w:type="page"/>
      </w:r>
    </w:p>
    <w:p w14:paraId="7D1351D3">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2</w:t>
      </w:r>
      <w:r>
        <w:rPr>
          <w:rFonts w:ascii="Arial" w:hAnsi="Arial" w:eastAsia="Arial" w:cs="Arial"/>
          <w:b/>
          <w:bCs/>
          <w:color w:val="1A7A45"/>
          <w:sz w:val="32"/>
          <w:szCs w:val="32"/>
        </w:rPr>
        <w:t>. Technology, Compliance &amp; Security</w:t>
      </w:r>
    </w:p>
    <w:p w14:paraId="5CE7DBA7">
      <w:pPr>
        <w:pBdr>
          <w:bottom w:val="single" w:color="1A7A45" w:sz="12" w:space="1"/>
        </w:pBdr>
        <w:spacing w:before="60" w:after="60"/>
      </w:pPr>
    </w:p>
    <w:p w14:paraId="42034324">
      <w:pPr>
        <w:spacing w:before="240" w:after="80"/>
        <w:rPr>
          <w:color w:val="0D1F15"/>
        </w:rPr>
      </w:pPr>
      <w:r>
        <w:rPr>
          <w:rFonts w:ascii="Arial" w:hAnsi="Arial" w:eastAsia="Arial" w:cs="Arial"/>
          <w:b/>
          <w:bCs/>
          <w:color w:val="0D1F15"/>
          <w:sz w:val="26"/>
          <w:szCs w:val="26"/>
        </w:rPr>
        <w:t>12.1 Platform Technology</w:t>
      </w:r>
    </w:p>
    <w:p w14:paraId="000144FB">
      <w:pPr>
        <w:pStyle w:val="16"/>
        <w:numPr>
          <w:ilvl w:val="0"/>
          <w:numId w:val="1"/>
        </w:numPr>
        <w:spacing w:before="40" w:after="40"/>
        <w:ind w:left="720" w:hanging="360"/>
        <w:rPr>
          <w:color w:val="0D1F15"/>
        </w:rPr>
      </w:pPr>
      <w:r>
        <w:rPr>
          <w:rFonts w:ascii="Arial" w:hAnsi="Arial" w:eastAsia="Arial" w:cs="Arial"/>
          <w:color w:val="0D1F15"/>
          <w:sz w:val="21"/>
          <w:szCs w:val="21"/>
        </w:rPr>
        <w:t>Mobile app (PWA + React Native): Optimised for Uganda’s Android-dominant, low-bandwidth mobile environment. Progressive Web App available immediately; native app in development for Play Store.</w:t>
      </w:r>
    </w:p>
    <w:p w14:paraId="74F3D8C6">
      <w:pPr>
        <w:pStyle w:val="16"/>
        <w:numPr>
          <w:ilvl w:val="0"/>
          <w:numId w:val="1"/>
        </w:numPr>
        <w:spacing w:before="40" w:after="40"/>
        <w:ind w:left="720" w:hanging="360"/>
        <w:rPr>
          <w:color w:val="0D1F15"/>
        </w:rPr>
      </w:pPr>
      <w:r>
        <w:rPr>
          <w:rFonts w:ascii="Arial" w:hAnsi="Arial" w:eastAsia="Arial" w:cs="Arial"/>
          <w:color w:val="0D1F15"/>
          <w:sz w:val="21"/>
          <w:szCs w:val="21"/>
        </w:rPr>
        <w:t>USSD interface (*OwnIt#): Full investment and balance-check functionality via USSD for feature phone users. Critical for rural and peri-urban market penetration.</w:t>
      </w:r>
    </w:p>
    <w:p w14:paraId="57B4EF37">
      <w:pPr>
        <w:pStyle w:val="16"/>
        <w:numPr>
          <w:ilvl w:val="0"/>
          <w:numId w:val="1"/>
        </w:numPr>
        <w:spacing w:before="40" w:after="40"/>
        <w:ind w:left="720" w:hanging="360"/>
        <w:rPr>
          <w:color w:val="0D1F15"/>
        </w:rPr>
      </w:pPr>
      <w:r>
        <w:rPr>
          <w:rFonts w:ascii="Arial" w:hAnsi="Arial" w:eastAsia="Arial" w:cs="Arial"/>
          <w:color w:val="0D1F15"/>
          <w:sz w:val="21"/>
          <w:szCs w:val="21"/>
        </w:rPr>
        <w:t>Payment infrastructure: MTN MoMo API, Airtel Money API, bank RTGS, card payments via licensed PSP. Multi-PSP failover with &lt;30-second MoMo payout processing.</w:t>
      </w:r>
    </w:p>
    <w:p w14:paraId="5D51F784">
      <w:pPr>
        <w:pStyle w:val="16"/>
        <w:numPr>
          <w:ilvl w:val="0"/>
          <w:numId w:val="1"/>
        </w:numPr>
        <w:spacing w:before="40" w:after="40"/>
        <w:ind w:left="720" w:hanging="360"/>
        <w:rPr>
          <w:color w:val="0D1F15"/>
        </w:rPr>
      </w:pPr>
      <w:r>
        <w:rPr>
          <w:rFonts w:ascii="Arial" w:hAnsi="Arial" w:eastAsia="Arial" w:cs="Arial"/>
          <w:color w:val="0D1F15"/>
          <w:sz w:val="21"/>
          <w:szCs w:val="21"/>
        </w:rPr>
        <w:t>NSSF auto-enrollment API: Real-time NSSF member creation via NIRA NIN verification. Member number displayed in-app within 60 seconds of registration.</w:t>
      </w:r>
    </w:p>
    <w:p w14:paraId="6D884C9D">
      <w:pPr>
        <w:pStyle w:val="16"/>
        <w:numPr>
          <w:ilvl w:val="0"/>
          <w:numId w:val="1"/>
        </w:numPr>
        <w:spacing w:before="40" w:after="40"/>
        <w:ind w:left="720" w:hanging="360"/>
        <w:rPr>
          <w:color w:val="0D1F15"/>
        </w:rPr>
      </w:pPr>
      <w:r>
        <w:rPr>
          <w:rFonts w:ascii="Arial" w:hAnsi="Arial" w:eastAsia="Arial" w:cs="Arial"/>
          <w:color w:val="0D1F15"/>
          <w:sz w:val="21"/>
          <w:szCs w:val="21"/>
        </w:rPr>
        <w:t>SmartLife Flexi integration API: Direct one-tap transfer from OwnIt wallet to SmartLife Flexi sub-account. Member’s SFL balance and goal progress visible within OwnIt app dashboard.</w:t>
      </w:r>
    </w:p>
    <w:p w14:paraId="29D44BB6">
      <w:pPr>
        <w:pStyle w:val="16"/>
        <w:numPr>
          <w:ilvl w:val="0"/>
          <w:numId w:val="1"/>
        </w:numPr>
        <w:spacing w:before="40" w:after="40"/>
        <w:ind w:left="720" w:hanging="360"/>
        <w:rPr>
          <w:color w:val="0D1F15"/>
        </w:rPr>
      </w:pPr>
      <w:r>
        <w:rPr>
          <w:rFonts w:ascii="Arial" w:hAnsi="Arial" w:eastAsia="Arial" w:cs="Arial"/>
          <w:color w:val="0D1F15"/>
          <w:sz w:val="21"/>
          <w:szCs w:val="21"/>
        </w:rPr>
        <w:t>Multi-asset ledger engine: Fractional ownership calculation, payout distribution logic, NSSF charge deduction across all nine asset classes on a single unified ledger.</w:t>
      </w:r>
    </w:p>
    <w:p w14:paraId="04837CE3">
      <w:pPr>
        <w:pStyle w:val="16"/>
        <w:numPr>
          <w:ilvl w:val="0"/>
          <w:numId w:val="1"/>
        </w:numPr>
        <w:spacing w:before="40" w:after="40"/>
        <w:ind w:left="720" w:hanging="360"/>
        <w:rPr>
          <w:color w:val="0D1F15"/>
        </w:rPr>
      </w:pPr>
      <w:r>
        <w:rPr>
          <w:rFonts w:ascii="Arial" w:hAnsi="Arial" w:eastAsia="Arial" w:cs="Arial"/>
          <w:color w:val="0D1F15"/>
          <w:sz w:val="21"/>
          <w:szCs w:val="21"/>
        </w:rPr>
        <w:t>Escrow management: Milestone-based fund release to listers. Investor capital held in segregated escrow accounts with a licensed escrow agent until asset delivery triggers.</w:t>
      </w:r>
    </w:p>
    <w:p w14:paraId="53C95F5E">
      <w:pPr>
        <w:spacing w:before="60" w:after="0"/>
      </w:pPr>
    </w:p>
    <w:p w14:paraId="46313766">
      <w:pPr>
        <w:spacing w:before="240" w:after="80"/>
      </w:pPr>
      <w:r>
        <w:rPr>
          <w:rFonts w:ascii="Arial" w:hAnsi="Arial" w:eastAsia="Arial" w:cs="Arial"/>
          <w:b/>
          <w:bCs/>
          <w:color w:val="0D1F15"/>
          <w:sz w:val="26"/>
          <w:szCs w:val="26"/>
        </w:rPr>
        <w:t>12.2 Regulatory Compliance Framework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880"/>
        <w:gridCol w:w="4320"/>
      </w:tblGrid>
      <w:tr w14:paraId="1F15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1A7A45"/>
            <w:tcMar>
              <w:top w:w="80" w:type="dxa"/>
              <w:left w:w="120" w:type="dxa"/>
              <w:bottom w:w="80" w:type="dxa"/>
              <w:right w:w="120" w:type="dxa"/>
            </w:tcMar>
            <w:vAlign w:val="center"/>
          </w:tcPr>
          <w:p w14:paraId="14D31C50">
            <w:pPr>
              <w:jc w:val="left"/>
              <w:rPr>
                <w:color w:val="0D1F15"/>
              </w:rPr>
            </w:pPr>
            <w:r>
              <w:rPr>
                <w:rFonts w:ascii="Arial" w:hAnsi="Arial" w:eastAsia="Arial" w:cs="Arial"/>
                <w:b/>
                <w:bCs/>
                <w:color w:val="FFFFFF"/>
                <w:sz w:val="19"/>
                <w:szCs w:val="19"/>
              </w:rPr>
              <w:t>Regulator</w:t>
            </w:r>
          </w:p>
        </w:tc>
        <w:tc>
          <w:tcPr>
            <w:tcW w:w="2880" w:type="dxa"/>
            <w:tcBorders>
              <w:top w:val="nil"/>
              <w:left w:val="nil"/>
              <w:bottom w:val="nil"/>
              <w:right w:val="nil"/>
            </w:tcBorders>
            <w:shd w:val="clear" w:color="auto" w:fill="1A7A45"/>
            <w:tcMar>
              <w:top w:w="80" w:type="dxa"/>
              <w:left w:w="120" w:type="dxa"/>
              <w:bottom w:w="80" w:type="dxa"/>
              <w:right w:w="120" w:type="dxa"/>
            </w:tcMar>
            <w:vAlign w:val="center"/>
          </w:tcPr>
          <w:p w14:paraId="753779F1">
            <w:pPr>
              <w:jc w:val="left"/>
              <w:rPr>
                <w:color w:val="0D1F15"/>
              </w:rPr>
            </w:pPr>
            <w:r>
              <w:rPr>
                <w:rFonts w:ascii="Arial" w:hAnsi="Arial" w:eastAsia="Arial" w:cs="Arial"/>
                <w:b/>
                <w:bCs/>
                <w:color w:val="FFFFFF"/>
                <w:sz w:val="19"/>
                <w:szCs w:val="19"/>
              </w:rPr>
              <w:t>Applicable Product Classes</w:t>
            </w:r>
          </w:p>
        </w:tc>
        <w:tc>
          <w:tcPr>
            <w:tcW w:w="4320" w:type="dxa"/>
            <w:tcBorders>
              <w:top w:val="nil"/>
              <w:left w:val="nil"/>
              <w:bottom w:val="nil"/>
              <w:right w:val="nil"/>
            </w:tcBorders>
            <w:shd w:val="clear" w:color="auto" w:fill="1A7A45"/>
            <w:tcMar>
              <w:top w:w="80" w:type="dxa"/>
              <w:left w:w="120" w:type="dxa"/>
              <w:bottom w:w="80" w:type="dxa"/>
              <w:right w:w="120" w:type="dxa"/>
            </w:tcMar>
            <w:vAlign w:val="center"/>
          </w:tcPr>
          <w:p w14:paraId="5BA27161">
            <w:pPr>
              <w:jc w:val="left"/>
              <w:rPr>
                <w:color w:val="0D1F15"/>
              </w:rPr>
            </w:pPr>
            <w:r>
              <w:rPr>
                <w:rFonts w:ascii="Arial" w:hAnsi="Arial" w:eastAsia="Arial" w:cs="Arial"/>
                <w:b/>
                <w:bCs/>
                <w:color w:val="FFFFFF"/>
                <w:sz w:val="19"/>
                <w:szCs w:val="19"/>
              </w:rPr>
              <w:t>OwnIt’s Approach</w:t>
            </w:r>
          </w:p>
        </w:tc>
      </w:tr>
      <w:tr w14:paraId="026A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1E2096D6">
            <w:pPr>
              <w:jc w:val="left"/>
              <w:rPr>
                <w:color w:val="0D1F15"/>
              </w:rPr>
            </w:pPr>
            <w:r>
              <w:rPr>
                <w:rFonts w:ascii="Arial" w:hAnsi="Arial" w:eastAsia="Arial" w:cs="Arial"/>
                <w:b/>
                <w:bCs/>
                <w:color w:val="0D1F15"/>
                <w:sz w:val="19"/>
                <w:szCs w:val="19"/>
              </w:rPr>
              <w:t>Capital Markets Authority (CMA)</w:t>
            </w:r>
          </w:p>
        </w:tc>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15AD4F42">
            <w:pPr>
              <w:jc w:val="left"/>
              <w:rPr>
                <w:color w:val="0D1F15"/>
              </w:rPr>
            </w:pPr>
            <w:r>
              <w:rPr>
                <w:rFonts w:ascii="Arial" w:hAnsi="Arial" w:eastAsia="Arial" w:cs="Arial"/>
                <w:b w:val="0"/>
                <w:bCs w:val="0"/>
                <w:color w:val="0D1F15"/>
                <w:sz w:val="19"/>
                <w:szCs w:val="19"/>
              </w:rPr>
              <w:t>Bonds, T-Bills, Stocks, SME Equity, FX instruments</w:t>
            </w:r>
          </w:p>
        </w:tc>
        <w:tc>
          <w:tcPr>
            <w:tcW w:w="4320" w:type="dxa"/>
            <w:tcBorders>
              <w:top w:val="nil"/>
              <w:left w:val="nil"/>
              <w:bottom w:val="nil"/>
              <w:right w:val="nil"/>
            </w:tcBorders>
            <w:shd w:val="clear" w:color="auto" w:fill="FFFFFF"/>
            <w:tcMar>
              <w:top w:w="80" w:type="dxa"/>
              <w:left w:w="120" w:type="dxa"/>
              <w:bottom w:w="80" w:type="dxa"/>
              <w:right w:w="120" w:type="dxa"/>
            </w:tcMar>
            <w:vAlign w:val="center"/>
          </w:tcPr>
          <w:p w14:paraId="42D43653">
            <w:pPr>
              <w:jc w:val="left"/>
              <w:rPr>
                <w:color w:val="0D1F15"/>
              </w:rPr>
            </w:pPr>
            <w:r>
              <w:rPr>
                <w:rFonts w:ascii="Arial" w:hAnsi="Arial" w:eastAsia="Arial" w:cs="Arial"/>
                <w:b w:val="0"/>
                <w:bCs w:val="0"/>
                <w:color w:val="0D1F15"/>
                <w:sz w:val="19"/>
                <w:szCs w:val="19"/>
              </w:rPr>
              <w:t>Licensed as Collective Investment Scheme operator; dealer partnerships with CMA-registered members</w:t>
            </w:r>
          </w:p>
        </w:tc>
      </w:tr>
      <w:tr w14:paraId="12A3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3D2D263D">
            <w:pPr>
              <w:jc w:val="left"/>
              <w:rPr>
                <w:color w:val="0D1F15"/>
              </w:rPr>
            </w:pPr>
            <w:r>
              <w:rPr>
                <w:rFonts w:ascii="Arial" w:hAnsi="Arial" w:eastAsia="Arial" w:cs="Arial"/>
                <w:b/>
                <w:bCs/>
                <w:color w:val="0D1F15"/>
                <w:sz w:val="19"/>
                <w:szCs w:val="19"/>
              </w:rPr>
              <w:t>URBRA</w:t>
            </w:r>
          </w:p>
        </w:tc>
        <w:tc>
          <w:tcPr>
            <w:tcW w:w="2880" w:type="dxa"/>
            <w:tcBorders>
              <w:top w:val="nil"/>
              <w:left w:val="nil"/>
              <w:bottom w:val="nil"/>
              <w:right w:val="nil"/>
            </w:tcBorders>
            <w:shd w:val="clear" w:color="auto" w:fill="D4EFE0"/>
            <w:tcMar>
              <w:top w:w="80" w:type="dxa"/>
              <w:left w:w="120" w:type="dxa"/>
              <w:bottom w:w="80" w:type="dxa"/>
              <w:right w:w="120" w:type="dxa"/>
            </w:tcMar>
            <w:vAlign w:val="center"/>
          </w:tcPr>
          <w:p w14:paraId="3954884E">
            <w:pPr>
              <w:jc w:val="left"/>
              <w:rPr>
                <w:color w:val="0D1F15"/>
              </w:rPr>
            </w:pPr>
            <w:r>
              <w:rPr>
                <w:rFonts w:ascii="Arial" w:hAnsi="Arial" w:eastAsia="Arial" w:cs="Arial"/>
                <w:b w:val="0"/>
                <w:bCs w:val="0"/>
                <w:color w:val="0D1F15"/>
                <w:sz w:val="19"/>
                <w:szCs w:val="19"/>
              </w:rPr>
              <w:t>Pension-linked products (Tier 2 NSSF Hisa, SFL sweep)</w:t>
            </w:r>
          </w:p>
        </w:tc>
        <w:tc>
          <w:tcPr>
            <w:tcW w:w="4320" w:type="dxa"/>
            <w:tcBorders>
              <w:top w:val="nil"/>
              <w:left w:val="nil"/>
              <w:bottom w:val="nil"/>
              <w:right w:val="nil"/>
            </w:tcBorders>
            <w:shd w:val="clear" w:color="auto" w:fill="D4EFE0"/>
            <w:tcMar>
              <w:top w:w="80" w:type="dxa"/>
              <w:left w:w="120" w:type="dxa"/>
              <w:bottom w:w="80" w:type="dxa"/>
              <w:right w:w="120" w:type="dxa"/>
            </w:tcMar>
            <w:vAlign w:val="center"/>
          </w:tcPr>
          <w:p w14:paraId="39D36D9D">
            <w:pPr>
              <w:jc w:val="left"/>
              <w:rPr>
                <w:color w:val="0D1F15"/>
              </w:rPr>
            </w:pPr>
            <w:r>
              <w:rPr>
                <w:rFonts w:ascii="Arial" w:hAnsi="Arial" w:eastAsia="Arial" w:cs="Arial"/>
                <w:b w:val="0"/>
                <w:bCs w:val="0"/>
                <w:color w:val="0D1F15"/>
                <w:sz w:val="19"/>
                <w:szCs w:val="19"/>
              </w:rPr>
              <w:t>Joint NSSF-OwnIt regulatory submission; product structured as voluntary savings complement</w:t>
            </w:r>
          </w:p>
        </w:tc>
      </w:tr>
      <w:tr w14:paraId="18007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444D7E73">
            <w:pPr>
              <w:jc w:val="left"/>
              <w:rPr>
                <w:color w:val="0D1F15"/>
              </w:rPr>
            </w:pPr>
            <w:r>
              <w:rPr>
                <w:rFonts w:ascii="Arial" w:hAnsi="Arial" w:eastAsia="Arial" w:cs="Arial"/>
                <w:b/>
                <w:bCs/>
                <w:color w:val="0D1F15"/>
                <w:sz w:val="19"/>
                <w:szCs w:val="19"/>
              </w:rPr>
              <w:t>Bank of Uganda (BoU)</w:t>
            </w:r>
          </w:p>
        </w:tc>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72CF1436">
            <w:pPr>
              <w:jc w:val="left"/>
              <w:rPr>
                <w:color w:val="0D1F15"/>
              </w:rPr>
            </w:pPr>
            <w:r>
              <w:rPr>
                <w:rFonts w:ascii="Arial" w:hAnsi="Arial" w:eastAsia="Arial" w:cs="Arial"/>
                <w:b w:val="0"/>
                <w:bCs w:val="0"/>
                <w:color w:val="0D1F15"/>
                <w:sz w:val="19"/>
                <w:szCs w:val="19"/>
              </w:rPr>
              <w:t>FX instruments, remittance products</w:t>
            </w:r>
          </w:p>
        </w:tc>
        <w:tc>
          <w:tcPr>
            <w:tcW w:w="4320" w:type="dxa"/>
            <w:tcBorders>
              <w:top w:val="nil"/>
              <w:left w:val="nil"/>
              <w:bottom w:val="nil"/>
              <w:right w:val="nil"/>
            </w:tcBorders>
            <w:shd w:val="clear" w:color="auto" w:fill="FFFFFF"/>
            <w:tcMar>
              <w:top w:w="80" w:type="dxa"/>
              <w:left w:w="120" w:type="dxa"/>
              <w:bottom w:w="80" w:type="dxa"/>
              <w:right w:w="120" w:type="dxa"/>
            </w:tcMar>
            <w:vAlign w:val="center"/>
          </w:tcPr>
          <w:p w14:paraId="07F24FA1">
            <w:pPr>
              <w:jc w:val="left"/>
              <w:rPr>
                <w:color w:val="0D1F15"/>
              </w:rPr>
            </w:pPr>
            <w:r>
              <w:rPr>
                <w:rFonts w:ascii="Arial" w:hAnsi="Arial" w:eastAsia="Arial" w:cs="Arial"/>
                <w:b w:val="0"/>
                <w:bCs w:val="0"/>
                <w:color w:val="0D1F15"/>
                <w:sz w:val="19"/>
                <w:szCs w:val="19"/>
              </w:rPr>
              <w:t>FX lister partners must hold BoU forex dealing licences; OwnIt operates as licensed platform, not as dealer</w:t>
            </w:r>
          </w:p>
        </w:tc>
      </w:tr>
      <w:tr w14:paraId="6C8B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553B3668">
            <w:pPr>
              <w:jc w:val="left"/>
              <w:rPr>
                <w:color w:val="0D1F15"/>
              </w:rPr>
            </w:pPr>
            <w:r>
              <w:rPr>
                <w:rFonts w:ascii="Arial" w:hAnsi="Arial" w:eastAsia="Arial" w:cs="Arial"/>
                <w:b/>
                <w:bCs/>
                <w:color w:val="0D1F15"/>
                <w:sz w:val="19"/>
                <w:szCs w:val="19"/>
              </w:rPr>
              <w:t>Petroleum Authority of Uganda</w:t>
            </w:r>
          </w:p>
        </w:tc>
        <w:tc>
          <w:tcPr>
            <w:tcW w:w="2880" w:type="dxa"/>
            <w:tcBorders>
              <w:top w:val="nil"/>
              <w:left w:val="nil"/>
              <w:bottom w:val="nil"/>
              <w:right w:val="nil"/>
            </w:tcBorders>
            <w:shd w:val="clear" w:color="auto" w:fill="D4EFE0"/>
            <w:tcMar>
              <w:top w:w="80" w:type="dxa"/>
              <w:left w:w="120" w:type="dxa"/>
              <w:bottom w:w="80" w:type="dxa"/>
              <w:right w:w="120" w:type="dxa"/>
            </w:tcMar>
            <w:vAlign w:val="center"/>
          </w:tcPr>
          <w:p w14:paraId="79DB4EFC">
            <w:pPr>
              <w:jc w:val="left"/>
              <w:rPr>
                <w:color w:val="0D1F15"/>
              </w:rPr>
            </w:pPr>
            <w:r>
              <w:rPr>
                <w:rFonts w:ascii="Arial" w:hAnsi="Arial" w:eastAsia="Arial" w:cs="Arial"/>
                <w:b w:val="0"/>
                <w:bCs w:val="0"/>
                <w:color w:val="0D1F15"/>
                <w:sz w:val="19"/>
                <w:szCs w:val="19"/>
              </w:rPr>
              <w:t>Petroleum &amp; oil products</w:t>
            </w:r>
          </w:p>
        </w:tc>
        <w:tc>
          <w:tcPr>
            <w:tcW w:w="4320" w:type="dxa"/>
            <w:tcBorders>
              <w:top w:val="nil"/>
              <w:left w:val="nil"/>
              <w:bottom w:val="nil"/>
              <w:right w:val="nil"/>
            </w:tcBorders>
            <w:shd w:val="clear" w:color="auto" w:fill="D4EFE0"/>
            <w:tcMar>
              <w:top w:w="80" w:type="dxa"/>
              <w:left w:w="120" w:type="dxa"/>
              <w:bottom w:w="80" w:type="dxa"/>
              <w:right w:w="120" w:type="dxa"/>
            </w:tcMar>
            <w:vAlign w:val="center"/>
          </w:tcPr>
          <w:p w14:paraId="6E9BCBAB">
            <w:pPr>
              <w:jc w:val="left"/>
              <w:rPr>
                <w:color w:val="0D1F15"/>
              </w:rPr>
            </w:pPr>
            <w:r>
              <w:rPr>
                <w:rFonts w:ascii="Arial" w:hAnsi="Arial" w:eastAsia="Arial" w:cs="Arial"/>
                <w:b w:val="0"/>
                <w:bCs w:val="0"/>
                <w:color w:val="0D1F15"/>
                <w:sz w:val="19"/>
                <w:szCs w:val="19"/>
              </w:rPr>
              <w:t>All petroleum listers must hold valid PAU licences; consignment documentation verified pre-listing</w:t>
            </w:r>
          </w:p>
        </w:tc>
      </w:tr>
      <w:tr w14:paraId="7B64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7DF1E69F">
            <w:pPr>
              <w:jc w:val="left"/>
              <w:rPr>
                <w:color w:val="0D1F15"/>
              </w:rPr>
            </w:pPr>
            <w:r>
              <w:rPr>
                <w:rFonts w:ascii="Arial" w:hAnsi="Arial" w:eastAsia="Arial" w:cs="Arial"/>
                <w:b/>
                <w:bCs/>
                <w:color w:val="0D1F15"/>
                <w:sz w:val="19"/>
                <w:szCs w:val="19"/>
              </w:rPr>
              <w:t>DGSM Uganda</w:t>
            </w:r>
          </w:p>
        </w:tc>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5554E28C">
            <w:pPr>
              <w:jc w:val="left"/>
              <w:rPr>
                <w:color w:val="0D1F15"/>
              </w:rPr>
            </w:pPr>
            <w:r>
              <w:rPr>
                <w:rFonts w:ascii="Arial" w:hAnsi="Arial" w:eastAsia="Arial" w:cs="Arial"/>
                <w:b w:val="0"/>
                <w:bCs w:val="0"/>
                <w:color w:val="0D1F15"/>
                <w:sz w:val="19"/>
                <w:szCs w:val="19"/>
              </w:rPr>
              <w:t>Rare earth minerals &amp; precious commodities</w:t>
            </w:r>
          </w:p>
        </w:tc>
        <w:tc>
          <w:tcPr>
            <w:tcW w:w="4320" w:type="dxa"/>
            <w:tcBorders>
              <w:top w:val="nil"/>
              <w:left w:val="nil"/>
              <w:bottom w:val="nil"/>
              <w:right w:val="nil"/>
            </w:tcBorders>
            <w:shd w:val="clear" w:color="auto" w:fill="FFFFFF"/>
            <w:tcMar>
              <w:top w:w="80" w:type="dxa"/>
              <w:left w:w="120" w:type="dxa"/>
              <w:bottom w:w="80" w:type="dxa"/>
              <w:right w:w="120" w:type="dxa"/>
            </w:tcMar>
            <w:vAlign w:val="center"/>
          </w:tcPr>
          <w:p w14:paraId="57699F92">
            <w:pPr>
              <w:jc w:val="left"/>
              <w:rPr>
                <w:color w:val="0D1F15"/>
              </w:rPr>
            </w:pPr>
            <w:r>
              <w:rPr>
                <w:rFonts w:ascii="Arial" w:hAnsi="Arial" w:eastAsia="Arial" w:cs="Arial"/>
                <w:b w:val="0"/>
                <w:bCs w:val="0"/>
                <w:color w:val="0D1F15"/>
                <w:sz w:val="19"/>
                <w:szCs w:val="19"/>
              </w:rPr>
              <w:t>ICGLR conflict-free certification required; DGSM export licence verified; assay certificates mandatory</w:t>
            </w:r>
          </w:p>
        </w:tc>
      </w:tr>
      <w:tr w14:paraId="3612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D4EFE0"/>
            <w:tcMar>
              <w:top w:w="80" w:type="dxa"/>
              <w:left w:w="120" w:type="dxa"/>
              <w:bottom w:w="80" w:type="dxa"/>
              <w:right w:w="120" w:type="dxa"/>
            </w:tcMar>
            <w:vAlign w:val="center"/>
          </w:tcPr>
          <w:p w14:paraId="3948B521">
            <w:pPr>
              <w:jc w:val="left"/>
              <w:rPr>
                <w:color w:val="0D1F15"/>
              </w:rPr>
            </w:pPr>
            <w:r>
              <w:rPr>
                <w:rFonts w:ascii="Arial" w:hAnsi="Arial" w:eastAsia="Arial" w:cs="Arial"/>
                <w:b/>
                <w:bCs/>
                <w:color w:val="0D1F15"/>
                <w:sz w:val="19"/>
                <w:szCs w:val="19"/>
              </w:rPr>
              <w:t>Uganda Revenue Authority</w:t>
            </w:r>
          </w:p>
        </w:tc>
        <w:tc>
          <w:tcPr>
            <w:tcW w:w="2880" w:type="dxa"/>
            <w:tcBorders>
              <w:top w:val="nil"/>
              <w:left w:val="nil"/>
              <w:bottom w:val="nil"/>
              <w:right w:val="nil"/>
            </w:tcBorders>
            <w:shd w:val="clear" w:color="auto" w:fill="D4EFE0"/>
            <w:tcMar>
              <w:top w:w="80" w:type="dxa"/>
              <w:left w:w="120" w:type="dxa"/>
              <w:bottom w:w="80" w:type="dxa"/>
              <w:right w:w="120" w:type="dxa"/>
            </w:tcMar>
            <w:vAlign w:val="center"/>
          </w:tcPr>
          <w:p w14:paraId="22D2DD33">
            <w:pPr>
              <w:jc w:val="left"/>
              <w:rPr>
                <w:color w:val="0D1F15"/>
              </w:rPr>
            </w:pPr>
            <w:r>
              <w:rPr>
                <w:rFonts w:ascii="Arial" w:hAnsi="Arial" w:eastAsia="Arial" w:cs="Arial"/>
                <w:b w:val="0"/>
                <w:bCs w:val="0"/>
                <w:color w:val="0D1F15"/>
                <w:sz w:val="19"/>
                <w:szCs w:val="19"/>
              </w:rPr>
              <w:t>All asset classes (tax on returns)</w:t>
            </w:r>
          </w:p>
        </w:tc>
        <w:tc>
          <w:tcPr>
            <w:tcW w:w="4320" w:type="dxa"/>
            <w:tcBorders>
              <w:top w:val="nil"/>
              <w:left w:val="nil"/>
              <w:bottom w:val="nil"/>
              <w:right w:val="nil"/>
            </w:tcBorders>
            <w:shd w:val="clear" w:color="auto" w:fill="D4EFE0"/>
            <w:tcMar>
              <w:top w:w="80" w:type="dxa"/>
              <w:left w:w="120" w:type="dxa"/>
              <w:bottom w:w="80" w:type="dxa"/>
              <w:right w:w="120" w:type="dxa"/>
            </w:tcMar>
            <w:vAlign w:val="center"/>
          </w:tcPr>
          <w:p w14:paraId="4B8DE78C">
            <w:pPr>
              <w:jc w:val="left"/>
              <w:rPr>
                <w:color w:val="0D1F15"/>
              </w:rPr>
            </w:pPr>
            <w:r>
              <w:rPr>
                <w:rFonts w:ascii="Arial" w:hAnsi="Arial" w:eastAsia="Arial" w:cs="Arial"/>
                <w:b w:val="0"/>
                <w:bCs w:val="0"/>
                <w:color w:val="0D1F15"/>
                <w:sz w:val="19"/>
                <w:szCs w:val="19"/>
              </w:rPr>
              <w:t>Platform issues investor tax statements; withholding tax deducted at source where applicable</w:t>
            </w:r>
          </w:p>
        </w:tc>
      </w:tr>
      <w:tr w14:paraId="07D1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nil"/>
              <w:left w:val="nil"/>
              <w:bottom w:val="nil"/>
              <w:right w:val="nil"/>
            </w:tcBorders>
            <w:shd w:val="clear" w:color="auto" w:fill="FFFFFF"/>
            <w:tcMar>
              <w:top w:w="80" w:type="dxa"/>
              <w:left w:w="120" w:type="dxa"/>
              <w:bottom w:w="80" w:type="dxa"/>
              <w:right w:w="120" w:type="dxa"/>
            </w:tcMar>
            <w:vAlign w:val="center"/>
          </w:tcPr>
          <w:p w14:paraId="3483D099">
            <w:pPr>
              <w:jc w:val="left"/>
              <w:rPr>
                <w:color w:val="0D1F15"/>
              </w:rPr>
            </w:pPr>
            <w:r>
              <w:rPr>
                <w:rFonts w:ascii="Arial" w:hAnsi="Arial" w:eastAsia="Arial" w:cs="Arial"/>
                <w:b/>
                <w:bCs/>
                <w:color w:val="0D1F15"/>
                <w:sz w:val="19"/>
                <w:szCs w:val="19"/>
              </w:rPr>
              <w:t>Financial Intelligence Authority (FIA)</w:t>
            </w:r>
          </w:p>
        </w:tc>
        <w:tc>
          <w:tcPr>
            <w:tcW w:w="2880" w:type="dxa"/>
            <w:tcBorders>
              <w:top w:val="nil"/>
              <w:left w:val="nil"/>
              <w:bottom w:val="nil"/>
              <w:right w:val="nil"/>
            </w:tcBorders>
            <w:shd w:val="clear" w:color="auto" w:fill="FFFFFF"/>
            <w:tcMar>
              <w:top w:w="80" w:type="dxa"/>
              <w:left w:w="120" w:type="dxa"/>
              <w:bottom w:w="80" w:type="dxa"/>
              <w:right w:w="120" w:type="dxa"/>
            </w:tcMar>
            <w:vAlign w:val="center"/>
          </w:tcPr>
          <w:p w14:paraId="468719DF">
            <w:pPr>
              <w:jc w:val="left"/>
              <w:rPr>
                <w:color w:val="0D1F15"/>
              </w:rPr>
            </w:pPr>
            <w:r>
              <w:rPr>
                <w:rFonts w:ascii="Arial" w:hAnsi="Arial" w:eastAsia="Arial" w:cs="Arial"/>
                <w:b w:val="0"/>
                <w:bCs w:val="0"/>
                <w:color w:val="0D1F15"/>
                <w:sz w:val="19"/>
                <w:szCs w:val="19"/>
              </w:rPr>
              <w:t>AML/CFT across all classes</w:t>
            </w:r>
          </w:p>
        </w:tc>
        <w:tc>
          <w:tcPr>
            <w:tcW w:w="4320" w:type="dxa"/>
            <w:tcBorders>
              <w:top w:val="nil"/>
              <w:left w:val="nil"/>
              <w:bottom w:val="nil"/>
              <w:right w:val="nil"/>
            </w:tcBorders>
            <w:shd w:val="clear" w:color="auto" w:fill="FFFFFF"/>
            <w:tcMar>
              <w:top w:w="80" w:type="dxa"/>
              <w:left w:w="120" w:type="dxa"/>
              <w:bottom w:w="80" w:type="dxa"/>
              <w:right w:w="120" w:type="dxa"/>
            </w:tcMar>
            <w:vAlign w:val="center"/>
          </w:tcPr>
          <w:p w14:paraId="49A04131">
            <w:pPr>
              <w:jc w:val="left"/>
              <w:rPr>
                <w:color w:val="0D1F15"/>
              </w:rPr>
            </w:pPr>
            <w:r>
              <w:rPr>
                <w:rFonts w:ascii="Arial" w:hAnsi="Arial" w:eastAsia="Arial" w:cs="Arial"/>
                <w:b w:val="0"/>
                <w:bCs w:val="0"/>
                <w:color w:val="0D1F15"/>
                <w:sz w:val="19"/>
                <w:szCs w:val="19"/>
              </w:rPr>
              <w:t>Risk-based AML policy; STR filing protocol; transaction monitoring system integrated with FIA reporting</w:t>
            </w:r>
          </w:p>
        </w:tc>
      </w:tr>
    </w:tbl>
    <w:p w14:paraId="06ED358B">
      <w:r>
        <w:br w:type="page"/>
      </w:r>
    </w:p>
    <w:p w14:paraId="0A537A38">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3</w:t>
      </w:r>
      <w:r>
        <w:rPr>
          <w:rFonts w:ascii="Arial" w:hAnsi="Arial" w:eastAsia="Arial" w:cs="Arial"/>
          <w:b/>
          <w:bCs/>
          <w:color w:val="1A7A45"/>
          <w:sz w:val="32"/>
          <w:szCs w:val="32"/>
        </w:rPr>
        <w:t>. Financial Projections</w:t>
      </w:r>
    </w:p>
    <w:p w14:paraId="5DCCF51B">
      <w:pPr>
        <w:pBdr>
          <w:bottom w:val="single" w:color="1A7A45" w:sz="12" w:space="1"/>
        </w:pBdr>
        <w:spacing w:before="60" w:after="60"/>
      </w:pPr>
    </w:p>
    <w:p w14:paraId="59B5AC4C">
      <w:pPr>
        <w:spacing w:before="240" w:after="80"/>
        <w:rPr>
          <w:color w:val="0D1F15"/>
        </w:rPr>
      </w:pPr>
      <w:r>
        <w:rPr>
          <w:rFonts w:ascii="Arial" w:hAnsi="Arial" w:eastAsia="Arial" w:cs="Arial"/>
          <w:b/>
          <w:bCs/>
          <w:color w:val="0D1F15"/>
          <w:sz w:val="26"/>
          <w:szCs w:val="26"/>
        </w:rPr>
        <w:t>13.1 Modelling Assumptions</w:t>
      </w:r>
    </w:p>
    <w:p w14:paraId="32598000">
      <w:pPr>
        <w:pStyle w:val="16"/>
        <w:numPr>
          <w:ilvl w:val="0"/>
          <w:numId w:val="1"/>
        </w:numPr>
        <w:spacing w:before="40" w:after="40"/>
        <w:ind w:left="720" w:hanging="360"/>
        <w:rPr>
          <w:color w:val="0D1F15"/>
        </w:rPr>
      </w:pPr>
      <w:r>
        <w:rPr>
          <w:rFonts w:ascii="Arial" w:hAnsi="Arial" w:eastAsia="Arial" w:cs="Arial"/>
          <w:color w:val="0D1F15"/>
          <w:sz w:val="21"/>
          <w:szCs w:val="21"/>
        </w:rPr>
        <w:t>Average investor portfolio: UGX 900,000 blended across all asset classes.</w:t>
      </w:r>
    </w:p>
    <w:p w14:paraId="43693AA2">
      <w:pPr>
        <w:pStyle w:val="16"/>
        <w:numPr>
          <w:ilvl w:val="0"/>
          <w:numId w:val="1"/>
        </w:numPr>
        <w:spacing w:before="40" w:after="40"/>
        <w:ind w:left="720" w:hanging="360"/>
        <w:rPr>
          <w:color w:val="0D1F15"/>
        </w:rPr>
      </w:pPr>
      <w:r>
        <w:rPr>
          <w:rFonts w:ascii="Arial" w:hAnsi="Arial" w:eastAsia="Arial" w:cs="Arial"/>
          <w:color w:val="0D1F15"/>
          <w:sz w:val="21"/>
          <w:szCs w:val="21"/>
        </w:rPr>
        <w:t>Average cycle frequency: 3 payout cycles per year per investor (blended across all 9 asset classes).</w:t>
      </w:r>
    </w:p>
    <w:p w14:paraId="02D0380D">
      <w:pPr>
        <w:pStyle w:val="16"/>
        <w:numPr>
          <w:ilvl w:val="0"/>
          <w:numId w:val="1"/>
        </w:numPr>
        <w:spacing w:before="40" w:after="40"/>
        <w:ind w:left="720" w:hanging="360"/>
        <w:rPr>
          <w:color w:val="0D1F15"/>
        </w:rPr>
      </w:pPr>
      <w:r>
        <w:rPr>
          <w:rFonts w:ascii="Arial" w:hAnsi="Arial" w:eastAsia="Arial" w:cs="Arial"/>
          <w:color w:val="0D1F15"/>
          <w:sz w:val="21"/>
          <w:szCs w:val="21"/>
        </w:rPr>
        <w:t>Average blended gross return: 20% per cycle across portfolio.</w:t>
      </w:r>
    </w:p>
    <w:p w14:paraId="36F01353">
      <w:pPr>
        <w:pStyle w:val="16"/>
        <w:numPr>
          <w:ilvl w:val="0"/>
          <w:numId w:val="1"/>
        </w:numPr>
        <w:spacing w:before="40" w:after="40"/>
        <w:ind w:left="720" w:hanging="360"/>
        <w:rPr>
          <w:color w:val="0D1F15"/>
        </w:rPr>
      </w:pPr>
      <w:r>
        <w:rPr>
          <w:rFonts w:ascii="Arial" w:hAnsi="Arial" w:eastAsia="Arial" w:cs="Arial"/>
          <w:color w:val="0D1F15"/>
          <w:sz w:val="21"/>
          <w:szCs w:val="21"/>
        </w:rPr>
        <w:t>3% charge basis: Applied to gross returns; split 60/40 between NSSF and OwnIt.</w:t>
      </w:r>
    </w:p>
    <w:p w14:paraId="2B59B64C">
      <w:pPr>
        <w:pStyle w:val="16"/>
        <w:numPr>
          <w:ilvl w:val="0"/>
          <w:numId w:val="1"/>
        </w:numPr>
        <w:spacing w:before="40" w:after="40"/>
        <w:ind w:left="720" w:hanging="360"/>
        <w:rPr>
          <w:color w:val="0D1F15"/>
        </w:rPr>
      </w:pPr>
      <w:r>
        <w:rPr>
          <w:rFonts w:ascii="Arial" w:hAnsi="Arial" w:eastAsia="Arial" w:cs="Arial"/>
          <w:color w:val="0D1F15"/>
          <w:sz w:val="21"/>
          <w:szCs w:val="21"/>
        </w:rPr>
        <w:t>Listing growth: 15 new listings/month Year 1, scaling to 120/month by Year 5.</w:t>
      </w:r>
    </w:p>
    <w:p w14:paraId="1821BB8A">
      <w:pPr>
        <w:spacing w:before="80" w:after="0"/>
      </w:pPr>
    </w:p>
    <w:p w14:paraId="1896212D">
      <w:pPr>
        <w:spacing w:before="240" w:after="80"/>
        <w:rPr>
          <w:color w:val="0D1F15"/>
        </w:rPr>
      </w:pPr>
      <w:r>
        <w:rPr>
          <w:rFonts w:ascii="Arial" w:hAnsi="Arial" w:eastAsia="Arial" w:cs="Arial"/>
          <w:b/>
          <w:bCs/>
          <w:color w:val="0D1F15"/>
          <w:sz w:val="26"/>
          <w:szCs w:val="26"/>
        </w:rPr>
        <w:t>13.2 Platform Growth Projections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1296"/>
        <w:gridCol w:w="1296"/>
        <w:gridCol w:w="1296"/>
        <w:gridCol w:w="1296"/>
        <w:gridCol w:w="1296"/>
      </w:tblGrid>
      <w:tr w14:paraId="03C0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23CDA8F3">
            <w:pPr>
              <w:jc w:val="left"/>
            </w:pPr>
            <w:r>
              <w:rPr>
                <w:rFonts w:ascii="Arial" w:hAnsi="Arial" w:eastAsia="Arial" w:cs="Arial"/>
                <w:b/>
                <w:bCs/>
                <w:color w:val="FFFFFF"/>
                <w:sz w:val="19"/>
                <w:szCs w:val="19"/>
              </w:rPr>
              <w:t>Metric</w:t>
            </w:r>
          </w:p>
        </w:tc>
        <w:tc>
          <w:tcPr>
            <w:tcW w:w="1296"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03652CDE">
            <w:pPr>
              <w:jc w:val="left"/>
            </w:pPr>
            <w:r>
              <w:rPr>
                <w:rFonts w:ascii="Arial" w:hAnsi="Arial" w:eastAsia="Arial" w:cs="Arial"/>
                <w:b/>
                <w:bCs/>
                <w:color w:val="FFFFFF"/>
                <w:sz w:val="19"/>
                <w:szCs w:val="19"/>
              </w:rPr>
              <w:t>Year 1</w:t>
            </w:r>
          </w:p>
        </w:tc>
        <w:tc>
          <w:tcPr>
            <w:tcW w:w="1296"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49AFA6C6">
            <w:pPr>
              <w:jc w:val="left"/>
            </w:pPr>
            <w:r>
              <w:rPr>
                <w:rFonts w:ascii="Arial" w:hAnsi="Arial" w:eastAsia="Arial" w:cs="Arial"/>
                <w:b/>
                <w:bCs/>
                <w:color w:val="FFFFFF"/>
                <w:sz w:val="19"/>
                <w:szCs w:val="19"/>
              </w:rPr>
              <w:t>Year 2</w:t>
            </w:r>
          </w:p>
        </w:tc>
        <w:tc>
          <w:tcPr>
            <w:tcW w:w="1296"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3AAB86E4">
            <w:pPr>
              <w:jc w:val="left"/>
            </w:pPr>
            <w:r>
              <w:rPr>
                <w:rFonts w:ascii="Arial" w:hAnsi="Arial" w:eastAsia="Arial" w:cs="Arial"/>
                <w:b/>
                <w:bCs/>
                <w:color w:val="FFFFFF"/>
                <w:sz w:val="19"/>
                <w:szCs w:val="19"/>
              </w:rPr>
              <w:t>Year 3</w:t>
            </w:r>
          </w:p>
        </w:tc>
        <w:tc>
          <w:tcPr>
            <w:tcW w:w="1296"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121E4436">
            <w:pPr>
              <w:jc w:val="left"/>
            </w:pPr>
            <w:r>
              <w:rPr>
                <w:rFonts w:ascii="Arial" w:hAnsi="Arial" w:eastAsia="Arial" w:cs="Arial"/>
                <w:b/>
                <w:bCs/>
                <w:color w:val="FFFFFF"/>
                <w:sz w:val="19"/>
                <w:szCs w:val="19"/>
              </w:rPr>
              <w:t>Year 4</w:t>
            </w:r>
          </w:p>
        </w:tc>
        <w:tc>
          <w:tcPr>
            <w:tcW w:w="1296" w:type="dxa"/>
            <w:tcBorders>
              <w:top w:val="single" w:color="CCCCCC" w:sz="0" w:space="0"/>
              <w:left w:val="single" w:color="CCCCCC" w:sz="0" w:space="0"/>
              <w:bottom w:val="single" w:color="CCCCCC" w:sz="0" w:space="0"/>
              <w:right w:val="single" w:color="CCCCCC" w:sz="0" w:space="0"/>
            </w:tcBorders>
            <w:shd w:val="clear" w:color="auto" w:fill="1A7A45"/>
            <w:tcMar>
              <w:top w:w="80" w:type="dxa"/>
              <w:left w:w="100" w:type="dxa"/>
              <w:bottom w:w="80" w:type="dxa"/>
              <w:right w:w="100" w:type="dxa"/>
            </w:tcMar>
            <w:vAlign w:val="center"/>
          </w:tcPr>
          <w:p w14:paraId="71B21D29">
            <w:pPr>
              <w:jc w:val="left"/>
            </w:pPr>
            <w:r>
              <w:rPr>
                <w:rFonts w:ascii="Arial" w:hAnsi="Arial" w:eastAsia="Arial" w:cs="Arial"/>
                <w:b/>
                <w:bCs/>
                <w:color w:val="FFFFFF"/>
                <w:sz w:val="19"/>
                <w:szCs w:val="19"/>
              </w:rPr>
              <w:t>Year 5</w:t>
            </w:r>
          </w:p>
        </w:tc>
      </w:tr>
      <w:tr w14:paraId="2370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E4C687A">
            <w:pPr>
              <w:jc w:val="left"/>
            </w:pPr>
            <w:r>
              <w:rPr>
                <w:rFonts w:ascii="Arial" w:hAnsi="Arial" w:eastAsia="Arial" w:cs="Arial"/>
                <w:b/>
                <w:bCs/>
                <w:color w:val="0D1F15"/>
                <w:sz w:val="19"/>
                <w:szCs w:val="19"/>
              </w:rPr>
              <w:t>Active Investors</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480FF86">
            <w:pPr>
              <w:jc w:val="left"/>
            </w:pPr>
            <w:r>
              <w:rPr>
                <w:rFonts w:ascii="Arial" w:hAnsi="Arial" w:eastAsia="Arial" w:cs="Arial"/>
                <w:b w:val="0"/>
                <w:bCs w:val="0"/>
                <w:color w:val="0D1F15"/>
                <w:sz w:val="19"/>
                <w:szCs w:val="19"/>
              </w:rPr>
              <w:t>5,000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24E714A">
            <w:pPr>
              <w:jc w:val="left"/>
            </w:pPr>
            <w:r>
              <w:rPr>
                <w:rFonts w:ascii="Arial" w:hAnsi="Arial" w:eastAsia="Arial" w:cs="Arial"/>
                <w:b w:val="0"/>
                <w:bCs w:val="0"/>
                <w:color w:val="0D1F15"/>
                <w:sz w:val="19"/>
                <w:szCs w:val="19"/>
              </w:rPr>
              <w:t>30,000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62A7D23">
            <w:pPr>
              <w:jc w:val="left"/>
            </w:pPr>
            <w:r>
              <w:rPr>
                <w:rFonts w:ascii="Arial" w:hAnsi="Arial" w:eastAsia="Arial" w:cs="Arial"/>
                <w:b w:val="0"/>
                <w:bCs w:val="0"/>
                <w:color w:val="0D1F15"/>
                <w:sz w:val="19"/>
                <w:szCs w:val="19"/>
              </w:rPr>
              <w:t>100,000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0A65B68">
            <w:pPr>
              <w:jc w:val="left"/>
            </w:pPr>
            <w:r>
              <w:rPr>
                <w:rFonts w:ascii="Arial" w:hAnsi="Arial" w:eastAsia="Arial" w:cs="Arial"/>
                <w:b w:val="0"/>
                <w:bCs w:val="0"/>
                <w:color w:val="0D1F15"/>
                <w:sz w:val="19"/>
                <w:szCs w:val="19"/>
              </w:rPr>
              <w:t>280,000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1965A60">
            <w:pPr>
              <w:jc w:val="left"/>
            </w:pPr>
            <w:r>
              <w:rPr>
                <w:rFonts w:ascii="Arial" w:hAnsi="Arial" w:eastAsia="Arial" w:cs="Arial"/>
                <w:b w:val="0"/>
                <w:bCs w:val="0"/>
                <w:color w:val="0D1F15"/>
                <w:sz w:val="19"/>
                <w:szCs w:val="19"/>
              </w:rPr>
              <w:t>500,000</w:t>
            </w:r>
          </w:p>
        </w:tc>
      </w:tr>
      <w:tr w14:paraId="38AD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72A2F161">
            <w:pPr>
              <w:jc w:val="left"/>
            </w:pPr>
            <w:r>
              <w:rPr>
                <w:rFonts w:ascii="Arial" w:hAnsi="Arial" w:eastAsia="Arial" w:cs="Arial"/>
                <w:b/>
                <w:bCs/>
                <w:color w:val="0D1F15"/>
                <w:sz w:val="19"/>
                <w:szCs w:val="19"/>
              </w:rPr>
              <w:t>Total Active Asset Listings</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4142A428">
            <w:pPr>
              <w:jc w:val="left"/>
            </w:pPr>
            <w:r>
              <w:rPr>
                <w:rFonts w:ascii="Arial" w:hAnsi="Arial" w:eastAsia="Arial" w:cs="Arial"/>
                <w:b w:val="0"/>
                <w:bCs w:val="0"/>
                <w:color w:val="0D1F15"/>
                <w:sz w:val="19"/>
                <w:szCs w:val="19"/>
              </w:rPr>
              <w:t>20</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77A29B5">
            <w:pPr>
              <w:jc w:val="left"/>
            </w:pPr>
            <w:r>
              <w:rPr>
                <w:rFonts w:ascii="Arial" w:hAnsi="Arial" w:eastAsia="Arial" w:cs="Arial"/>
                <w:b w:val="0"/>
                <w:bCs w:val="0"/>
                <w:color w:val="0D1F15"/>
                <w:sz w:val="19"/>
                <w:szCs w:val="19"/>
              </w:rPr>
              <w:t>75</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645D57F6">
            <w:pPr>
              <w:jc w:val="left"/>
            </w:pPr>
            <w:r>
              <w:rPr>
                <w:rFonts w:ascii="Arial" w:hAnsi="Arial" w:eastAsia="Arial" w:cs="Arial"/>
                <w:b w:val="0"/>
                <w:bCs w:val="0"/>
                <w:color w:val="0D1F15"/>
                <w:sz w:val="19"/>
                <w:szCs w:val="19"/>
              </w:rPr>
              <w:t>200</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3E46C3E">
            <w:pPr>
              <w:jc w:val="left"/>
            </w:pPr>
            <w:r>
              <w:rPr>
                <w:rFonts w:ascii="Arial" w:hAnsi="Arial" w:eastAsia="Arial" w:cs="Arial"/>
                <w:b w:val="0"/>
                <w:bCs w:val="0"/>
                <w:color w:val="0D1F15"/>
                <w:sz w:val="19"/>
                <w:szCs w:val="19"/>
              </w:rPr>
              <w:t>350</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A2C9545">
            <w:pPr>
              <w:jc w:val="left"/>
            </w:pPr>
            <w:r>
              <w:rPr>
                <w:rFonts w:ascii="Arial" w:hAnsi="Arial" w:eastAsia="Arial" w:cs="Arial"/>
                <w:b w:val="0"/>
                <w:bCs w:val="0"/>
                <w:color w:val="0D1F15"/>
                <w:sz w:val="19"/>
                <w:szCs w:val="19"/>
              </w:rPr>
              <w:t>500</w:t>
            </w:r>
          </w:p>
        </w:tc>
      </w:tr>
      <w:tr w14:paraId="68FF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7398B58D">
            <w:pPr>
              <w:jc w:val="left"/>
            </w:pPr>
            <w:r>
              <w:rPr>
                <w:rFonts w:ascii="Arial" w:hAnsi="Arial" w:eastAsia="Arial" w:cs="Arial"/>
                <w:b/>
                <w:bCs/>
                <w:color w:val="0D1F15"/>
                <w:sz w:val="19"/>
                <w:szCs w:val="19"/>
              </w:rPr>
              <w:t>Asset Classes Live</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431D051">
            <w:pPr>
              <w:jc w:val="left"/>
            </w:pPr>
            <w:r>
              <w:rPr>
                <w:rFonts w:ascii="Arial" w:hAnsi="Arial" w:eastAsia="Arial" w:cs="Arial"/>
                <w:b w:val="0"/>
                <w:bCs w:val="0"/>
                <w:color w:val="0D1F15"/>
                <w:sz w:val="19"/>
                <w:szCs w:val="19"/>
              </w:rPr>
              <w:t>3</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889BF33">
            <w:pPr>
              <w:jc w:val="left"/>
            </w:pPr>
            <w:r>
              <w:rPr>
                <w:rFonts w:ascii="Arial" w:hAnsi="Arial" w:eastAsia="Arial" w:cs="Arial"/>
                <w:b w:val="0"/>
                <w:bCs w:val="0"/>
                <w:color w:val="0D1F15"/>
                <w:sz w:val="19"/>
                <w:szCs w:val="19"/>
              </w:rPr>
              <w:t>6</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CC17FC4">
            <w:pPr>
              <w:jc w:val="left"/>
            </w:pPr>
            <w:r>
              <w:rPr>
                <w:rFonts w:ascii="Arial" w:hAnsi="Arial" w:eastAsia="Arial" w:cs="Arial"/>
                <w:b w:val="0"/>
                <w:bCs w:val="0"/>
                <w:color w:val="0D1F15"/>
                <w:sz w:val="19"/>
                <w:szCs w:val="19"/>
              </w:rPr>
              <w:t>8</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818C266">
            <w:pPr>
              <w:jc w:val="left"/>
            </w:pPr>
            <w:r>
              <w:rPr>
                <w:rFonts w:ascii="Arial" w:hAnsi="Arial" w:eastAsia="Arial" w:cs="Arial"/>
                <w:b w:val="0"/>
                <w:bCs w:val="0"/>
                <w:color w:val="0D1F15"/>
                <w:sz w:val="19"/>
                <w:szCs w:val="19"/>
              </w:rPr>
              <w:t>9</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E786D43">
            <w:pPr>
              <w:jc w:val="left"/>
            </w:pPr>
            <w:r>
              <w:rPr>
                <w:rFonts w:ascii="Arial" w:hAnsi="Arial" w:eastAsia="Arial" w:cs="Arial"/>
                <w:b w:val="0"/>
                <w:bCs w:val="0"/>
                <w:color w:val="0D1F15"/>
                <w:sz w:val="19"/>
                <w:szCs w:val="19"/>
              </w:rPr>
              <w:t>9+</w:t>
            </w:r>
          </w:p>
        </w:tc>
      </w:tr>
      <w:tr w14:paraId="0B3E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46B1FE2C">
            <w:pPr>
              <w:jc w:val="left"/>
            </w:pPr>
            <w:r>
              <w:rPr>
                <w:rFonts w:ascii="Arial" w:hAnsi="Arial" w:eastAsia="Arial" w:cs="Arial"/>
                <w:b/>
                <w:bCs/>
                <w:color w:val="0D1F15"/>
                <w:sz w:val="19"/>
                <w:szCs w:val="19"/>
              </w:rPr>
              <w:t>Total AUM (UGX billions)</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70BE4557">
            <w:pPr>
              <w:jc w:val="left"/>
            </w:pPr>
            <w:r>
              <w:rPr>
                <w:rFonts w:ascii="Arial" w:hAnsi="Arial" w:eastAsia="Arial" w:cs="Arial"/>
                <w:b w:val="0"/>
                <w:bCs w:val="0"/>
                <w:color w:val="0D1F15"/>
                <w:sz w:val="19"/>
                <w:szCs w:val="19"/>
              </w:rPr>
              <w:t>4.5B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2AC9C19A">
            <w:pPr>
              <w:jc w:val="left"/>
            </w:pPr>
            <w:r>
              <w:rPr>
                <w:rFonts w:ascii="Arial" w:hAnsi="Arial" w:eastAsia="Arial" w:cs="Arial"/>
                <w:b w:val="0"/>
                <w:bCs w:val="0"/>
                <w:color w:val="0D1F15"/>
                <w:sz w:val="19"/>
                <w:szCs w:val="19"/>
              </w:rPr>
              <w:t>27B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5C3393F">
            <w:pPr>
              <w:jc w:val="left"/>
            </w:pPr>
            <w:r>
              <w:rPr>
                <w:rFonts w:ascii="Arial" w:hAnsi="Arial" w:eastAsia="Arial" w:cs="Arial"/>
                <w:b w:val="0"/>
                <w:bCs w:val="0"/>
                <w:color w:val="0D1F15"/>
                <w:sz w:val="19"/>
                <w:szCs w:val="19"/>
              </w:rPr>
              <w:t>90B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C96EEEB">
            <w:pPr>
              <w:jc w:val="left"/>
            </w:pPr>
            <w:r>
              <w:rPr>
                <w:rFonts w:ascii="Arial" w:hAnsi="Arial" w:eastAsia="Arial" w:cs="Arial"/>
                <w:b w:val="0"/>
                <w:bCs w:val="0"/>
                <w:color w:val="0D1F15"/>
                <w:sz w:val="19"/>
                <w:szCs w:val="19"/>
              </w:rPr>
              <w:t>180B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1525F7C2">
            <w:pPr>
              <w:jc w:val="left"/>
            </w:pPr>
            <w:r>
              <w:rPr>
                <w:rFonts w:ascii="Arial" w:hAnsi="Arial" w:eastAsia="Arial" w:cs="Arial"/>
                <w:b w:val="0"/>
                <w:bCs w:val="0"/>
                <w:color w:val="0D1F15"/>
                <w:sz w:val="19"/>
                <w:szCs w:val="19"/>
              </w:rPr>
              <w:t>300B</w:t>
            </w:r>
          </w:p>
        </w:tc>
      </w:tr>
      <w:tr w14:paraId="670E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3BC9FF1B">
            <w:pPr>
              <w:jc w:val="left"/>
            </w:pPr>
            <w:r>
              <w:rPr>
                <w:rFonts w:ascii="Arial" w:hAnsi="Arial" w:eastAsia="Arial" w:cs="Arial"/>
                <w:b/>
                <w:bCs/>
                <w:color w:val="0D1F15"/>
                <w:sz w:val="19"/>
                <w:szCs w:val="19"/>
              </w:rPr>
              <w:t>Gross Investor Returns Paid</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A081AF4">
            <w:pPr>
              <w:jc w:val="left"/>
            </w:pPr>
            <w:r>
              <w:rPr>
                <w:rFonts w:ascii="Arial" w:hAnsi="Arial" w:eastAsia="Arial" w:cs="Arial"/>
                <w:b w:val="0"/>
                <w:bCs w:val="0"/>
                <w:color w:val="0D1F15"/>
                <w:sz w:val="19"/>
                <w:szCs w:val="19"/>
              </w:rPr>
              <w:t>900M</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1F1093D">
            <w:pPr>
              <w:jc w:val="left"/>
            </w:pPr>
            <w:r>
              <w:rPr>
                <w:rFonts w:ascii="Arial" w:hAnsi="Arial" w:eastAsia="Arial" w:cs="Arial"/>
                <w:b w:val="0"/>
                <w:bCs w:val="0"/>
                <w:color w:val="0D1F15"/>
                <w:sz w:val="19"/>
                <w:szCs w:val="19"/>
              </w:rPr>
              <w:t>5.4B</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0A9C4226">
            <w:pPr>
              <w:jc w:val="left"/>
            </w:pPr>
            <w:r>
              <w:rPr>
                <w:rFonts w:ascii="Arial" w:hAnsi="Arial" w:eastAsia="Arial" w:cs="Arial"/>
                <w:b w:val="0"/>
                <w:bCs w:val="0"/>
                <w:color w:val="0D1F15"/>
                <w:sz w:val="19"/>
                <w:szCs w:val="19"/>
              </w:rPr>
              <w:t>18B</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3163C6D4">
            <w:pPr>
              <w:jc w:val="left"/>
            </w:pPr>
            <w:r>
              <w:rPr>
                <w:rFonts w:ascii="Arial" w:hAnsi="Arial" w:eastAsia="Arial" w:cs="Arial"/>
                <w:b w:val="0"/>
                <w:bCs w:val="0"/>
                <w:color w:val="0D1F15"/>
                <w:sz w:val="19"/>
                <w:szCs w:val="19"/>
              </w:rPr>
              <w:t>36B</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7B46823">
            <w:pPr>
              <w:jc w:val="left"/>
            </w:pPr>
            <w:r>
              <w:rPr>
                <w:rFonts w:ascii="Arial" w:hAnsi="Arial" w:eastAsia="Arial" w:cs="Arial"/>
                <w:b w:val="0"/>
                <w:bCs w:val="0"/>
                <w:color w:val="0D1F15"/>
                <w:sz w:val="19"/>
                <w:szCs w:val="19"/>
              </w:rPr>
              <w:t>60B</w:t>
            </w:r>
          </w:p>
        </w:tc>
      </w:tr>
      <w:tr w14:paraId="20E3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D4EFE0"/>
            <w:tcMar>
              <w:top w:w="60" w:type="dxa"/>
              <w:left w:w="120" w:type="dxa"/>
              <w:bottom w:w="60" w:type="dxa"/>
              <w:right w:w="80" w:type="dxa"/>
            </w:tcMar>
            <w:vAlign w:val="center"/>
          </w:tcPr>
          <w:p w14:paraId="1A43E3FA">
            <w:pPr>
              <w:jc w:val="left"/>
            </w:pPr>
            <w:r>
              <w:rPr>
                <w:rFonts w:ascii="Arial" w:hAnsi="Arial" w:eastAsia="Arial" w:cs="Arial"/>
                <w:b/>
                <w:bCs/>
                <w:color w:val="0D1F15"/>
                <w:sz w:val="19"/>
                <w:szCs w:val="19"/>
              </w:rPr>
              <w:t>Gross Platform Revenue</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D296A38">
            <w:pPr>
              <w:jc w:val="left"/>
            </w:pPr>
            <w:r>
              <w:rPr>
                <w:rFonts w:ascii="Arial" w:hAnsi="Arial" w:eastAsia="Arial" w:cs="Arial"/>
                <w:b w:val="0"/>
                <w:bCs w:val="0"/>
                <w:color w:val="0D1F15"/>
                <w:sz w:val="19"/>
                <w:szCs w:val="19"/>
              </w:rPr>
              <w:t>130M</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8ED96EC">
            <w:pPr>
              <w:jc w:val="left"/>
            </w:pPr>
            <w:r>
              <w:rPr>
                <w:rFonts w:ascii="Arial" w:hAnsi="Arial" w:eastAsia="Arial" w:cs="Arial"/>
                <w:b w:val="0"/>
                <w:bCs w:val="0"/>
                <w:color w:val="0D1F15"/>
                <w:sz w:val="19"/>
                <w:szCs w:val="19"/>
              </w:rPr>
              <w:t>780M</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07D0671B">
            <w:pPr>
              <w:jc w:val="left"/>
            </w:pPr>
            <w:r>
              <w:rPr>
                <w:rFonts w:ascii="Arial" w:hAnsi="Arial" w:eastAsia="Arial" w:cs="Arial"/>
                <w:b w:val="0"/>
                <w:bCs w:val="0"/>
                <w:color w:val="0D1F15"/>
                <w:sz w:val="19"/>
                <w:szCs w:val="19"/>
              </w:rPr>
              <w:t>2.6B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3EB2655E">
            <w:pPr>
              <w:jc w:val="left"/>
            </w:pPr>
            <w:r>
              <w:rPr>
                <w:rFonts w:ascii="Arial" w:hAnsi="Arial" w:eastAsia="Arial" w:cs="Arial"/>
                <w:b w:val="0"/>
                <w:bCs w:val="0"/>
                <w:color w:val="0D1F15"/>
                <w:sz w:val="19"/>
                <w:szCs w:val="19"/>
              </w:rPr>
              <w:t>5.8B</w:t>
            </w:r>
          </w:p>
        </w:tc>
        <w:tc>
          <w:tcPr>
            <w:tcW w:w="1296" w:type="dxa"/>
            <w:tcBorders>
              <w:top w:val="single" w:color="CCCCCC" w:sz="0" w:space="0"/>
              <w:left w:val="single" w:color="CCCCCC" w:sz="0" w:space="0"/>
              <w:bottom w:val="single" w:color="CCCCCC" w:sz="0" w:space="0"/>
              <w:right w:val="single" w:color="CCCCCC" w:sz="0" w:space="0"/>
            </w:tcBorders>
            <w:shd w:val="clear" w:color="auto" w:fill="D4EFE0"/>
            <w:tcMar>
              <w:top w:w="60" w:type="dxa"/>
              <w:left w:w="80" w:type="dxa"/>
              <w:bottom w:w="60" w:type="dxa"/>
              <w:right w:w="80" w:type="dxa"/>
            </w:tcMar>
            <w:vAlign w:val="center"/>
          </w:tcPr>
          <w:p w14:paraId="5A4DEF9C">
            <w:pPr>
              <w:jc w:val="left"/>
            </w:pPr>
            <w:r>
              <w:rPr>
                <w:rFonts w:ascii="Arial" w:hAnsi="Arial" w:eastAsia="Arial" w:cs="Arial"/>
                <w:b w:val="0"/>
                <w:bCs w:val="0"/>
                <w:color w:val="0D1F15"/>
                <w:sz w:val="19"/>
                <w:szCs w:val="19"/>
              </w:rPr>
              <w:t>10.5B</w:t>
            </w:r>
          </w:p>
        </w:tc>
      </w:tr>
      <w:tr w14:paraId="39F6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5CD5BFC2">
            <w:pPr>
              <w:jc w:val="left"/>
            </w:pPr>
            <w:r>
              <w:rPr>
                <w:rFonts w:ascii="Arial" w:hAnsi="Arial" w:eastAsia="Arial" w:cs="Arial"/>
                <w:b/>
                <w:bCs/>
                <w:color w:val="0D1F15"/>
                <w:sz w:val="19"/>
                <w:szCs w:val="19"/>
              </w:rPr>
              <w:t>NSSF Auto-Enrolled Members</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5220C7F">
            <w:pPr>
              <w:jc w:val="left"/>
            </w:pPr>
            <w:r>
              <w:rPr>
                <w:rFonts w:ascii="Arial" w:hAnsi="Arial" w:eastAsia="Arial" w:cs="Arial"/>
                <w:b w:val="0"/>
                <w:bCs w:val="0"/>
                <w:color w:val="0D1F15"/>
                <w:sz w:val="19"/>
                <w:szCs w:val="19"/>
              </w:rPr>
              <w:t>5,000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6FDF633">
            <w:pPr>
              <w:jc w:val="left"/>
            </w:pPr>
            <w:r>
              <w:rPr>
                <w:rFonts w:ascii="Arial" w:hAnsi="Arial" w:eastAsia="Arial" w:cs="Arial"/>
                <w:b w:val="0"/>
                <w:bCs w:val="0"/>
                <w:color w:val="0D1F15"/>
                <w:sz w:val="19"/>
                <w:szCs w:val="19"/>
              </w:rPr>
              <w:t>30,000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DF346C8">
            <w:pPr>
              <w:jc w:val="left"/>
            </w:pPr>
            <w:r>
              <w:rPr>
                <w:rFonts w:ascii="Arial" w:hAnsi="Arial" w:eastAsia="Arial" w:cs="Arial"/>
                <w:b w:val="0"/>
                <w:bCs w:val="0"/>
                <w:color w:val="0D1F15"/>
                <w:sz w:val="19"/>
                <w:szCs w:val="19"/>
              </w:rPr>
              <w:t>100,000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5304654D">
            <w:pPr>
              <w:jc w:val="left"/>
            </w:pPr>
            <w:r>
              <w:rPr>
                <w:rFonts w:ascii="Arial" w:hAnsi="Arial" w:eastAsia="Arial" w:cs="Arial"/>
                <w:b w:val="0"/>
                <w:bCs w:val="0"/>
                <w:color w:val="0D1F15"/>
                <w:sz w:val="19"/>
                <w:szCs w:val="19"/>
              </w:rPr>
              <w:t>280,000</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DEF62A7">
            <w:pPr>
              <w:jc w:val="left"/>
            </w:pPr>
            <w:r>
              <w:rPr>
                <w:rFonts w:ascii="Arial" w:hAnsi="Arial" w:eastAsia="Arial" w:cs="Arial"/>
                <w:b w:val="0"/>
                <w:bCs w:val="0"/>
                <w:color w:val="0D1F15"/>
                <w:sz w:val="19"/>
                <w:szCs w:val="19"/>
              </w:rPr>
              <w:t>500,000</w:t>
            </w:r>
          </w:p>
        </w:tc>
      </w:tr>
      <w:tr w14:paraId="56D3E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tcMar>
              <w:top w:w="60" w:type="dxa"/>
              <w:left w:w="120" w:type="dxa"/>
              <w:bottom w:w="60" w:type="dxa"/>
              <w:right w:w="80" w:type="dxa"/>
            </w:tcMar>
            <w:vAlign w:val="center"/>
          </w:tcPr>
          <w:p w14:paraId="2036C973">
            <w:pPr>
              <w:jc w:val="left"/>
              <w:rPr>
                <w:rFonts w:ascii="Arial" w:hAnsi="Arial" w:eastAsia="Arial" w:cs="Arial"/>
                <w:color w:val="0D1F15"/>
                <w:sz w:val="19"/>
                <w:szCs w:val="19"/>
              </w:rPr>
            </w:pPr>
            <w:r>
              <w:rPr>
                <w:rFonts w:ascii="Arial" w:hAnsi="Arial" w:eastAsia="Arial" w:cs="Arial"/>
                <w:b/>
                <w:bCs/>
                <w:color w:val="0D1F15"/>
                <w:sz w:val="19"/>
                <w:szCs w:val="19"/>
              </w:rPr>
              <w:t>SmartLife Flexi Referral Deposits (est.)</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77FD2350">
            <w:pPr>
              <w:jc w:val="left"/>
              <w:rPr>
                <w:rFonts w:ascii="Arial" w:hAnsi="Arial" w:eastAsia="Arial" w:cs="Arial"/>
                <w:color w:val="0D1F15"/>
                <w:sz w:val="19"/>
                <w:szCs w:val="19"/>
              </w:rPr>
            </w:pPr>
            <w:r>
              <w:rPr>
                <w:rFonts w:ascii="Arial" w:hAnsi="Arial" w:eastAsia="Arial" w:cs="Arial"/>
                <w:b w:val="0"/>
                <w:bCs w:val="0"/>
                <w:color w:val="0D1F15"/>
                <w:sz w:val="19"/>
                <w:szCs w:val="19"/>
              </w:rPr>
              <w:t>UGX 45M</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2C459604">
            <w:pPr>
              <w:jc w:val="left"/>
              <w:rPr>
                <w:rFonts w:ascii="Arial" w:hAnsi="Arial" w:eastAsia="Arial" w:cs="Arial"/>
                <w:color w:val="0D1F15"/>
                <w:sz w:val="19"/>
                <w:szCs w:val="19"/>
              </w:rPr>
            </w:pPr>
            <w:r>
              <w:rPr>
                <w:rFonts w:ascii="Arial" w:hAnsi="Arial" w:eastAsia="Arial" w:cs="Arial"/>
                <w:b w:val="0"/>
                <w:bCs w:val="0"/>
                <w:color w:val="0D1F15"/>
                <w:sz w:val="19"/>
                <w:szCs w:val="19"/>
              </w:rPr>
              <w:t>UGX 270M</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F30907A">
            <w:pPr>
              <w:jc w:val="left"/>
              <w:rPr>
                <w:rFonts w:ascii="Arial" w:hAnsi="Arial" w:eastAsia="Arial" w:cs="Arial"/>
                <w:color w:val="0D1F15"/>
                <w:sz w:val="19"/>
                <w:szCs w:val="19"/>
              </w:rPr>
            </w:pPr>
            <w:r>
              <w:rPr>
                <w:rFonts w:ascii="Arial" w:hAnsi="Arial" w:eastAsia="Arial" w:cs="Arial"/>
                <w:b w:val="0"/>
                <w:bCs w:val="0"/>
                <w:color w:val="0D1F15"/>
                <w:sz w:val="19"/>
                <w:szCs w:val="19"/>
              </w:rPr>
              <w:t>UGX 900M</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1494E51D">
            <w:pPr>
              <w:jc w:val="left"/>
              <w:rPr>
                <w:rFonts w:ascii="Arial" w:hAnsi="Arial" w:eastAsia="Arial" w:cs="Arial"/>
                <w:color w:val="0D1F15"/>
                <w:sz w:val="19"/>
                <w:szCs w:val="19"/>
              </w:rPr>
            </w:pPr>
            <w:r>
              <w:rPr>
                <w:rFonts w:ascii="Arial" w:hAnsi="Arial" w:eastAsia="Arial" w:cs="Arial"/>
                <w:b w:val="0"/>
                <w:bCs w:val="0"/>
                <w:color w:val="0D1F15"/>
                <w:sz w:val="19"/>
                <w:szCs w:val="19"/>
              </w:rPr>
              <w:t>UGX 1.8B</w:t>
            </w:r>
          </w:p>
        </w:tc>
        <w:tc>
          <w:tcPr>
            <w:tcW w:w="1296" w:type="dxa"/>
            <w:tcBorders>
              <w:top w:val="single" w:color="CCCCCC" w:sz="0" w:space="0"/>
              <w:left w:val="single" w:color="CCCCCC" w:sz="0" w:space="0"/>
              <w:bottom w:val="single" w:color="CCCCCC" w:sz="0" w:space="0"/>
              <w:right w:val="single" w:color="CCCCCC" w:sz="0" w:space="0"/>
            </w:tcBorders>
            <w:tcMar>
              <w:top w:w="60" w:type="dxa"/>
              <w:left w:w="80" w:type="dxa"/>
              <w:bottom w:w="60" w:type="dxa"/>
              <w:right w:w="80" w:type="dxa"/>
            </w:tcMar>
            <w:vAlign w:val="center"/>
          </w:tcPr>
          <w:p w14:paraId="45AEEAAF">
            <w:pPr>
              <w:jc w:val="left"/>
              <w:rPr>
                <w:rFonts w:ascii="Arial" w:hAnsi="Arial" w:eastAsia="Arial" w:cs="Arial"/>
                <w:color w:val="0D1F15"/>
                <w:sz w:val="19"/>
                <w:szCs w:val="19"/>
              </w:rPr>
            </w:pPr>
            <w:r>
              <w:rPr>
                <w:rFonts w:ascii="Arial" w:hAnsi="Arial" w:eastAsia="Arial" w:cs="Arial"/>
                <w:b w:val="0"/>
                <w:bCs w:val="0"/>
                <w:color w:val="0D1F15"/>
                <w:sz w:val="19"/>
                <w:szCs w:val="19"/>
              </w:rPr>
              <w:t>UGX 3.2B</w:t>
            </w:r>
          </w:p>
        </w:tc>
      </w:tr>
    </w:tbl>
    <w:p w14:paraId="112CFBC0">
      <w:pPr>
        <w:spacing w:before="80" w:after="0"/>
      </w:pPr>
    </w:p>
    <w:p w14:paraId="0AB5C014">
      <w:pPr>
        <w:spacing w:before="240" w:after="80"/>
        <w:rPr>
          <w:color w:val="0D1F15"/>
        </w:rPr>
      </w:pPr>
      <w:r>
        <w:rPr>
          <w:rFonts w:ascii="Arial" w:hAnsi="Arial" w:eastAsia="Arial" w:cs="Arial"/>
          <w:b/>
          <w:bCs/>
          <w:color w:val="0D1F15"/>
          <w:sz w:val="26"/>
          <w:szCs w:val="26"/>
        </w:rPr>
        <w:t>13.3 NSSF Projected Earnings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1500"/>
        <w:gridCol w:w="1500"/>
        <w:gridCol w:w="1500"/>
        <w:gridCol w:w="1620"/>
      </w:tblGrid>
      <w:tr w14:paraId="48FF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003F87"/>
            <w:tcMar>
              <w:top w:w="80" w:type="dxa"/>
              <w:left w:w="120" w:type="dxa"/>
              <w:bottom w:w="80" w:type="dxa"/>
              <w:right w:w="120" w:type="dxa"/>
            </w:tcMar>
            <w:vAlign w:val="center"/>
          </w:tcPr>
          <w:p w14:paraId="1F6F1766">
            <w:pPr>
              <w:jc w:val="left"/>
            </w:pPr>
            <w:r>
              <w:rPr>
                <w:rFonts w:ascii="Arial" w:hAnsi="Arial" w:eastAsia="Arial" w:cs="Arial"/>
                <w:b/>
                <w:bCs/>
                <w:color w:val="FFFFFF"/>
                <w:sz w:val="19"/>
                <w:szCs w:val="19"/>
              </w:rPr>
              <w:t>NSSF Revenue Line</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47CCCB40">
            <w:pPr>
              <w:jc w:val="left"/>
            </w:pPr>
            <w:r>
              <w:rPr>
                <w:rFonts w:ascii="Arial" w:hAnsi="Arial" w:eastAsia="Arial" w:cs="Arial"/>
                <w:b/>
                <w:bCs/>
                <w:color w:val="FFFFFF"/>
                <w:sz w:val="19"/>
                <w:szCs w:val="19"/>
              </w:rPr>
              <w:t>Year 1</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35228E64">
            <w:pPr>
              <w:jc w:val="left"/>
            </w:pPr>
            <w:r>
              <w:rPr>
                <w:rFonts w:ascii="Arial" w:hAnsi="Arial" w:eastAsia="Arial" w:cs="Arial"/>
                <w:b/>
                <w:bCs/>
                <w:color w:val="FFFFFF"/>
                <w:sz w:val="19"/>
                <w:szCs w:val="19"/>
              </w:rPr>
              <w:t>Year 2</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22759F30">
            <w:pPr>
              <w:jc w:val="left"/>
            </w:pPr>
            <w:r>
              <w:rPr>
                <w:rFonts w:ascii="Arial" w:hAnsi="Arial" w:eastAsia="Arial" w:cs="Arial"/>
                <w:b/>
                <w:bCs/>
                <w:color w:val="FFFFFF"/>
                <w:sz w:val="19"/>
                <w:szCs w:val="19"/>
              </w:rPr>
              <w:t>Year 3</w:t>
            </w:r>
          </w:p>
        </w:tc>
        <w:tc>
          <w:tcPr>
            <w:tcW w:w="1620" w:type="dxa"/>
            <w:tcBorders>
              <w:top w:val="nil"/>
              <w:left w:val="nil"/>
              <w:bottom w:val="nil"/>
              <w:right w:val="nil"/>
            </w:tcBorders>
            <w:shd w:val="clear" w:color="auto" w:fill="003F87"/>
            <w:tcMar>
              <w:top w:w="80" w:type="dxa"/>
              <w:left w:w="120" w:type="dxa"/>
              <w:bottom w:w="80" w:type="dxa"/>
              <w:right w:w="120" w:type="dxa"/>
            </w:tcMar>
            <w:vAlign w:val="center"/>
          </w:tcPr>
          <w:p w14:paraId="4A086C09">
            <w:pPr>
              <w:jc w:val="left"/>
            </w:pPr>
            <w:r>
              <w:rPr>
                <w:rFonts w:ascii="Arial" w:hAnsi="Arial" w:eastAsia="Arial" w:cs="Arial"/>
                <w:b/>
                <w:bCs/>
                <w:color w:val="FFFFFF"/>
                <w:sz w:val="19"/>
                <w:szCs w:val="19"/>
              </w:rPr>
              <w:t>Year 5</w:t>
            </w:r>
          </w:p>
        </w:tc>
      </w:tr>
      <w:tr w14:paraId="50F6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2C32B6C4">
            <w:pPr>
              <w:jc w:val="left"/>
            </w:pPr>
            <w:r>
              <w:rPr>
                <w:rFonts w:ascii="Arial" w:hAnsi="Arial" w:eastAsia="Arial" w:cs="Arial"/>
                <w:b/>
                <w:bCs/>
                <w:color w:val="0D1F15"/>
                <w:sz w:val="19"/>
                <w:szCs w:val="19"/>
              </w:rPr>
              <w:t>60% of 3% service charge — Investor</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1D730A31">
            <w:pPr>
              <w:jc w:val="left"/>
            </w:pPr>
            <w:r>
              <w:rPr>
                <w:rFonts w:ascii="Arial" w:hAnsi="Arial" w:eastAsia="Arial" w:cs="Arial"/>
                <w:b w:val="0"/>
                <w:bCs w:val="0"/>
                <w:color w:val="0D1F15"/>
                <w:sz w:val="19"/>
                <w:szCs w:val="19"/>
              </w:rPr>
              <w:t>UGX 32M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37C23FDB">
            <w:pPr>
              <w:jc w:val="left"/>
            </w:pPr>
            <w:r>
              <w:rPr>
                <w:rFonts w:ascii="Arial" w:hAnsi="Arial" w:eastAsia="Arial" w:cs="Arial"/>
                <w:b w:val="0"/>
                <w:bCs w:val="0"/>
                <w:color w:val="0D1F15"/>
                <w:sz w:val="19"/>
                <w:szCs w:val="19"/>
              </w:rPr>
              <w:t>UGX 194M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1AD57CAD">
            <w:pPr>
              <w:jc w:val="left"/>
            </w:pPr>
            <w:r>
              <w:rPr>
                <w:rFonts w:ascii="Arial" w:hAnsi="Arial" w:eastAsia="Arial" w:cs="Arial"/>
                <w:b w:val="0"/>
                <w:bCs w:val="0"/>
                <w:color w:val="0D1F15"/>
                <w:sz w:val="19"/>
                <w:szCs w:val="19"/>
              </w:rPr>
              <w:t>UGX 648M</w:t>
            </w:r>
          </w:p>
        </w:tc>
        <w:tc>
          <w:tcPr>
            <w:tcW w:w="1620" w:type="dxa"/>
            <w:tcBorders>
              <w:top w:val="nil"/>
              <w:left w:val="nil"/>
              <w:bottom w:val="nil"/>
              <w:right w:val="nil"/>
            </w:tcBorders>
            <w:shd w:val="clear" w:color="auto" w:fill="FFFFFF"/>
            <w:tcMar>
              <w:top w:w="80" w:type="dxa"/>
              <w:left w:w="120" w:type="dxa"/>
              <w:bottom w:w="80" w:type="dxa"/>
              <w:right w:w="120" w:type="dxa"/>
            </w:tcMar>
            <w:vAlign w:val="center"/>
          </w:tcPr>
          <w:p w14:paraId="55D6C796">
            <w:pPr>
              <w:jc w:val="left"/>
            </w:pPr>
            <w:r>
              <w:rPr>
                <w:rFonts w:ascii="Arial" w:hAnsi="Arial" w:eastAsia="Arial" w:cs="Arial"/>
                <w:b w:val="0"/>
                <w:bCs w:val="0"/>
                <w:color w:val="0D1F15"/>
                <w:sz w:val="19"/>
                <w:szCs w:val="19"/>
              </w:rPr>
              <w:t>UGX 2.16B</w:t>
            </w:r>
          </w:p>
        </w:tc>
      </w:tr>
      <w:tr w14:paraId="2FE2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71BA234E">
            <w:pPr>
              <w:jc w:val="left"/>
            </w:pPr>
            <w:r>
              <w:rPr>
                <w:rFonts w:ascii="Arial" w:hAnsi="Arial" w:eastAsia="Arial" w:cs="Arial"/>
                <w:b/>
                <w:bCs/>
                <w:color w:val="0D1F15"/>
                <w:sz w:val="19"/>
                <w:szCs w:val="19"/>
              </w:rPr>
              <w:t>60% of 3% service charge — Lister</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223DF1B1">
            <w:pPr>
              <w:jc w:val="left"/>
            </w:pPr>
            <w:r>
              <w:rPr>
                <w:rFonts w:ascii="Arial" w:hAnsi="Arial" w:eastAsia="Arial" w:cs="Arial"/>
                <w:b w:val="0"/>
                <w:bCs w:val="0"/>
                <w:color w:val="0D1F15"/>
                <w:sz w:val="19"/>
                <w:szCs w:val="19"/>
              </w:rPr>
              <w:t>UGX 15M</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1DEE0B4C">
            <w:pPr>
              <w:jc w:val="left"/>
            </w:pPr>
            <w:r>
              <w:rPr>
                <w:rFonts w:ascii="Arial" w:hAnsi="Arial" w:eastAsia="Arial" w:cs="Arial"/>
                <w:b w:val="0"/>
                <w:bCs w:val="0"/>
                <w:color w:val="0D1F15"/>
                <w:sz w:val="19"/>
                <w:szCs w:val="19"/>
              </w:rPr>
              <w:t>UGX 90M</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1B688F86">
            <w:pPr>
              <w:jc w:val="left"/>
            </w:pPr>
            <w:r>
              <w:rPr>
                <w:rFonts w:ascii="Arial" w:hAnsi="Arial" w:eastAsia="Arial" w:cs="Arial"/>
                <w:b w:val="0"/>
                <w:bCs w:val="0"/>
                <w:color w:val="0D1F15"/>
                <w:sz w:val="19"/>
                <w:szCs w:val="19"/>
              </w:rPr>
              <w:t>UGX 300M</w:t>
            </w:r>
          </w:p>
        </w:tc>
        <w:tc>
          <w:tcPr>
            <w:tcW w:w="1620" w:type="dxa"/>
            <w:tcBorders>
              <w:top w:val="nil"/>
              <w:left w:val="nil"/>
              <w:bottom w:val="nil"/>
              <w:right w:val="nil"/>
            </w:tcBorders>
            <w:shd w:val="clear" w:color="auto" w:fill="D6E4F7"/>
            <w:tcMar>
              <w:top w:w="80" w:type="dxa"/>
              <w:left w:w="120" w:type="dxa"/>
              <w:bottom w:w="80" w:type="dxa"/>
              <w:right w:w="120" w:type="dxa"/>
            </w:tcMar>
            <w:vAlign w:val="center"/>
          </w:tcPr>
          <w:p w14:paraId="2CA785D8">
            <w:pPr>
              <w:jc w:val="left"/>
            </w:pPr>
            <w:r>
              <w:rPr>
                <w:rFonts w:ascii="Arial" w:hAnsi="Arial" w:eastAsia="Arial" w:cs="Arial"/>
                <w:b w:val="0"/>
                <w:bCs w:val="0"/>
                <w:color w:val="0D1F15"/>
                <w:sz w:val="19"/>
                <w:szCs w:val="19"/>
              </w:rPr>
              <w:t>UGX 1.0B</w:t>
            </w:r>
          </w:p>
        </w:tc>
      </w:tr>
      <w:tr w14:paraId="72B1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24F9B95A">
            <w:pPr>
              <w:jc w:val="left"/>
            </w:pPr>
            <w:r>
              <w:rPr>
                <w:rFonts w:ascii="Arial" w:hAnsi="Arial" w:eastAsia="Arial" w:cs="Arial"/>
                <w:b/>
                <w:bCs/>
                <w:color w:val="0D1F15"/>
                <w:sz w:val="19"/>
                <w:szCs w:val="19"/>
              </w:rPr>
              <w:t>30% of Listing Fees</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5907404E">
            <w:pPr>
              <w:jc w:val="left"/>
            </w:pPr>
            <w:r>
              <w:rPr>
                <w:rFonts w:ascii="Arial" w:hAnsi="Arial" w:eastAsia="Arial" w:cs="Arial"/>
                <w:b w:val="0"/>
                <w:bCs w:val="0"/>
                <w:color w:val="0D1F15"/>
                <w:sz w:val="19"/>
                <w:szCs w:val="19"/>
              </w:rPr>
              <w:t>UGX 22M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5A8701F5">
            <w:pPr>
              <w:jc w:val="left"/>
            </w:pPr>
            <w:r>
              <w:rPr>
                <w:rFonts w:ascii="Arial" w:hAnsi="Arial" w:eastAsia="Arial" w:cs="Arial"/>
                <w:b w:val="0"/>
                <w:bCs w:val="0"/>
                <w:color w:val="0D1F15"/>
                <w:sz w:val="19"/>
                <w:szCs w:val="19"/>
              </w:rPr>
              <w:t>UGX 82M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46F93EF3">
            <w:pPr>
              <w:jc w:val="left"/>
            </w:pPr>
            <w:r>
              <w:rPr>
                <w:rFonts w:ascii="Arial" w:hAnsi="Arial" w:eastAsia="Arial" w:cs="Arial"/>
                <w:b w:val="0"/>
                <w:bCs w:val="0"/>
                <w:color w:val="0D1F15"/>
                <w:sz w:val="19"/>
                <w:szCs w:val="19"/>
              </w:rPr>
              <w:t>UGX 216M</w:t>
            </w:r>
          </w:p>
        </w:tc>
        <w:tc>
          <w:tcPr>
            <w:tcW w:w="1620" w:type="dxa"/>
            <w:tcBorders>
              <w:top w:val="nil"/>
              <w:left w:val="nil"/>
              <w:bottom w:val="nil"/>
              <w:right w:val="nil"/>
            </w:tcBorders>
            <w:shd w:val="clear" w:color="auto" w:fill="FFFFFF"/>
            <w:tcMar>
              <w:top w:w="80" w:type="dxa"/>
              <w:left w:w="120" w:type="dxa"/>
              <w:bottom w:w="80" w:type="dxa"/>
              <w:right w:w="120" w:type="dxa"/>
            </w:tcMar>
            <w:vAlign w:val="center"/>
          </w:tcPr>
          <w:p w14:paraId="60424D19">
            <w:pPr>
              <w:jc w:val="left"/>
            </w:pPr>
            <w:r>
              <w:rPr>
                <w:rFonts w:ascii="Arial" w:hAnsi="Arial" w:eastAsia="Arial" w:cs="Arial"/>
                <w:b w:val="0"/>
                <w:bCs w:val="0"/>
                <w:color w:val="0D1F15"/>
                <w:sz w:val="19"/>
                <w:szCs w:val="19"/>
              </w:rPr>
              <w:t>UGX 864M</w:t>
            </w:r>
          </w:p>
        </w:tc>
      </w:tr>
      <w:tr w14:paraId="53795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003F87"/>
            <w:tcMar>
              <w:top w:w="80" w:type="dxa"/>
              <w:left w:w="120" w:type="dxa"/>
              <w:bottom w:w="80" w:type="dxa"/>
              <w:right w:w="120" w:type="dxa"/>
            </w:tcMar>
            <w:vAlign w:val="center"/>
          </w:tcPr>
          <w:p w14:paraId="3466F1DE">
            <w:pPr>
              <w:jc w:val="left"/>
            </w:pPr>
            <w:r>
              <w:rPr>
                <w:rFonts w:ascii="Arial" w:hAnsi="Arial" w:eastAsia="Arial" w:cs="Arial"/>
                <w:b/>
                <w:bCs/>
                <w:color w:val="FFFFFF"/>
                <w:sz w:val="19"/>
                <w:szCs w:val="19"/>
              </w:rPr>
              <w:t>NSSF OPERATING REVENUE TOTAL</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55AF627F">
            <w:pPr>
              <w:jc w:val="left"/>
            </w:pPr>
            <w:r>
              <w:rPr>
                <w:rFonts w:ascii="Arial" w:hAnsi="Arial" w:eastAsia="Arial" w:cs="Arial"/>
                <w:b/>
                <w:bCs/>
                <w:color w:val="FFFFFF"/>
                <w:sz w:val="19"/>
                <w:szCs w:val="19"/>
              </w:rPr>
              <w:t>UGX 69M</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5741B441">
            <w:pPr>
              <w:jc w:val="left"/>
            </w:pPr>
            <w:r>
              <w:rPr>
                <w:rFonts w:ascii="Arial" w:hAnsi="Arial" w:eastAsia="Arial" w:cs="Arial"/>
                <w:b/>
                <w:bCs/>
                <w:color w:val="FFFFFF"/>
                <w:sz w:val="19"/>
                <w:szCs w:val="19"/>
              </w:rPr>
              <w:t>UGX 366M</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5B21952F">
            <w:pPr>
              <w:jc w:val="left"/>
            </w:pPr>
            <w:r>
              <w:rPr>
                <w:rFonts w:ascii="Arial" w:hAnsi="Arial" w:eastAsia="Arial" w:cs="Arial"/>
                <w:b/>
                <w:bCs/>
                <w:color w:val="FFFFFF"/>
                <w:sz w:val="19"/>
                <w:szCs w:val="19"/>
              </w:rPr>
              <w:t>UGX 1.16B</w:t>
            </w:r>
          </w:p>
        </w:tc>
        <w:tc>
          <w:tcPr>
            <w:tcW w:w="1620" w:type="dxa"/>
            <w:tcBorders>
              <w:top w:val="nil"/>
              <w:left w:val="nil"/>
              <w:bottom w:val="nil"/>
              <w:right w:val="nil"/>
            </w:tcBorders>
            <w:shd w:val="clear" w:color="auto" w:fill="003F87"/>
            <w:tcMar>
              <w:top w:w="80" w:type="dxa"/>
              <w:left w:w="120" w:type="dxa"/>
              <w:bottom w:w="80" w:type="dxa"/>
              <w:right w:w="120" w:type="dxa"/>
            </w:tcMar>
            <w:vAlign w:val="center"/>
          </w:tcPr>
          <w:p w14:paraId="149453CB">
            <w:pPr>
              <w:jc w:val="left"/>
            </w:pPr>
            <w:r>
              <w:rPr>
                <w:rFonts w:ascii="Arial" w:hAnsi="Arial" w:eastAsia="Arial" w:cs="Arial"/>
                <w:b/>
                <w:bCs/>
                <w:color w:val="FFFFFF"/>
                <w:sz w:val="19"/>
                <w:szCs w:val="19"/>
              </w:rPr>
              <w:t>UGX 4.02B</w:t>
            </w:r>
          </w:p>
        </w:tc>
      </w:tr>
      <w:tr w14:paraId="0CB9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4BC8B44C">
            <w:pPr>
              <w:jc w:val="left"/>
            </w:pPr>
            <w:r>
              <w:rPr>
                <w:rFonts w:ascii="Arial" w:hAnsi="Arial" w:eastAsia="Arial" w:cs="Arial"/>
                <w:b/>
                <w:bCs/>
                <w:color w:val="0D1F15"/>
                <w:sz w:val="19"/>
                <w:szCs w:val="19"/>
              </w:rPr>
              <w:t>2% Pension Levy (invested for members)</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15A75218">
            <w:pPr>
              <w:jc w:val="left"/>
            </w:pPr>
            <w:r>
              <w:rPr>
                <w:rFonts w:ascii="Arial" w:hAnsi="Arial" w:eastAsia="Arial" w:cs="Arial"/>
                <w:b w:val="0"/>
                <w:bCs w:val="0"/>
                <w:color w:val="0D1F15"/>
                <w:sz w:val="19"/>
                <w:szCs w:val="19"/>
              </w:rPr>
              <w:t>UGX 18M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326663C1">
            <w:pPr>
              <w:jc w:val="left"/>
            </w:pPr>
            <w:r>
              <w:rPr>
                <w:rFonts w:ascii="Arial" w:hAnsi="Arial" w:eastAsia="Arial" w:cs="Arial"/>
                <w:b w:val="0"/>
                <w:bCs w:val="0"/>
                <w:color w:val="0D1F15"/>
                <w:sz w:val="19"/>
                <w:szCs w:val="19"/>
              </w:rPr>
              <w:t>UGX 108M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71DDE07C">
            <w:pPr>
              <w:jc w:val="left"/>
            </w:pPr>
            <w:r>
              <w:rPr>
                <w:rFonts w:ascii="Arial" w:hAnsi="Arial" w:eastAsia="Arial" w:cs="Arial"/>
                <w:b w:val="0"/>
                <w:bCs w:val="0"/>
                <w:color w:val="0D1F15"/>
                <w:sz w:val="19"/>
                <w:szCs w:val="19"/>
              </w:rPr>
              <w:t>UGX 360M</w:t>
            </w:r>
          </w:p>
        </w:tc>
        <w:tc>
          <w:tcPr>
            <w:tcW w:w="1620" w:type="dxa"/>
            <w:tcBorders>
              <w:top w:val="nil"/>
              <w:left w:val="nil"/>
              <w:bottom w:val="nil"/>
              <w:right w:val="nil"/>
            </w:tcBorders>
            <w:shd w:val="clear" w:color="auto" w:fill="FFFFFF"/>
            <w:tcMar>
              <w:top w:w="80" w:type="dxa"/>
              <w:left w:w="120" w:type="dxa"/>
              <w:bottom w:w="80" w:type="dxa"/>
              <w:right w:w="120" w:type="dxa"/>
            </w:tcMar>
            <w:vAlign w:val="center"/>
          </w:tcPr>
          <w:p w14:paraId="5AC1E1A7">
            <w:pPr>
              <w:jc w:val="left"/>
            </w:pPr>
            <w:r>
              <w:rPr>
                <w:rFonts w:ascii="Arial" w:hAnsi="Arial" w:eastAsia="Arial" w:cs="Arial"/>
                <w:b w:val="0"/>
                <w:bCs w:val="0"/>
                <w:color w:val="0D1F15"/>
                <w:sz w:val="19"/>
                <w:szCs w:val="19"/>
              </w:rPr>
              <w:t>UGX 1.2B+</w:t>
            </w:r>
          </w:p>
        </w:tc>
      </w:tr>
      <w:tr w14:paraId="6762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D6E4F7"/>
            <w:tcMar>
              <w:top w:w="80" w:type="dxa"/>
              <w:left w:w="120" w:type="dxa"/>
              <w:bottom w:w="80" w:type="dxa"/>
              <w:right w:w="120" w:type="dxa"/>
            </w:tcMar>
            <w:vAlign w:val="center"/>
          </w:tcPr>
          <w:p w14:paraId="36A0E48F">
            <w:pPr>
              <w:jc w:val="left"/>
            </w:pPr>
            <w:r>
              <w:rPr>
                <w:rFonts w:ascii="Arial" w:hAnsi="Arial" w:eastAsia="Arial" w:cs="Arial"/>
                <w:b/>
                <w:bCs/>
                <w:color w:val="0D1F15"/>
                <w:sz w:val="19"/>
                <w:szCs w:val="19"/>
              </w:rPr>
              <w:t>SmartLife Flexi AUM Added (from OwnIt)</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5A54D915">
            <w:pPr>
              <w:jc w:val="left"/>
            </w:pPr>
            <w:r>
              <w:rPr>
                <w:rFonts w:ascii="Arial" w:hAnsi="Arial" w:eastAsia="Arial" w:cs="Arial"/>
                <w:b w:val="0"/>
                <w:bCs w:val="0"/>
                <w:color w:val="0D1F15"/>
                <w:sz w:val="19"/>
                <w:szCs w:val="19"/>
              </w:rPr>
              <w:t>UGX 45M</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2ACC6D3B">
            <w:pPr>
              <w:jc w:val="left"/>
            </w:pPr>
            <w:r>
              <w:rPr>
                <w:rFonts w:ascii="Arial" w:hAnsi="Arial" w:eastAsia="Arial" w:cs="Arial"/>
                <w:b w:val="0"/>
                <w:bCs w:val="0"/>
                <w:color w:val="0D1F15"/>
                <w:sz w:val="19"/>
                <w:szCs w:val="19"/>
              </w:rPr>
              <w:t>UGX 270M</w:t>
            </w:r>
          </w:p>
        </w:tc>
        <w:tc>
          <w:tcPr>
            <w:tcW w:w="1500" w:type="dxa"/>
            <w:tcBorders>
              <w:top w:val="nil"/>
              <w:left w:val="nil"/>
              <w:bottom w:val="nil"/>
              <w:right w:val="nil"/>
            </w:tcBorders>
            <w:shd w:val="clear" w:color="auto" w:fill="D6E4F7"/>
            <w:tcMar>
              <w:top w:w="80" w:type="dxa"/>
              <w:left w:w="120" w:type="dxa"/>
              <w:bottom w:w="80" w:type="dxa"/>
              <w:right w:w="120" w:type="dxa"/>
            </w:tcMar>
            <w:vAlign w:val="center"/>
          </w:tcPr>
          <w:p w14:paraId="4C78527A">
            <w:pPr>
              <w:jc w:val="left"/>
            </w:pPr>
            <w:r>
              <w:rPr>
                <w:rFonts w:ascii="Arial" w:hAnsi="Arial" w:eastAsia="Arial" w:cs="Arial"/>
                <w:b w:val="0"/>
                <w:bCs w:val="0"/>
                <w:color w:val="0D1F15"/>
                <w:sz w:val="19"/>
                <w:szCs w:val="19"/>
              </w:rPr>
              <w:t>UGX 900M</w:t>
            </w:r>
          </w:p>
        </w:tc>
        <w:tc>
          <w:tcPr>
            <w:tcW w:w="1620" w:type="dxa"/>
            <w:tcBorders>
              <w:top w:val="nil"/>
              <w:left w:val="nil"/>
              <w:bottom w:val="nil"/>
              <w:right w:val="nil"/>
            </w:tcBorders>
            <w:shd w:val="clear" w:color="auto" w:fill="D6E4F7"/>
            <w:tcMar>
              <w:top w:w="80" w:type="dxa"/>
              <w:left w:w="120" w:type="dxa"/>
              <w:bottom w:w="80" w:type="dxa"/>
              <w:right w:w="120" w:type="dxa"/>
            </w:tcMar>
            <w:vAlign w:val="center"/>
          </w:tcPr>
          <w:p w14:paraId="2B9AF689">
            <w:pPr>
              <w:jc w:val="left"/>
            </w:pPr>
            <w:r>
              <w:rPr>
                <w:rFonts w:ascii="Arial" w:hAnsi="Arial" w:eastAsia="Arial" w:cs="Arial"/>
                <w:b w:val="0"/>
                <w:bCs w:val="0"/>
                <w:color w:val="0D1F15"/>
                <w:sz w:val="19"/>
                <w:szCs w:val="19"/>
              </w:rPr>
              <w:t>UGX 3.2B</w:t>
            </w:r>
          </w:p>
        </w:tc>
      </w:tr>
      <w:tr w14:paraId="6899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7518A0BA">
            <w:pPr>
              <w:jc w:val="left"/>
            </w:pPr>
            <w:r>
              <w:rPr>
                <w:rFonts w:ascii="Arial" w:hAnsi="Arial" w:eastAsia="Arial" w:cs="Arial"/>
                <w:b/>
                <w:bCs/>
                <w:color w:val="0D1F15"/>
                <w:sz w:val="19"/>
                <w:szCs w:val="19"/>
              </w:rPr>
              <w:t>Cumulative Pension Levy AUM Added</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43FC939D">
            <w:pPr>
              <w:jc w:val="left"/>
            </w:pPr>
            <w:r>
              <w:rPr>
                <w:rFonts w:ascii="Arial" w:hAnsi="Arial" w:eastAsia="Arial" w:cs="Arial"/>
                <w:b w:val="0"/>
                <w:bCs w:val="0"/>
                <w:color w:val="0D1F15"/>
                <w:sz w:val="19"/>
                <w:szCs w:val="19"/>
              </w:rPr>
              <w:t>UGX 18M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1CA3C3F0">
            <w:pPr>
              <w:jc w:val="left"/>
            </w:pPr>
            <w:r>
              <w:rPr>
                <w:rFonts w:ascii="Arial" w:hAnsi="Arial" w:eastAsia="Arial" w:cs="Arial"/>
                <w:b w:val="0"/>
                <w:bCs w:val="0"/>
                <w:color w:val="0D1F15"/>
                <w:sz w:val="19"/>
                <w:szCs w:val="19"/>
              </w:rPr>
              <w:t>UGX 126M</w:t>
            </w:r>
          </w:p>
        </w:tc>
        <w:tc>
          <w:tcPr>
            <w:tcW w:w="1500" w:type="dxa"/>
            <w:tcBorders>
              <w:top w:val="nil"/>
              <w:left w:val="nil"/>
              <w:bottom w:val="nil"/>
              <w:right w:val="nil"/>
            </w:tcBorders>
            <w:shd w:val="clear" w:color="auto" w:fill="FFFFFF"/>
            <w:tcMar>
              <w:top w:w="80" w:type="dxa"/>
              <w:left w:w="120" w:type="dxa"/>
              <w:bottom w:w="80" w:type="dxa"/>
              <w:right w:w="120" w:type="dxa"/>
            </w:tcMar>
            <w:vAlign w:val="center"/>
          </w:tcPr>
          <w:p w14:paraId="33CF6BD5">
            <w:pPr>
              <w:jc w:val="left"/>
            </w:pPr>
            <w:r>
              <w:rPr>
                <w:rFonts w:ascii="Arial" w:hAnsi="Arial" w:eastAsia="Arial" w:cs="Arial"/>
                <w:b w:val="0"/>
                <w:bCs w:val="0"/>
                <w:color w:val="0D1F15"/>
                <w:sz w:val="19"/>
                <w:szCs w:val="19"/>
              </w:rPr>
              <w:t>UGX 486M</w:t>
            </w:r>
          </w:p>
        </w:tc>
        <w:tc>
          <w:tcPr>
            <w:tcW w:w="1620" w:type="dxa"/>
            <w:tcBorders>
              <w:top w:val="nil"/>
              <w:left w:val="nil"/>
              <w:bottom w:val="nil"/>
              <w:right w:val="nil"/>
            </w:tcBorders>
            <w:shd w:val="clear" w:color="auto" w:fill="FFFFFF"/>
            <w:tcMar>
              <w:top w:w="80" w:type="dxa"/>
              <w:left w:w="120" w:type="dxa"/>
              <w:bottom w:w="80" w:type="dxa"/>
              <w:right w:w="120" w:type="dxa"/>
            </w:tcMar>
            <w:vAlign w:val="center"/>
          </w:tcPr>
          <w:p w14:paraId="576F7D72">
            <w:pPr>
              <w:jc w:val="left"/>
            </w:pPr>
            <w:r>
              <w:rPr>
                <w:rFonts w:ascii="Arial" w:hAnsi="Arial" w:eastAsia="Arial" w:cs="Arial"/>
                <w:b w:val="0"/>
                <w:bCs w:val="0"/>
                <w:color w:val="0D1F15"/>
                <w:sz w:val="19"/>
                <w:szCs w:val="19"/>
              </w:rPr>
              <w:t>UGX 1.8B+</w:t>
            </w:r>
          </w:p>
        </w:tc>
      </w:tr>
      <w:tr w14:paraId="128ED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nil"/>
              <w:left w:val="nil"/>
              <w:bottom w:val="nil"/>
              <w:right w:val="nil"/>
            </w:tcBorders>
            <w:shd w:val="clear" w:color="auto" w:fill="003F87"/>
            <w:tcMar>
              <w:top w:w="80" w:type="dxa"/>
              <w:left w:w="120" w:type="dxa"/>
              <w:bottom w:w="80" w:type="dxa"/>
              <w:right w:w="120" w:type="dxa"/>
            </w:tcMar>
            <w:vAlign w:val="center"/>
          </w:tcPr>
          <w:p w14:paraId="68A1A344">
            <w:pPr>
              <w:jc w:val="left"/>
            </w:pPr>
            <w:r>
              <w:rPr>
                <w:rFonts w:ascii="Arial" w:hAnsi="Arial" w:eastAsia="Arial" w:cs="Arial"/>
                <w:b/>
                <w:bCs/>
                <w:color w:val="FFFFFF"/>
                <w:sz w:val="19"/>
                <w:szCs w:val="19"/>
              </w:rPr>
              <w:t>TOTAL NSSF-MANAGED FUNDS</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1EEDEDBE">
            <w:pPr>
              <w:jc w:val="left"/>
            </w:pPr>
            <w:r>
              <w:rPr>
                <w:rFonts w:ascii="Arial" w:hAnsi="Arial" w:eastAsia="Arial" w:cs="Arial"/>
                <w:b/>
                <w:bCs/>
                <w:color w:val="FFFFFF"/>
                <w:sz w:val="19"/>
                <w:szCs w:val="19"/>
              </w:rPr>
              <w:t>UGX 132M</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0F42DB89">
            <w:pPr>
              <w:jc w:val="left"/>
            </w:pPr>
            <w:r>
              <w:rPr>
                <w:rFonts w:ascii="Arial" w:hAnsi="Arial" w:eastAsia="Arial" w:cs="Arial"/>
                <w:b/>
                <w:bCs/>
                <w:color w:val="FFFFFF"/>
                <w:sz w:val="19"/>
                <w:szCs w:val="19"/>
              </w:rPr>
              <w:t>UGX 744M</w:t>
            </w:r>
          </w:p>
        </w:tc>
        <w:tc>
          <w:tcPr>
            <w:tcW w:w="1500" w:type="dxa"/>
            <w:tcBorders>
              <w:top w:val="nil"/>
              <w:left w:val="nil"/>
              <w:bottom w:val="nil"/>
              <w:right w:val="nil"/>
            </w:tcBorders>
            <w:shd w:val="clear" w:color="auto" w:fill="003F87"/>
            <w:tcMar>
              <w:top w:w="80" w:type="dxa"/>
              <w:left w:w="120" w:type="dxa"/>
              <w:bottom w:w="80" w:type="dxa"/>
              <w:right w:w="120" w:type="dxa"/>
            </w:tcMar>
            <w:vAlign w:val="center"/>
          </w:tcPr>
          <w:p w14:paraId="2342A2DF">
            <w:pPr>
              <w:jc w:val="left"/>
            </w:pPr>
            <w:r>
              <w:rPr>
                <w:rFonts w:ascii="Arial" w:hAnsi="Arial" w:eastAsia="Arial" w:cs="Arial"/>
                <w:b/>
                <w:bCs/>
                <w:color w:val="FFFFFF"/>
                <w:sz w:val="19"/>
                <w:szCs w:val="19"/>
              </w:rPr>
              <w:t>UGX 2.42B</w:t>
            </w:r>
          </w:p>
        </w:tc>
        <w:tc>
          <w:tcPr>
            <w:tcW w:w="1620" w:type="dxa"/>
            <w:tcBorders>
              <w:top w:val="nil"/>
              <w:left w:val="nil"/>
              <w:bottom w:val="nil"/>
              <w:right w:val="nil"/>
            </w:tcBorders>
            <w:shd w:val="clear" w:color="auto" w:fill="003F87"/>
            <w:tcMar>
              <w:top w:w="80" w:type="dxa"/>
              <w:left w:w="120" w:type="dxa"/>
              <w:bottom w:w="80" w:type="dxa"/>
              <w:right w:w="120" w:type="dxa"/>
            </w:tcMar>
            <w:vAlign w:val="center"/>
          </w:tcPr>
          <w:p w14:paraId="6442048F">
            <w:pPr>
              <w:jc w:val="left"/>
            </w:pPr>
            <w:r>
              <w:rPr>
                <w:rFonts w:ascii="Arial" w:hAnsi="Arial" w:eastAsia="Arial" w:cs="Arial"/>
                <w:b/>
                <w:bCs/>
                <w:color w:val="FFFFFF"/>
                <w:sz w:val="19"/>
                <w:szCs w:val="19"/>
              </w:rPr>
              <w:t>UGX 8.42B+</w:t>
            </w:r>
          </w:p>
        </w:tc>
      </w:tr>
    </w:tbl>
    <w:p w14:paraId="23CB8E89">
      <w:pPr>
        <w:spacing w:before="60" w:after="0"/>
      </w:pPr>
    </w:p>
    <w:p w14:paraId="51F7F102">
      <w:pPr>
        <w:spacing w:before="60" w:after="80"/>
        <w:jc w:val="left"/>
        <w:rPr>
          <w:color w:val="0D1F15"/>
        </w:rPr>
      </w:pPr>
      <w:r>
        <w:rPr>
          <w:rFonts w:ascii="Arial" w:hAnsi="Arial" w:eastAsia="Arial" w:cs="Arial"/>
          <w:b w:val="0"/>
          <w:bCs w:val="0"/>
          <w:color w:val="5A6B5E"/>
          <w:sz w:val="17"/>
          <w:szCs w:val="17"/>
        </w:rPr>
        <w:t>* Lifetime Member Value = estimated total voluntary and eventual mandatory contributions over 30-year membership horizon, based on NSSF’s internal actuarial assumptions. Indicative only.</w:t>
      </w:r>
    </w:p>
    <w:p w14:paraId="73D1DBD4">
      <w:r>
        <w:br w:type="page"/>
      </w:r>
    </w:p>
    <w:p w14:paraId="1DB5726E">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4</w:t>
      </w:r>
      <w:r>
        <w:rPr>
          <w:rFonts w:ascii="Arial" w:hAnsi="Arial" w:eastAsia="Arial" w:cs="Arial"/>
          <w:b/>
          <w:bCs/>
          <w:color w:val="1A7A45"/>
          <w:sz w:val="32"/>
          <w:szCs w:val="32"/>
        </w:rPr>
        <w:t>. Implementation Roadmap</w:t>
      </w:r>
    </w:p>
    <w:p w14:paraId="70BCF05B">
      <w:pPr>
        <w:pBdr>
          <w:bottom w:val="single" w:color="1A7A45" w:sz="12" w:space="1"/>
        </w:pBd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080"/>
        <w:gridCol w:w="3840"/>
        <w:gridCol w:w="3000"/>
      </w:tblGrid>
      <w:tr w14:paraId="16D4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1A7A45"/>
            <w:tcMar>
              <w:top w:w="80" w:type="dxa"/>
              <w:left w:w="120" w:type="dxa"/>
              <w:bottom w:w="80" w:type="dxa"/>
              <w:right w:w="120" w:type="dxa"/>
            </w:tcMar>
            <w:vAlign w:val="center"/>
          </w:tcPr>
          <w:p w14:paraId="017FF3EF">
            <w:pPr>
              <w:jc w:val="left"/>
              <w:rPr>
                <w:color w:val="0D1F15"/>
              </w:rPr>
            </w:pPr>
            <w:r>
              <w:rPr>
                <w:rFonts w:ascii="Arial" w:hAnsi="Arial" w:eastAsia="Arial" w:cs="Arial"/>
                <w:b/>
                <w:bCs/>
                <w:color w:val="FFFFFF"/>
                <w:sz w:val="19"/>
                <w:szCs w:val="19"/>
              </w:rPr>
              <w:t>Phase</w:t>
            </w:r>
          </w:p>
        </w:tc>
        <w:tc>
          <w:tcPr>
            <w:tcW w:w="1080" w:type="dxa"/>
            <w:tcBorders>
              <w:top w:val="nil"/>
              <w:left w:val="nil"/>
              <w:bottom w:val="nil"/>
              <w:right w:val="nil"/>
            </w:tcBorders>
            <w:shd w:val="clear" w:color="auto" w:fill="1A7A45"/>
            <w:tcMar>
              <w:top w:w="80" w:type="dxa"/>
              <w:left w:w="120" w:type="dxa"/>
              <w:bottom w:w="80" w:type="dxa"/>
              <w:right w:w="120" w:type="dxa"/>
            </w:tcMar>
            <w:vAlign w:val="center"/>
          </w:tcPr>
          <w:p w14:paraId="58F38E97">
            <w:pPr>
              <w:jc w:val="left"/>
              <w:rPr>
                <w:color w:val="0D1F15"/>
              </w:rPr>
            </w:pPr>
            <w:r>
              <w:rPr>
                <w:rFonts w:ascii="Arial" w:hAnsi="Arial" w:eastAsia="Arial" w:cs="Arial"/>
                <w:b/>
                <w:bCs/>
                <w:color w:val="FFFFFF"/>
                <w:sz w:val="19"/>
                <w:szCs w:val="19"/>
              </w:rPr>
              <w:t>Timeline</w:t>
            </w:r>
          </w:p>
        </w:tc>
        <w:tc>
          <w:tcPr>
            <w:tcW w:w="3840" w:type="dxa"/>
            <w:tcBorders>
              <w:top w:val="nil"/>
              <w:left w:val="nil"/>
              <w:bottom w:val="nil"/>
              <w:right w:val="nil"/>
            </w:tcBorders>
            <w:shd w:val="clear" w:color="auto" w:fill="1A7A45"/>
            <w:tcMar>
              <w:top w:w="80" w:type="dxa"/>
              <w:left w:w="120" w:type="dxa"/>
              <w:bottom w:w="80" w:type="dxa"/>
              <w:right w:w="120" w:type="dxa"/>
            </w:tcMar>
            <w:vAlign w:val="center"/>
          </w:tcPr>
          <w:p w14:paraId="6E37C904">
            <w:pPr>
              <w:jc w:val="left"/>
              <w:rPr>
                <w:color w:val="0D1F15"/>
              </w:rPr>
            </w:pPr>
            <w:r>
              <w:rPr>
                <w:rFonts w:ascii="Arial" w:hAnsi="Arial" w:eastAsia="Arial" w:cs="Arial"/>
                <w:b/>
                <w:bCs/>
                <w:color w:val="FFFFFF"/>
                <w:sz w:val="19"/>
                <w:szCs w:val="19"/>
              </w:rPr>
              <w:t>Key Activities</w:t>
            </w:r>
          </w:p>
        </w:tc>
        <w:tc>
          <w:tcPr>
            <w:tcW w:w="3000" w:type="dxa"/>
            <w:tcBorders>
              <w:top w:val="nil"/>
              <w:left w:val="nil"/>
              <w:bottom w:val="nil"/>
              <w:right w:val="nil"/>
            </w:tcBorders>
            <w:shd w:val="clear" w:color="auto" w:fill="1A7A45"/>
            <w:tcMar>
              <w:top w:w="80" w:type="dxa"/>
              <w:left w:w="120" w:type="dxa"/>
              <w:bottom w:w="80" w:type="dxa"/>
              <w:right w:w="120" w:type="dxa"/>
            </w:tcMar>
            <w:vAlign w:val="center"/>
          </w:tcPr>
          <w:p w14:paraId="6B686443">
            <w:pPr>
              <w:jc w:val="left"/>
              <w:rPr>
                <w:color w:val="0D1F15"/>
              </w:rPr>
            </w:pPr>
            <w:r>
              <w:rPr>
                <w:rFonts w:ascii="Arial" w:hAnsi="Arial" w:eastAsia="Arial" w:cs="Arial"/>
                <w:b/>
                <w:bCs/>
                <w:color w:val="FFFFFF"/>
                <w:sz w:val="19"/>
                <w:szCs w:val="19"/>
              </w:rPr>
              <w:t>Go/No-Go Milestone</w:t>
            </w:r>
          </w:p>
        </w:tc>
      </w:tr>
      <w:tr w14:paraId="738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FFFFFF"/>
            <w:tcMar>
              <w:top w:w="80" w:type="dxa"/>
              <w:left w:w="120" w:type="dxa"/>
              <w:bottom w:w="80" w:type="dxa"/>
              <w:right w:w="120" w:type="dxa"/>
            </w:tcMar>
            <w:vAlign w:val="center"/>
          </w:tcPr>
          <w:p w14:paraId="0891EA76">
            <w:pPr>
              <w:jc w:val="left"/>
              <w:rPr>
                <w:color w:val="0D1F15"/>
              </w:rPr>
            </w:pPr>
            <w:r>
              <w:rPr>
                <w:rFonts w:ascii="Arial" w:hAnsi="Arial" w:eastAsia="Arial" w:cs="Arial"/>
                <w:b/>
                <w:bCs/>
                <w:color w:val="0D1F15"/>
                <w:sz w:val="19"/>
                <w:szCs w:val="19"/>
              </w:rPr>
              <w:t>Phase 0
Due Diligence</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4F085570">
            <w:pPr>
              <w:jc w:val="left"/>
              <w:rPr>
                <w:color w:val="0D1F15"/>
              </w:rPr>
            </w:pPr>
            <w:r>
              <w:rPr>
                <w:rFonts w:ascii="Arial" w:hAnsi="Arial" w:eastAsia="Arial" w:cs="Arial"/>
                <w:b w:val="0"/>
                <w:bCs w:val="0"/>
                <w:color w:val="0D1F15"/>
                <w:sz w:val="19"/>
                <w:szCs w:val="19"/>
              </w:rPr>
              <w:t>Months 1–3</w:t>
            </w:r>
          </w:p>
        </w:tc>
        <w:tc>
          <w:tcPr>
            <w:tcW w:w="3840" w:type="dxa"/>
            <w:tcBorders>
              <w:top w:val="nil"/>
              <w:left w:val="nil"/>
              <w:bottom w:val="nil"/>
              <w:right w:val="nil"/>
            </w:tcBorders>
            <w:shd w:val="clear" w:color="auto" w:fill="FFFFFF"/>
            <w:tcMar>
              <w:top w:w="80" w:type="dxa"/>
              <w:left w:w="120" w:type="dxa"/>
              <w:bottom w:w="80" w:type="dxa"/>
              <w:right w:w="120" w:type="dxa"/>
            </w:tcMar>
            <w:vAlign w:val="center"/>
          </w:tcPr>
          <w:p w14:paraId="0973F9BD">
            <w:pPr>
              <w:jc w:val="left"/>
              <w:rPr>
                <w:color w:val="0D1F15"/>
              </w:rPr>
            </w:pPr>
            <w:r>
              <w:rPr>
                <w:rFonts w:ascii="Arial" w:hAnsi="Arial" w:eastAsia="Arial" w:cs="Arial"/>
                <w:b w:val="0"/>
                <w:bCs w:val="0"/>
                <w:color w:val="0D1F15"/>
                <w:sz w:val="19"/>
                <w:szCs w:val="19"/>
              </w:rPr>
              <w:t>MOU signing; legal review; NSSF registry &amp; SmartLife Flexi API scoping; CMA/URBRA pre-engagement; first lister agreements (petroleum + agri + real estate); NIRA NIN integration testing</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7758AD43">
            <w:pPr>
              <w:jc w:val="left"/>
              <w:rPr>
                <w:color w:val="0D1F15"/>
              </w:rPr>
            </w:pPr>
            <w:r>
              <w:rPr>
                <w:rFonts w:ascii="Arial" w:hAnsi="Arial" w:eastAsia="Arial" w:cs="Arial"/>
                <w:b w:val="0"/>
                <w:bCs w:val="0"/>
                <w:color w:val="0D1F15"/>
                <w:sz w:val="19"/>
                <w:szCs w:val="19"/>
              </w:rPr>
              <w:t>MOU signed; 3 listers contracted; regulatory pathway confirmed; NIN API &amp; SFL API live in test</w:t>
            </w:r>
          </w:p>
        </w:tc>
      </w:tr>
      <w:tr w14:paraId="7C65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D4EFE0"/>
            <w:tcMar>
              <w:top w:w="80" w:type="dxa"/>
              <w:left w:w="120" w:type="dxa"/>
              <w:bottom w:w="80" w:type="dxa"/>
              <w:right w:w="120" w:type="dxa"/>
            </w:tcMar>
            <w:vAlign w:val="center"/>
          </w:tcPr>
          <w:p w14:paraId="622AE9F5">
            <w:pPr>
              <w:jc w:val="left"/>
              <w:rPr>
                <w:color w:val="0D1F15"/>
              </w:rPr>
            </w:pPr>
            <w:r>
              <w:rPr>
                <w:rFonts w:ascii="Arial" w:hAnsi="Arial" w:eastAsia="Arial" w:cs="Arial"/>
                <w:b/>
                <w:bCs/>
                <w:color w:val="0D1F15"/>
                <w:sz w:val="19"/>
                <w:szCs w:val="19"/>
              </w:rPr>
              <w:t>Phase 1
Beta Launch</w:t>
            </w:r>
          </w:p>
        </w:tc>
        <w:tc>
          <w:tcPr>
            <w:tcW w:w="1080" w:type="dxa"/>
            <w:tcBorders>
              <w:top w:val="nil"/>
              <w:left w:val="nil"/>
              <w:bottom w:val="nil"/>
              <w:right w:val="nil"/>
            </w:tcBorders>
            <w:shd w:val="clear" w:color="auto" w:fill="D4EFE0"/>
            <w:tcMar>
              <w:top w:w="80" w:type="dxa"/>
              <w:left w:w="120" w:type="dxa"/>
              <w:bottom w:w="80" w:type="dxa"/>
              <w:right w:w="120" w:type="dxa"/>
            </w:tcMar>
            <w:vAlign w:val="center"/>
          </w:tcPr>
          <w:p w14:paraId="5BE8F2F7">
            <w:pPr>
              <w:jc w:val="left"/>
              <w:rPr>
                <w:color w:val="0D1F15"/>
              </w:rPr>
            </w:pPr>
            <w:r>
              <w:rPr>
                <w:rFonts w:ascii="Arial" w:hAnsi="Arial" w:eastAsia="Arial" w:cs="Arial"/>
                <w:b w:val="0"/>
                <w:bCs w:val="0"/>
                <w:color w:val="0D1F15"/>
                <w:sz w:val="19"/>
                <w:szCs w:val="19"/>
              </w:rPr>
              <w:t>Months 3–6</w:t>
            </w:r>
          </w:p>
        </w:tc>
        <w:tc>
          <w:tcPr>
            <w:tcW w:w="3840" w:type="dxa"/>
            <w:tcBorders>
              <w:top w:val="nil"/>
              <w:left w:val="nil"/>
              <w:bottom w:val="nil"/>
              <w:right w:val="nil"/>
            </w:tcBorders>
            <w:shd w:val="clear" w:color="auto" w:fill="D4EFE0"/>
            <w:tcMar>
              <w:top w:w="80" w:type="dxa"/>
              <w:left w:w="120" w:type="dxa"/>
              <w:bottom w:w="80" w:type="dxa"/>
              <w:right w:w="120" w:type="dxa"/>
            </w:tcMar>
            <w:vAlign w:val="center"/>
          </w:tcPr>
          <w:p w14:paraId="277A74E2">
            <w:pPr>
              <w:jc w:val="left"/>
              <w:rPr>
                <w:color w:val="0D1F15"/>
              </w:rPr>
            </w:pPr>
            <w:r>
              <w:rPr>
                <w:rFonts w:ascii="Arial" w:hAnsi="Arial" w:eastAsia="Arial" w:cs="Arial"/>
                <w:b w:val="0"/>
                <w:bCs w:val="0"/>
                <w:color w:val="0D1F15"/>
                <w:sz w:val="19"/>
                <w:szCs w:val="19"/>
              </w:rPr>
              <w:t>Beta platform with real estate + agri + T-bill assets; NSSF auto-enrollment live; SmartLife Flexi post-payout prompt live; co-branded marketing; MTN &amp; Airtel MoMo integration; first payouts processed</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50AD0693">
            <w:pPr>
              <w:jc w:val="left"/>
              <w:rPr>
                <w:color w:val="0D1F15"/>
              </w:rPr>
            </w:pPr>
            <w:r>
              <w:rPr>
                <w:rFonts w:ascii="Arial" w:hAnsi="Arial" w:eastAsia="Arial" w:cs="Arial"/>
                <w:b w:val="0"/>
                <w:bCs w:val="0"/>
                <w:color w:val="0D1F15"/>
                <w:sz w:val="19"/>
                <w:szCs w:val="19"/>
              </w:rPr>
              <w:t>5,000 users; first payouts distributed; NSSF members enrolled; first SFL referral deposits recorded</w:t>
            </w:r>
          </w:p>
        </w:tc>
      </w:tr>
      <w:tr w14:paraId="5A28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FFFFFF"/>
            <w:tcMar>
              <w:top w:w="80" w:type="dxa"/>
              <w:left w:w="120" w:type="dxa"/>
              <w:bottom w:w="80" w:type="dxa"/>
              <w:right w:w="120" w:type="dxa"/>
            </w:tcMar>
            <w:vAlign w:val="center"/>
          </w:tcPr>
          <w:p w14:paraId="0D1110F7">
            <w:pPr>
              <w:jc w:val="left"/>
              <w:rPr>
                <w:color w:val="0D1F15"/>
              </w:rPr>
            </w:pPr>
            <w:r>
              <w:rPr>
                <w:rFonts w:ascii="Arial" w:hAnsi="Arial" w:eastAsia="Arial" w:cs="Arial"/>
                <w:b/>
                <w:bCs/>
                <w:color w:val="0D1F15"/>
                <w:sz w:val="19"/>
                <w:szCs w:val="19"/>
              </w:rPr>
              <w:t>Phase 2
Core Expansion</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1FB232B6">
            <w:pPr>
              <w:jc w:val="left"/>
              <w:rPr>
                <w:color w:val="0D1F15"/>
              </w:rPr>
            </w:pPr>
            <w:r>
              <w:rPr>
                <w:rFonts w:ascii="Arial" w:hAnsi="Arial" w:eastAsia="Arial" w:cs="Arial"/>
                <w:b w:val="0"/>
                <w:bCs w:val="0"/>
                <w:color w:val="0D1F15"/>
                <w:sz w:val="19"/>
                <w:szCs w:val="19"/>
              </w:rPr>
              <w:t>Months 6–12</w:t>
            </w:r>
          </w:p>
        </w:tc>
        <w:tc>
          <w:tcPr>
            <w:tcW w:w="3840" w:type="dxa"/>
            <w:tcBorders>
              <w:top w:val="nil"/>
              <w:left w:val="nil"/>
              <w:bottom w:val="nil"/>
              <w:right w:val="nil"/>
            </w:tcBorders>
            <w:shd w:val="clear" w:color="auto" w:fill="FFFFFF"/>
            <w:tcMar>
              <w:top w:w="80" w:type="dxa"/>
              <w:left w:w="120" w:type="dxa"/>
              <w:bottom w:w="80" w:type="dxa"/>
              <w:right w:w="120" w:type="dxa"/>
            </w:tcMar>
            <w:vAlign w:val="center"/>
          </w:tcPr>
          <w:p w14:paraId="17E1FB7C">
            <w:pPr>
              <w:jc w:val="left"/>
              <w:rPr>
                <w:color w:val="0D1F15"/>
              </w:rPr>
            </w:pPr>
            <w:r>
              <w:rPr>
                <w:rFonts w:ascii="Arial" w:hAnsi="Arial" w:eastAsia="Arial" w:cs="Arial"/>
                <w:b w:val="0"/>
                <w:bCs w:val="0"/>
                <w:color w:val="0D1F15"/>
                <w:sz w:val="19"/>
                <w:szCs w:val="19"/>
              </w:rPr>
              <w:t>Petroleum + FX + domestic stocks + minerals live; USSD channel launch; NSSF Hisa brand rollout; SmartLife Flexi sweep feature; 75 active listings; first NSSF revenue statement issued to Fund</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4EDE7A26">
            <w:pPr>
              <w:jc w:val="left"/>
              <w:rPr>
                <w:color w:val="0D1F15"/>
              </w:rPr>
            </w:pPr>
            <w:r>
              <w:rPr>
                <w:rFonts w:ascii="Arial" w:hAnsi="Arial" w:eastAsia="Arial" w:cs="Arial"/>
                <w:b w:val="0"/>
                <w:bCs w:val="0"/>
                <w:color w:val="0D1F15"/>
                <w:sz w:val="19"/>
                <w:szCs w:val="19"/>
              </w:rPr>
              <w:t>30,000 users; 6 asset classes live; UGX 366M NSSF revenue run-rate; SFL AUM +UGX 270M from OwnIt</w:t>
            </w:r>
          </w:p>
        </w:tc>
      </w:tr>
      <w:tr w14:paraId="2259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D4EFE0"/>
            <w:tcMar>
              <w:top w:w="80" w:type="dxa"/>
              <w:left w:w="120" w:type="dxa"/>
              <w:bottom w:w="80" w:type="dxa"/>
              <w:right w:w="120" w:type="dxa"/>
            </w:tcMar>
            <w:vAlign w:val="center"/>
          </w:tcPr>
          <w:p w14:paraId="50B63A00">
            <w:pPr>
              <w:jc w:val="left"/>
              <w:rPr>
                <w:color w:val="0D1F15"/>
              </w:rPr>
            </w:pPr>
            <w:r>
              <w:rPr>
                <w:rFonts w:ascii="Arial" w:hAnsi="Arial" w:eastAsia="Arial" w:cs="Arial"/>
                <w:b/>
                <w:bCs/>
                <w:color w:val="0D1F15"/>
                <w:sz w:val="19"/>
                <w:szCs w:val="19"/>
              </w:rPr>
              <w:t>Phase 3
National Scale</w:t>
            </w:r>
          </w:p>
        </w:tc>
        <w:tc>
          <w:tcPr>
            <w:tcW w:w="1080" w:type="dxa"/>
            <w:tcBorders>
              <w:top w:val="nil"/>
              <w:left w:val="nil"/>
              <w:bottom w:val="nil"/>
              <w:right w:val="nil"/>
            </w:tcBorders>
            <w:shd w:val="clear" w:color="auto" w:fill="D4EFE0"/>
            <w:tcMar>
              <w:top w:w="80" w:type="dxa"/>
              <w:left w:w="120" w:type="dxa"/>
              <w:bottom w:w="80" w:type="dxa"/>
              <w:right w:w="120" w:type="dxa"/>
            </w:tcMar>
            <w:vAlign w:val="center"/>
          </w:tcPr>
          <w:p w14:paraId="75E9BC40">
            <w:pPr>
              <w:jc w:val="left"/>
              <w:rPr>
                <w:color w:val="0D1F15"/>
              </w:rPr>
            </w:pPr>
            <w:r>
              <w:rPr>
                <w:rFonts w:ascii="Arial" w:hAnsi="Arial" w:eastAsia="Arial" w:cs="Arial"/>
                <w:b w:val="0"/>
                <w:bCs w:val="0"/>
                <w:color w:val="0D1F15"/>
                <w:sz w:val="19"/>
                <w:szCs w:val="19"/>
              </w:rPr>
              <w:t>Months 12–18</w:t>
            </w:r>
          </w:p>
        </w:tc>
        <w:tc>
          <w:tcPr>
            <w:tcW w:w="3840" w:type="dxa"/>
            <w:tcBorders>
              <w:top w:val="nil"/>
              <w:left w:val="nil"/>
              <w:bottom w:val="nil"/>
              <w:right w:val="nil"/>
            </w:tcBorders>
            <w:shd w:val="clear" w:color="auto" w:fill="D4EFE0"/>
            <w:tcMar>
              <w:top w:w="80" w:type="dxa"/>
              <w:left w:w="120" w:type="dxa"/>
              <w:bottom w:w="80" w:type="dxa"/>
              <w:right w:w="120" w:type="dxa"/>
            </w:tcMar>
            <w:vAlign w:val="center"/>
          </w:tcPr>
          <w:p w14:paraId="0DBCA6D8">
            <w:pPr>
              <w:jc w:val="left"/>
              <w:rPr>
                <w:color w:val="0D1F15"/>
              </w:rPr>
            </w:pPr>
            <w:r>
              <w:rPr>
                <w:rFonts w:ascii="Arial" w:hAnsi="Arial" w:eastAsia="Arial" w:cs="Arial"/>
                <w:b w:val="0"/>
                <w:bCs w:val="0"/>
                <w:color w:val="0D1F15"/>
                <w:sz w:val="19"/>
                <w:szCs w:val="19"/>
              </w:rPr>
              <w:t>Foreign stocks + SME equity + open class live; national marketing campaign; rural agent integration; NSSF voluntary sweep feature launched; 200 active listings; ‘Own it. Save it. Secure it.’ campaign</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262AE1CB">
            <w:pPr>
              <w:jc w:val="left"/>
              <w:rPr>
                <w:color w:val="0D1F15"/>
              </w:rPr>
            </w:pPr>
            <w:r>
              <w:rPr>
                <w:rFonts w:ascii="Arial" w:hAnsi="Arial" w:eastAsia="Arial" w:cs="Arial"/>
                <w:b w:val="0"/>
                <w:bCs w:val="0"/>
                <w:color w:val="0D1F15"/>
                <w:sz w:val="19"/>
                <w:szCs w:val="19"/>
              </w:rPr>
              <w:t>100,000 users; all 9 classes live; UGX 1B+ NSSF annual revenue; 100,000 new members; SFL AUM +UGX 900M</w:t>
            </w:r>
          </w:p>
        </w:tc>
      </w:tr>
      <w:tr w14:paraId="5F06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nil"/>
              <w:left w:val="nil"/>
              <w:bottom w:val="nil"/>
              <w:right w:val="nil"/>
            </w:tcBorders>
            <w:shd w:val="clear" w:color="auto" w:fill="FFFFFF"/>
            <w:tcMar>
              <w:top w:w="80" w:type="dxa"/>
              <w:left w:w="120" w:type="dxa"/>
              <w:bottom w:w="80" w:type="dxa"/>
              <w:right w:w="120" w:type="dxa"/>
            </w:tcMar>
            <w:vAlign w:val="center"/>
          </w:tcPr>
          <w:p w14:paraId="1670BFFF">
            <w:pPr>
              <w:jc w:val="left"/>
              <w:rPr>
                <w:color w:val="0D1F15"/>
              </w:rPr>
            </w:pPr>
            <w:r>
              <w:rPr>
                <w:rFonts w:ascii="Arial" w:hAnsi="Arial" w:eastAsia="Arial" w:cs="Arial"/>
                <w:b/>
                <w:bCs/>
                <w:color w:val="0D1F15"/>
                <w:sz w:val="19"/>
                <w:szCs w:val="19"/>
              </w:rPr>
              <w:t>Phase 4
Strategic JV</w:t>
            </w:r>
          </w:p>
        </w:tc>
        <w:tc>
          <w:tcPr>
            <w:tcW w:w="1080" w:type="dxa"/>
            <w:tcBorders>
              <w:top w:val="nil"/>
              <w:left w:val="nil"/>
              <w:bottom w:val="nil"/>
              <w:right w:val="nil"/>
            </w:tcBorders>
            <w:shd w:val="clear" w:color="auto" w:fill="FFFFFF"/>
            <w:tcMar>
              <w:top w:w="80" w:type="dxa"/>
              <w:left w:w="120" w:type="dxa"/>
              <w:bottom w:w="80" w:type="dxa"/>
              <w:right w:w="120" w:type="dxa"/>
            </w:tcMar>
            <w:vAlign w:val="center"/>
          </w:tcPr>
          <w:p w14:paraId="172F4514">
            <w:pPr>
              <w:jc w:val="left"/>
              <w:rPr>
                <w:color w:val="0D1F15"/>
              </w:rPr>
            </w:pPr>
            <w:r>
              <w:rPr>
                <w:rFonts w:ascii="Arial" w:hAnsi="Arial" w:eastAsia="Arial" w:cs="Arial"/>
                <w:b w:val="0"/>
                <w:bCs w:val="0"/>
                <w:color w:val="0D1F15"/>
                <w:sz w:val="19"/>
                <w:szCs w:val="19"/>
              </w:rPr>
              <w:t>Months 18–36</w:t>
            </w:r>
          </w:p>
        </w:tc>
        <w:tc>
          <w:tcPr>
            <w:tcW w:w="3840" w:type="dxa"/>
            <w:tcBorders>
              <w:top w:val="nil"/>
              <w:left w:val="nil"/>
              <w:bottom w:val="nil"/>
              <w:right w:val="nil"/>
            </w:tcBorders>
            <w:shd w:val="clear" w:color="auto" w:fill="FFFFFF"/>
            <w:tcMar>
              <w:top w:w="80" w:type="dxa"/>
              <w:left w:w="120" w:type="dxa"/>
              <w:bottom w:w="80" w:type="dxa"/>
              <w:right w:w="120" w:type="dxa"/>
            </w:tcMar>
            <w:vAlign w:val="center"/>
          </w:tcPr>
          <w:p w14:paraId="664E1D20">
            <w:pPr>
              <w:jc w:val="left"/>
              <w:rPr>
                <w:color w:val="0D1F15"/>
              </w:rPr>
            </w:pPr>
            <w:r>
              <w:rPr>
                <w:rFonts w:ascii="Arial" w:hAnsi="Arial" w:eastAsia="Arial" w:cs="Arial"/>
                <w:b w:val="0"/>
                <w:bCs w:val="0"/>
                <w:color w:val="0D1F15"/>
                <w:sz w:val="19"/>
                <w:szCs w:val="19"/>
              </w:rPr>
              <w:t>Tier 3 equity/JV negotiation; NSSF property portfolio listed on platform; East Africa expansion scoping; diaspora product; URBRA framework submission; unified NSSF Digital brand</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00286BD7">
            <w:pPr>
              <w:jc w:val="left"/>
              <w:rPr>
                <w:color w:val="0D1F15"/>
              </w:rPr>
            </w:pPr>
            <w:r>
              <w:rPr>
                <w:rFonts w:ascii="Arial" w:hAnsi="Arial" w:eastAsia="Arial" w:cs="Arial"/>
                <w:b w:val="0"/>
                <w:bCs w:val="0"/>
                <w:color w:val="0D1F15"/>
                <w:sz w:val="19"/>
                <w:szCs w:val="19"/>
              </w:rPr>
              <w:t>500,000+ users; NSSF equity stake secured; UGX 4B+ revenue; East Africa pilot agreed; SFL AUM +UGX 2B+</w:t>
            </w:r>
          </w:p>
        </w:tc>
      </w:tr>
    </w:tbl>
    <w:p w14:paraId="61AE79DA">
      <w:r>
        <w:br w:type="page"/>
      </w:r>
    </w:p>
    <w:p w14:paraId="0B8037BA">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5</w:t>
      </w:r>
      <w:r>
        <w:rPr>
          <w:rFonts w:ascii="Arial" w:hAnsi="Arial" w:eastAsia="Arial" w:cs="Arial"/>
          <w:b/>
          <w:bCs/>
          <w:color w:val="1A7A45"/>
          <w:sz w:val="32"/>
          <w:szCs w:val="32"/>
        </w:rPr>
        <w:t>. Risk Analysis &amp; Mitigation</w:t>
      </w:r>
    </w:p>
    <w:p w14:paraId="4B079437">
      <w:pPr>
        <w:pBdr>
          <w:bottom w:val="single" w:color="1A7A45" w:sz="12" w:space="1"/>
        </w:pBd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8"/>
        <w:gridCol w:w="1064"/>
        <w:gridCol w:w="3074"/>
        <w:gridCol w:w="2864"/>
      </w:tblGrid>
      <w:tr w14:paraId="5313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1A7A45"/>
            <w:tcMar>
              <w:top w:w="80" w:type="dxa"/>
              <w:left w:w="120" w:type="dxa"/>
              <w:bottom w:w="80" w:type="dxa"/>
              <w:right w:w="120" w:type="dxa"/>
            </w:tcMar>
            <w:vAlign w:val="center"/>
          </w:tcPr>
          <w:p w14:paraId="6EEE7D18">
            <w:pPr>
              <w:jc w:val="left"/>
            </w:pPr>
            <w:r>
              <w:rPr>
                <w:rFonts w:ascii="Arial" w:hAnsi="Arial" w:eastAsia="Arial" w:cs="Arial"/>
                <w:b/>
                <w:bCs/>
                <w:color w:val="FFFFFF"/>
                <w:sz w:val="19"/>
                <w:szCs w:val="19"/>
              </w:rPr>
              <w:t>Risk</w:t>
            </w:r>
          </w:p>
        </w:tc>
        <w:tc>
          <w:tcPr>
            <w:tcW w:w="720" w:type="dxa"/>
            <w:tcBorders>
              <w:top w:val="nil"/>
              <w:left w:val="nil"/>
              <w:bottom w:val="nil"/>
              <w:right w:val="nil"/>
            </w:tcBorders>
            <w:shd w:val="clear" w:color="auto" w:fill="1A7A45"/>
            <w:tcMar>
              <w:top w:w="80" w:type="dxa"/>
              <w:left w:w="120" w:type="dxa"/>
              <w:bottom w:w="80" w:type="dxa"/>
              <w:right w:w="120" w:type="dxa"/>
            </w:tcMar>
            <w:vAlign w:val="center"/>
          </w:tcPr>
          <w:p w14:paraId="36DD806B">
            <w:pPr>
              <w:jc w:val="left"/>
            </w:pPr>
            <w:r>
              <w:rPr>
                <w:rFonts w:ascii="Arial" w:hAnsi="Arial" w:eastAsia="Arial" w:cs="Arial"/>
                <w:b/>
                <w:bCs/>
                <w:color w:val="FFFFFF"/>
                <w:sz w:val="19"/>
                <w:szCs w:val="19"/>
              </w:rPr>
              <w:t>Level</w:t>
            </w:r>
          </w:p>
        </w:tc>
        <w:tc>
          <w:tcPr>
            <w:tcW w:w="3240" w:type="dxa"/>
            <w:tcBorders>
              <w:top w:val="nil"/>
              <w:left w:val="nil"/>
              <w:bottom w:val="nil"/>
              <w:right w:val="nil"/>
            </w:tcBorders>
            <w:shd w:val="clear" w:color="auto" w:fill="1A7A45"/>
            <w:tcMar>
              <w:top w:w="80" w:type="dxa"/>
              <w:left w:w="120" w:type="dxa"/>
              <w:bottom w:w="80" w:type="dxa"/>
              <w:right w:w="120" w:type="dxa"/>
            </w:tcMar>
            <w:vAlign w:val="center"/>
          </w:tcPr>
          <w:p w14:paraId="7287BD8C">
            <w:pPr>
              <w:jc w:val="left"/>
            </w:pPr>
            <w:r>
              <w:rPr>
                <w:rFonts w:ascii="Arial" w:hAnsi="Arial" w:eastAsia="Arial" w:cs="Arial"/>
                <w:b/>
                <w:bCs/>
                <w:color w:val="FFFFFF"/>
                <w:sz w:val="19"/>
                <w:szCs w:val="19"/>
              </w:rPr>
              <w:t>Mitigation</w:t>
            </w:r>
          </w:p>
        </w:tc>
        <w:tc>
          <w:tcPr>
            <w:tcW w:w="3000" w:type="dxa"/>
            <w:tcBorders>
              <w:top w:val="nil"/>
              <w:left w:val="nil"/>
              <w:bottom w:val="nil"/>
              <w:right w:val="nil"/>
            </w:tcBorders>
            <w:shd w:val="clear" w:color="auto" w:fill="1A7A45"/>
            <w:tcMar>
              <w:top w:w="80" w:type="dxa"/>
              <w:left w:w="120" w:type="dxa"/>
              <w:bottom w:w="80" w:type="dxa"/>
              <w:right w:w="120" w:type="dxa"/>
            </w:tcMar>
            <w:vAlign w:val="center"/>
          </w:tcPr>
          <w:p w14:paraId="219EAE53">
            <w:pPr>
              <w:jc w:val="left"/>
            </w:pPr>
            <w:r>
              <w:rPr>
                <w:rFonts w:ascii="Arial" w:hAnsi="Arial" w:eastAsia="Arial" w:cs="Arial"/>
                <w:b/>
                <w:bCs/>
                <w:color w:val="FFFFFF"/>
                <w:sz w:val="19"/>
                <w:szCs w:val="19"/>
              </w:rPr>
              <w:t>NSSF Role</w:t>
            </w:r>
          </w:p>
        </w:tc>
      </w:tr>
      <w:tr w14:paraId="64B1C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468AA70C">
            <w:pPr>
              <w:jc w:val="left"/>
            </w:pPr>
            <w:r>
              <w:rPr>
                <w:rFonts w:ascii="Arial" w:hAnsi="Arial" w:eastAsia="Arial" w:cs="Arial"/>
                <w:b/>
                <w:bCs/>
                <w:color w:val="0D1F15"/>
                <w:sz w:val="19"/>
                <w:szCs w:val="19"/>
              </w:rPr>
              <w:t>Regulatory delay (CMA/URBRA/BoU)</w:t>
            </w:r>
          </w:p>
        </w:tc>
        <w:tc>
          <w:tcPr>
            <w:tcW w:w="720" w:type="dxa"/>
            <w:tcBorders>
              <w:top w:val="nil"/>
              <w:left w:val="nil"/>
              <w:bottom w:val="nil"/>
              <w:right w:val="nil"/>
            </w:tcBorders>
            <w:shd w:val="clear" w:color="auto" w:fill="FFFFFF"/>
            <w:tcMar>
              <w:top w:w="80" w:type="dxa"/>
              <w:left w:w="120" w:type="dxa"/>
              <w:bottom w:w="80" w:type="dxa"/>
              <w:right w:w="120" w:type="dxa"/>
            </w:tcMar>
            <w:vAlign w:val="center"/>
          </w:tcPr>
          <w:p w14:paraId="06A5A77A">
            <w:pPr>
              <w:jc w:val="left"/>
            </w:pPr>
            <w:r>
              <w:rPr>
                <w:rFonts w:ascii="Arial" w:hAnsi="Arial" w:eastAsia="Arial" w:cs="Arial"/>
                <w:b w:val="0"/>
                <w:bCs w:val="0"/>
                <w:color w:val="0D1F15"/>
                <w:sz w:val="19"/>
                <w:szCs w:val="19"/>
              </w:rPr>
              <w:t>Med</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57B9E7DC">
            <w:pPr>
              <w:jc w:val="left"/>
            </w:pPr>
            <w:r>
              <w:rPr>
                <w:rFonts w:ascii="Arial" w:hAnsi="Arial" w:eastAsia="Arial" w:cs="Arial"/>
                <w:b w:val="0"/>
                <w:bCs w:val="0"/>
                <w:color w:val="0D1F15"/>
                <w:sz w:val="19"/>
                <w:szCs w:val="19"/>
              </w:rPr>
              <w:t>Early engagement from Phase 0; product structured within existing CIS/forex frameworks; NSSF co-sponsorship of submissions</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4D9950F0">
            <w:pPr>
              <w:jc w:val="left"/>
            </w:pPr>
            <w:r>
              <w:rPr>
                <w:rFonts w:ascii="Arial" w:hAnsi="Arial" w:eastAsia="Arial" w:cs="Arial"/>
                <w:b w:val="0"/>
                <w:bCs w:val="0"/>
                <w:color w:val="0D1F15"/>
                <w:sz w:val="19"/>
                <w:szCs w:val="19"/>
              </w:rPr>
              <w:t>Co-sponsor regulatory submissions; leverage institutional relationships</w:t>
            </w:r>
          </w:p>
        </w:tc>
      </w:tr>
      <w:tr w14:paraId="41AC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036BFD47">
            <w:pPr>
              <w:jc w:val="left"/>
            </w:pPr>
            <w:r>
              <w:rPr>
                <w:rFonts w:ascii="Arial" w:hAnsi="Arial" w:eastAsia="Arial" w:cs="Arial"/>
                <w:b/>
                <w:bCs/>
                <w:color w:val="0D1F15"/>
                <w:sz w:val="19"/>
                <w:szCs w:val="19"/>
              </w:rPr>
              <w:t>Lister default or fraud</w:t>
            </w:r>
          </w:p>
        </w:tc>
        <w:tc>
          <w:tcPr>
            <w:tcW w:w="720" w:type="dxa"/>
            <w:tcBorders>
              <w:top w:val="nil"/>
              <w:left w:val="nil"/>
              <w:bottom w:val="nil"/>
              <w:right w:val="nil"/>
            </w:tcBorders>
            <w:shd w:val="clear" w:color="auto" w:fill="D4EFE0"/>
            <w:tcMar>
              <w:top w:w="80" w:type="dxa"/>
              <w:left w:w="120" w:type="dxa"/>
              <w:bottom w:w="80" w:type="dxa"/>
              <w:right w:w="120" w:type="dxa"/>
            </w:tcMar>
            <w:vAlign w:val="center"/>
          </w:tcPr>
          <w:p w14:paraId="06D92315">
            <w:pPr>
              <w:jc w:val="left"/>
            </w:pPr>
            <w:r>
              <w:rPr>
                <w:rFonts w:ascii="Arial" w:hAnsi="Arial" w:eastAsia="Arial" w:cs="Arial"/>
                <w:b w:val="0"/>
                <w:bCs w:val="0"/>
                <w:color w:val="0D1F15"/>
                <w:sz w:val="19"/>
                <w:szCs w:val="19"/>
              </w:rPr>
              <w:t>Med</w:t>
            </w:r>
          </w:p>
        </w:tc>
        <w:tc>
          <w:tcPr>
            <w:tcW w:w="3240" w:type="dxa"/>
            <w:tcBorders>
              <w:top w:val="nil"/>
              <w:left w:val="nil"/>
              <w:bottom w:val="nil"/>
              <w:right w:val="nil"/>
            </w:tcBorders>
            <w:shd w:val="clear" w:color="auto" w:fill="D4EFE0"/>
            <w:tcMar>
              <w:top w:w="80" w:type="dxa"/>
              <w:left w:w="120" w:type="dxa"/>
              <w:bottom w:w="80" w:type="dxa"/>
              <w:right w:w="120" w:type="dxa"/>
            </w:tcMar>
            <w:vAlign w:val="center"/>
          </w:tcPr>
          <w:p w14:paraId="55FF7410">
            <w:pPr>
              <w:jc w:val="left"/>
            </w:pPr>
            <w:r>
              <w:rPr>
                <w:rFonts w:ascii="Arial" w:hAnsi="Arial" w:eastAsia="Arial" w:cs="Arial"/>
                <w:b w:val="0"/>
                <w:bCs w:val="0"/>
                <w:color w:val="0D1F15"/>
                <w:sz w:val="19"/>
                <w:szCs w:val="19"/>
              </w:rPr>
              <w:t>Escrow-based milestone release; mandatory lister insurance; NSSF due diligence co-review for high-value listings</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2ED44233">
            <w:pPr>
              <w:jc w:val="left"/>
            </w:pPr>
            <w:r>
              <w:rPr>
                <w:rFonts w:ascii="Arial" w:hAnsi="Arial" w:eastAsia="Arial" w:cs="Arial"/>
                <w:b w:val="0"/>
                <w:bCs w:val="0"/>
                <w:color w:val="0D1F15"/>
                <w:sz w:val="19"/>
                <w:szCs w:val="19"/>
              </w:rPr>
              <w:t>Co-review high-value listings; share compliance framework</w:t>
            </w:r>
          </w:p>
        </w:tc>
      </w:tr>
      <w:tr w14:paraId="1151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2914DE5E">
            <w:pPr>
              <w:jc w:val="left"/>
            </w:pPr>
            <w:r>
              <w:rPr>
                <w:rFonts w:ascii="Arial" w:hAnsi="Arial" w:eastAsia="Arial" w:cs="Arial"/>
                <w:b/>
                <w:bCs/>
                <w:color w:val="0D1F15"/>
                <w:sz w:val="19"/>
                <w:szCs w:val="19"/>
              </w:rPr>
              <w:t>Commodity / FX price risk</w:t>
            </w:r>
          </w:p>
        </w:tc>
        <w:tc>
          <w:tcPr>
            <w:tcW w:w="720" w:type="dxa"/>
            <w:tcBorders>
              <w:top w:val="nil"/>
              <w:left w:val="nil"/>
              <w:bottom w:val="nil"/>
              <w:right w:val="nil"/>
            </w:tcBorders>
            <w:shd w:val="clear" w:color="auto" w:fill="FFFFFF"/>
            <w:tcMar>
              <w:top w:w="80" w:type="dxa"/>
              <w:left w:w="120" w:type="dxa"/>
              <w:bottom w:w="80" w:type="dxa"/>
              <w:right w:w="120" w:type="dxa"/>
            </w:tcMar>
            <w:vAlign w:val="center"/>
          </w:tcPr>
          <w:p w14:paraId="5C53DC4B">
            <w:pPr>
              <w:jc w:val="left"/>
            </w:pPr>
            <w:r>
              <w:rPr>
                <w:rFonts w:ascii="Arial" w:hAnsi="Arial" w:eastAsia="Arial" w:cs="Arial"/>
                <w:b w:val="0"/>
                <w:bCs w:val="0"/>
                <w:color w:val="0D1F15"/>
                <w:sz w:val="19"/>
                <w:szCs w:val="19"/>
              </w:rPr>
              <w:t>Med</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0B8F3336">
            <w:pPr>
              <w:jc w:val="left"/>
            </w:pPr>
            <w:r>
              <w:rPr>
                <w:rFonts w:ascii="Arial" w:hAnsi="Arial" w:eastAsia="Arial" w:cs="Arial"/>
                <w:b w:val="0"/>
                <w:bCs w:val="0"/>
                <w:color w:val="0D1F15"/>
                <w:sz w:val="19"/>
                <w:szCs w:val="19"/>
              </w:rPr>
              <w:t>Short-cycle structures limit exposure; export-contracted assets preferred; conservative return projections; risk disclosures mandatory</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4B3B371B">
            <w:pPr>
              <w:jc w:val="left"/>
            </w:pPr>
            <w:r>
              <w:rPr>
                <w:rFonts w:ascii="Arial" w:hAnsi="Arial" w:eastAsia="Arial" w:cs="Arial"/>
                <w:b w:val="0"/>
                <w:bCs w:val="0"/>
                <w:color w:val="0D1F15"/>
                <w:sz w:val="19"/>
                <w:szCs w:val="19"/>
              </w:rPr>
              <w:t>Market intelligence from NSSF fund managers</w:t>
            </w:r>
          </w:p>
        </w:tc>
      </w:tr>
      <w:tr w14:paraId="4C8D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01C7E560">
            <w:pPr>
              <w:jc w:val="left"/>
            </w:pPr>
            <w:r>
              <w:rPr>
                <w:rFonts w:ascii="Arial" w:hAnsi="Arial" w:eastAsia="Arial" w:cs="Arial"/>
                <w:b/>
                <w:bCs/>
                <w:color w:val="0D1F15"/>
                <w:sz w:val="19"/>
                <w:szCs w:val="19"/>
              </w:rPr>
              <w:t>SmartLife Flexi cannibalisation concern</w:t>
            </w:r>
          </w:p>
        </w:tc>
        <w:tc>
          <w:tcPr>
            <w:tcW w:w="720" w:type="dxa"/>
            <w:tcBorders>
              <w:top w:val="nil"/>
              <w:left w:val="nil"/>
              <w:bottom w:val="nil"/>
              <w:right w:val="nil"/>
            </w:tcBorders>
            <w:shd w:val="clear" w:color="auto" w:fill="D4EFE0"/>
            <w:tcMar>
              <w:top w:w="80" w:type="dxa"/>
              <w:left w:w="120" w:type="dxa"/>
              <w:bottom w:w="80" w:type="dxa"/>
              <w:right w:w="120" w:type="dxa"/>
            </w:tcMar>
            <w:vAlign w:val="center"/>
          </w:tcPr>
          <w:p w14:paraId="359E31B0">
            <w:pPr>
              <w:jc w:val="left"/>
            </w:pPr>
            <w:r>
              <w:rPr>
                <w:rFonts w:ascii="Arial" w:hAnsi="Arial" w:eastAsia="Arial" w:cs="Arial"/>
                <w:b w:val="0"/>
                <w:bCs w:val="0"/>
                <w:color w:val="0D1F15"/>
                <w:sz w:val="19"/>
                <w:szCs w:val="19"/>
              </w:rPr>
              <w:t>Low</w:t>
            </w:r>
          </w:p>
        </w:tc>
        <w:tc>
          <w:tcPr>
            <w:tcW w:w="3240" w:type="dxa"/>
            <w:tcBorders>
              <w:top w:val="nil"/>
              <w:left w:val="nil"/>
              <w:bottom w:val="nil"/>
              <w:right w:val="nil"/>
            </w:tcBorders>
            <w:shd w:val="clear" w:color="auto" w:fill="D4EFE0"/>
            <w:tcMar>
              <w:top w:w="80" w:type="dxa"/>
              <w:left w:w="120" w:type="dxa"/>
              <w:bottom w:w="80" w:type="dxa"/>
              <w:right w:w="120" w:type="dxa"/>
            </w:tcMar>
            <w:vAlign w:val="center"/>
          </w:tcPr>
          <w:p w14:paraId="491923C5">
            <w:pPr>
              <w:jc w:val="left"/>
            </w:pPr>
            <w:r>
              <w:rPr>
                <w:rFonts w:ascii="Arial" w:hAnsi="Arial" w:eastAsia="Arial" w:cs="Arial"/>
                <w:b w:val="0"/>
                <w:bCs w:val="0"/>
                <w:color w:val="0D1F15"/>
                <w:sz w:val="19"/>
                <w:szCs w:val="19"/>
              </w:rPr>
              <w:t>SFL and OwnIt serve distinct needs (savings vs investment). OwnIt is a feeder INTO SFL. Demonstrated by the flywheel model in Section 9.</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57C43951">
            <w:pPr>
              <w:jc w:val="left"/>
            </w:pPr>
            <w:r>
              <w:rPr>
                <w:rFonts w:ascii="Arial" w:hAnsi="Arial" w:eastAsia="Arial" w:cs="Arial"/>
                <w:b w:val="0"/>
                <w:bCs w:val="0"/>
                <w:color w:val="0D1F15"/>
                <w:sz w:val="19"/>
                <w:szCs w:val="19"/>
              </w:rPr>
              <w:t>NSSF to internally validate the complementarity thesis before launch</w:t>
            </w:r>
          </w:p>
        </w:tc>
      </w:tr>
      <w:tr w14:paraId="1BB3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18FFC2FD">
            <w:pPr>
              <w:jc w:val="left"/>
            </w:pPr>
            <w:r>
              <w:rPr>
                <w:rFonts w:ascii="Arial" w:hAnsi="Arial" w:eastAsia="Arial" w:cs="Arial"/>
                <w:b/>
                <w:bCs/>
                <w:color w:val="0D1F15"/>
                <w:sz w:val="19"/>
                <w:szCs w:val="19"/>
              </w:rPr>
              <w:t>Low user trust</w:t>
            </w:r>
          </w:p>
        </w:tc>
        <w:tc>
          <w:tcPr>
            <w:tcW w:w="720" w:type="dxa"/>
            <w:tcBorders>
              <w:top w:val="nil"/>
              <w:left w:val="nil"/>
              <w:bottom w:val="nil"/>
              <w:right w:val="nil"/>
            </w:tcBorders>
            <w:shd w:val="clear" w:color="auto" w:fill="FFFFFF"/>
            <w:tcMar>
              <w:top w:w="80" w:type="dxa"/>
              <w:left w:w="120" w:type="dxa"/>
              <w:bottom w:w="80" w:type="dxa"/>
              <w:right w:w="120" w:type="dxa"/>
            </w:tcMar>
            <w:vAlign w:val="center"/>
          </w:tcPr>
          <w:p w14:paraId="03B3CAF3">
            <w:pPr>
              <w:jc w:val="left"/>
            </w:pPr>
            <w:r>
              <w:rPr>
                <w:rFonts w:ascii="Arial" w:hAnsi="Arial" w:eastAsia="Arial" w:cs="Arial"/>
                <w:b w:val="0"/>
                <w:bCs w:val="0"/>
                <w:color w:val="0D1F15"/>
                <w:sz w:val="19"/>
                <w:szCs w:val="19"/>
              </w:rPr>
              <w:t>Med</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045DDC06">
            <w:pPr>
              <w:jc w:val="left"/>
            </w:pPr>
            <w:r>
              <w:rPr>
                <w:rFonts w:ascii="Arial" w:hAnsi="Arial" w:eastAsia="Arial" w:cs="Arial"/>
                <w:b w:val="0"/>
                <w:bCs w:val="0"/>
                <w:color w:val="0D1F15"/>
                <w:sz w:val="19"/>
                <w:szCs w:val="19"/>
              </w:rPr>
              <w:t>NSSF co-brand resolves primary trust barrier; community agents; in-app education; live payout history transparent to all users</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5F58189B">
            <w:pPr>
              <w:jc w:val="left"/>
            </w:pPr>
            <w:r>
              <w:rPr>
                <w:rFonts w:ascii="Arial" w:hAnsi="Arial" w:eastAsia="Arial" w:cs="Arial"/>
                <w:b w:val="0"/>
                <w:bCs w:val="0"/>
                <w:color w:val="0D1F15"/>
                <w:sz w:val="19"/>
                <w:szCs w:val="19"/>
              </w:rPr>
              <w:t>Brand endorsement; NSSF member communications</w:t>
            </w:r>
          </w:p>
        </w:tc>
      </w:tr>
      <w:tr w14:paraId="09757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53D0A184">
            <w:pPr>
              <w:jc w:val="left"/>
            </w:pPr>
            <w:r>
              <w:rPr>
                <w:rFonts w:ascii="Arial" w:hAnsi="Arial" w:eastAsia="Arial" w:cs="Arial"/>
                <w:b/>
                <w:bCs/>
                <w:color w:val="0D1F15"/>
                <w:sz w:val="19"/>
                <w:szCs w:val="19"/>
              </w:rPr>
              <w:t>Mobile money downtime</w:t>
            </w:r>
          </w:p>
        </w:tc>
        <w:tc>
          <w:tcPr>
            <w:tcW w:w="720" w:type="dxa"/>
            <w:tcBorders>
              <w:top w:val="nil"/>
              <w:left w:val="nil"/>
              <w:bottom w:val="nil"/>
              <w:right w:val="nil"/>
            </w:tcBorders>
            <w:shd w:val="clear" w:color="auto" w:fill="D4EFE0"/>
            <w:tcMar>
              <w:top w:w="80" w:type="dxa"/>
              <w:left w:w="120" w:type="dxa"/>
              <w:bottom w:w="80" w:type="dxa"/>
              <w:right w:w="120" w:type="dxa"/>
            </w:tcMar>
            <w:vAlign w:val="center"/>
          </w:tcPr>
          <w:p w14:paraId="2528E9A7">
            <w:pPr>
              <w:jc w:val="left"/>
            </w:pPr>
            <w:r>
              <w:rPr>
                <w:rFonts w:ascii="Arial" w:hAnsi="Arial" w:eastAsia="Arial" w:cs="Arial"/>
                <w:b w:val="0"/>
                <w:bCs w:val="0"/>
                <w:color w:val="0D1F15"/>
                <w:sz w:val="19"/>
                <w:szCs w:val="19"/>
              </w:rPr>
              <w:t>Low</w:t>
            </w:r>
          </w:p>
        </w:tc>
        <w:tc>
          <w:tcPr>
            <w:tcW w:w="3240" w:type="dxa"/>
            <w:tcBorders>
              <w:top w:val="nil"/>
              <w:left w:val="nil"/>
              <w:bottom w:val="nil"/>
              <w:right w:val="nil"/>
            </w:tcBorders>
            <w:shd w:val="clear" w:color="auto" w:fill="D4EFE0"/>
            <w:tcMar>
              <w:top w:w="80" w:type="dxa"/>
              <w:left w:w="120" w:type="dxa"/>
              <w:bottom w:w="80" w:type="dxa"/>
              <w:right w:w="120" w:type="dxa"/>
            </w:tcMar>
            <w:vAlign w:val="center"/>
          </w:tcPr>
          <w:p w14:paraId="087E2F60">
            <w:pPr>
              <w:jc w:val="left"/>
            </w:pPr>
            <w:r>
              <w:rPr>
                <w:rFonts w:ascii="Arial" w:hAnsi="Arial" w:eastAsia="Arial" w:cs="Arial"/>
                <w:b w:val="0"/>
                <w:bCs w:val="0"/>
                <w:color w:val="0D1F15"/>
                <w:sz w:val="19"/>
                <w:szCs w:val="19"/>
              </w:rPr>
              <w:t>Multi-PSP (MTN + Airtel + bank); automated retry; investor SMS notification; 48-hr payout SLA</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11A7C93E">
            <w:pPr>
              <w:jc w:val="left"/>
            </w:pPr>
            <w:r>
              <w:rPr>
                <w:rFonts w:ascii="Arial" w:hAnsi="Arial" w:eastAsia="Arial" w:cs="Arial"/>
                <w:b w:val="0"/>
                <w:bCs w:val="0"/>
                <w:color w:val="0D1F15"/>
                <w:sz w:val="19"/>
                <w:szCs w:val="19"/>
              </w:rPr>
              <w:t>Not required</w:t>
            </w:r>
          </w:p>
        </w:tc>
      </w:tr>
      <w:tr w14:paraId="7805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4206C1D0">
            <w:pPr>
              <w:jc w:val="left"/>
            </w:pPr>
            <w:r>
              <w:rPr>
                <w:rFonts w:ascii="Arial" w:hAnsi="Arial" w:eastAsia="Arial" w:cs="Arial"/>
                <w:b/>
                <w:bCs/>
                <w:color w:val="0D1F15"/>
                <w:sz w:val="19"/>
                <w:szCs w:val="19"/>
              </w:rPr>
              <w:t>Competitive entry</w:t>
            </w:r>
          </w:p>
        </w:tc>
        <w:tc>
          <w:tcPr>
            <w:tcW w:w="720" w:type="dxa"/>
            <w:tcBorders>
              <w:top w:val="nil"/>
              <w:left w:val="nil"/>
              <w:bottom w:val="nil"/>
              <w:right w:val="nil"/>
            </w:tcBorders>
            <w:shd w:val="clear" w:color="auto" w:fill="FFFFFF"/>
            <w:tcMar>
              <w:top w:w="80" w:type="dxa"/>
              <w:left w:w="120" w:type="dxa"/>
              <w:bottom w:w="80" w:type="dxa"/>
              <w:right w:w="120" w:type="dxa"/>
            </w:tcMar>
            <w:vAlign w:val="center"/>
          </w:tcPr>
          <w:p w14:paraId="061F9889">
            <w:pPr>
              <w:jc w:val="left"/>
            </w:pPr>
            <w:r>
              <w:rPr>
                <w:rFonts w:ascii="Arial" w:hAnsi="Arial" w:eastAsia="Arial" w:cs="Arial"/>
                <w:b w:val="0"/>
                <w:bCs w:val="0"/>
                <w:color w:val="0D1F15"/>
                <w:sz w:val="19"/>
                <w:szCs w:val="19"/>
              </w:rPr>
              <w:t>Low–Med</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1546838B">
            <w:pPr>
              <w:jc w:val="left"/>
            </w:pPr>
            <w:r>
              <w:rPr>
                <w:rFonts w:ascii="Arial" w:hAnsi="Arial" w:eastAsia="Arial" w:cs="Arial"/>
                <w:b w:val="0"/>
                <w:bCs w:val="0"/>
                <w:color w:val="0D1F15"/>
                <w:sz w:val="19"/>
                <w:szCs w:val="19"/>
              </w:rPr>
              <w:t>First-mover advantage; NSSF partnership as structural moat; exclusive lister agreements; SFL integration as exclusive differentiator</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1965ECE3">
            <w:pPr>
              <w:jc w:val="left"/>
            </w:pPr>
            <w:r>
              <w:rPr>
                <w:rFonts w:ascii="Arial" w:hAnsi="Arial" w:eastAsia="Arial" w:cs="Arial"/>
                <w:b w:val="0"/>
                <w:bCs w:val="0"/>
                <w:color w:val="0D1F15"/>
                <w:sz w:val="19"/>
                <w:szCs w:val="19"/>
              </w:rPr>
              <w:t>Partnership exclusivity clause in MOU</w:t>
            </w:r>
          </w:p>
        </w:tc>
      </w:tr>
      <w:tr w14:paraId="7292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09A19886">
            <w:pPr>
              <w:jc w:val="left"/>
            </w:pPr>
            <w:r>
              <w:rPr>
                <w:rFonts w:ascii="Arial" w:hAnsi="Arial" w:eastAsia="Arial" w:cs="Arial"/>
                <w:b/>
                <w:bCs/>
                <w:color w:val="0D1F15"/>
                <w:sz w:val="19"/>
                <w:szCs w:val="19"/>
              </w:rPr>
              <w:t>Currency risk (foreign stocks/FX)</w:t>
            </w:r>
          </w:p>
        </w:tc>
        <w:tc>
          <w:tcPr>
            <w:tcW w:w="720" w:type="dxa"/>
            <w:tcBorders>
              <w:top w:val="nil"/>
              <w:left w:val="nil"/>
              <w:bottom w:val="nil"/>
              <w:right w:val="nil"/>
            </w:tcBorders>
            <w:shd w:val="clear" w:color="auto" w:fill="D4EFE0"/>
            <w:tcMar>
              <w:top w:w="80" w:type="dxa"/>
              <w:left w:w="120" w:type="dxa"/>
              <w:bottom w:w="80" w:type="dxa"/>
              <w:right w:w="120" w:type="dxa"/>
            </w:tcMar>
            <w:vAlign w:val="center"/>
          </w:tcPr>
          <w:p w14:paraId="5E26FA81">
            <w:pPr>
              <w:jc w:val="left"/>
            </w:pPr>
            <w:r>
              <w:rPr>
                <w:rFonts w:ascii="Arial" w:hAnsi="Arial" w:eastAsia="Arial" w:cs="Arial"/>
                <w:b w:val="0"/>
                <w:bCs w:val="0"/>
                <w:color w:val="0D1F15"/>
                <w:sz w:val="19"/>
                <w:szCs w:val="19"/>
              </w:rPr>
              <w:t>Med</w:t>
            </w:r>
          </w:p>
        </w:tc>
        <w:tc>
          <w:tcPr>
            <w:tcW w:w="3240" w:type="dxa"/>
            <w:tcBorders>
              <w:top w:val="nil"/>
              <w:left w:val="nil"/>
              <w:bottom w:val="nil"/>
              <w:right w:val="nil"/>
            </w:tcBorders>
            <w:shd w:val="clear" w:color="auto" w:fill="D4EFE0"/>
            <w:tcMar>
              <w:top w:w="80" w:type="dxa"/>
              <w:left w:w="120" w:type="dxa"/>
              <w:bottom w:w="80" w:type="dxa"/>
              <w:right w:w="120" w:type="dxa"/>
            </w:tcMar>
            <w:vAlign w:val="center"/>
          </w:tcPr>
          <w:p w14:paraId="57D73EB6">
            <w:pPr>
              <w:jc w:val="left"/>
            </w:pPr>
            <w:r>
              <w:rPr>
                <w:rFonts w:ascii="Arial" w:hAnsi="Arial" w:eastAsia="Arial" w:cs="Arial"/>
                <w:b w:val="0"/>
                <w:bCs w:val="0"/>
                <w:color w:val="0D1F15"/>
                <w:sz w:val="19"/>
                <w:szCs w:val="19"/>
              </w:rPr>
              <w:t>UGX-denominated pooled vehicles with licensed FX hedge; position size limits; risk warnings on all FX/international listings</w:t>
            </w:r>
          </w:p>
        </w:tc>
        <w:tc>
          <w:tcPr>
            <w:tcW w:w="3000" w:type="dxa"/>
            <w:tcBorders>
              <w:top w:val="nil"/>
              <w:left w:val="nil"/>
              <w:bottom w:val="nil"/>
              <w:right w:val="nil"/>
            </w:tcBorders>
            <w:shd w:val="clear" w:color="auto" w:fill="D4EFE0"/>
            <w:tcMar>
              <w:top w:w="80" w:type="dxa"/>
              <w:left w:w="120" w:type="dxa"/>
              <w:bottom w:w="80" w:type="dxa"/>
              <w:right w:w="120" w:type="dxa"/>
            </w:tcMar>
            <w:vAlign w:val="center"/>
          </w:tcPr>
          <w:p w14:paraId="7E6B608A">
            <w:pPr>
              <w:jc w:val="left"/>
            </w:pPr>
            <w:r>
              <w:rPr>
                <w:rFonts w:ascii="Arial" w:hAnsi="Arial" w:eastAsia="Arial" w:cs="Arial"/>
                <w:b w:val="0"/>
                <w:bCs w:val="0"/>
                <w:color w:val="0D1F15"/>
                <w:sz w:val="19"/>
                <w:szCs w:val="19"/>
              </w:rPr>
              <w:t>BoU regulatory relationship supports FX licence</w:t>
            </w:r>
          </w:p>
        </w:tc>
      </w:tr>
      <w:tr w14:paraId="47DA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29A97B9E">
            <w:pPr>
              <w:jc w:val="left"/>
            </w:pPr>
            <w:r>
              <w:rPr>
                <w:rFonts w:ascii="Arial" w:hAnsi="Arial" w:eastAsia="Arial" w:cs="Arial"/>
                <w:b/>
                <w:bCs/>
                <w:color w:val="0D1F15"/>
                <w:sz w:val="19"/>
                <w:szCs w:val="19"/>
              </w:rPr>
              <w:t>Regulatory reclassification</w:t>
            </w:r>
          </w:p>
        </w:tc>
        <w:tc>
          <w:tcPr>
            <w:tcW w:w="720" w:type="dxa"/>
            <w:tcBorders>
              <w:top w:val="nil"/>
              <w:left w:val="nil"/>
              <w:bottom w:val="nil"/>
              <w:right w:val="nil"/>
            </w:tcBorders>
            <w:shd w:val="clear" w:color="auto" w:fill="FFFFFF"/>
            <w:tcMar>
              <w:top w:w="80" w:type="dxa"/>
              <w:left w:w="120" w:type="dxa"/>
              <w:bottom w:w="80" w:type="dxa"/>
              <w:right w:w="120" w:type="dxa"/>
            </w:tcMar>
            <w:vAlign w:val="center"/>
          </w:tcPr>
          <w:p w14:paraId="4EF826C6">
            <w:pPr>
              <w:jc w:val="left"/>
            </w:pPr>
            <w:r>
              <w:rPr>
                <w:rFonts w:ascii="Arial" w:hAnsi="Arial" w:eastAsia="Arial" w:cs="Arial"/>
                <w:b w:val="0"/>
                <w:bCs w:val="0"/>
                <w:color w:val="0D1F15"/>
                <w:sz w:val="19"/>
                <w:szCs w:val="19"/>
              </w:rPr>
              <w:t>Low</w:t>
            </w:r>
          </w:p>
        </w:tc>
        <w:tc>
          <w:tcPr>
            <w:tcW w:w="3240" w:type="dxa"/>
            <w:tcBorders>
              <w:top w:val="nil"/>
              <w:left w:val="nil"/>
              <w:bottom w:val="nil"/>
              <w:right w:val="nil"/>
            </w:tcBorders>
            <w:shd w:val="clear" w:color="auto" w:fill="FFFFFF"/>
            <w:tcMar>
              <w:top w:w="80" w:type="dxa"/>
              <w:left w:w="120" w:type="dxa"/>
              <w:bottom w:w="80" w:type="dxa"/>
              <w:right w:w="120" w:type="dxa"/>
            </w:tcMar>
            <w:vAlign w:val="center"/>
          </w:tcPr>
          <w:p w14:paraId="0AFA5550">
            <w:pPr>
              <w:jc w:val="left"/>
            </w:pPr>
            <w:r>
              <w:rPr>
                <w:rFonts w:ascii="Arial" w:hAnsi="Arial" w:eastAsia="Arial" w:cs="Arial"/>
                <w:b w:val="0"/>
                <w:bCs w:val="0"/>
                <w:color w:val="0D1F15"/>
                <w:sz w:val="19"/>
                <w:szCs w:val="19"/>
              </w:rPr>
              <w:t>Proactive URBRA + CMA engagement from inception; legal counsel; product evolves with regulatory guidance</w:t>
            </w:r>
          </w:p>
        </w:tc>
        <w:tc>
          <w:tcPr>
            <w:tcW w:w="3000" w:type="dxa"/>
            <w:tcBorders>
              <w:top w:val="nil"/>
              <w:left w:val="nil"/>
              <w:bottom w:val="nil"/>
              <w:right w:val="nil"/>
            </w:tcBorders>
            <w:shd w:val="clear" w:color="auto" w:fill="FFFFFF"/>
            <w:tcMar>
              <w:top w:w="80" w:type="dxa"/>
              <w:left w:w="120" w:type="dxa"/>
              <w:bottom w:w="80" w:type="dxa"/>
              <w:right w:w="120" w:type="dxa"/>
            </w:tcMar>
            <w:vAlign w:val="center"/>
          </w:tcPr>
          <w:p w14:paraId="2BF85F41">
            <w:pPr>
              <w:jc w:val="left"/>
            </w:pPr>
            <w:r>
              <w:rPr>
                <w:rFonts w:ascii="Arial" w:hAnsi="Arial" w:eastAsia="Arial" w:cs="Arial"/>
                <w:b w:val="0"/>
                <w:bCs w:val="0"/>
                <w:color w:val="0D1F15"/>
                <w:sz w:val="19"/>
                <w:szCs w:val="19"/>
              </w:rPr>
              <w:t>Joint regulatory engagement; NSSF’s existing regulatory standing</w:t>
            </w:r>
          </w:p>
        </w:tc>
      </w:tr>
    </w:tbl>
    <w:p w14:paraId="1C202D41">
      <w:r>
        <w:br w:type="page"/>
      </w:r>
    </w:p>
    <w:p w14:paraId="32DACA75">
      <w:pPr>
        <w:pStyle w:val="2"/>
        <w:spacing w:before="360" w:after="120" w:line="240" w:lineRule="exact"/>
        <w:rPr>
          <w:rFonts w:ascii="Arial" w:hAnsi="Arial"/>
          <w:b/>
          <w:color w:val="1A7A45"/>
          <w:sz w:val="3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4200"/>
        <w:gridCol w:w="2280"/>
        <w:gridCol w:w="2400"/>
      </w:tblGrid>
      <w:tr w14:paraId="67D6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nil"/>
              <w:left w:val="nil"/>
              <w:bottom w:val="nil"/>
              <w:right w:val="nil"/>
            </w:tcBorders>
            <w:shd w:val="clear" w:color="auto" w:fill="FFF3D0"/>
            <w:tcMar>
              <w:top w:w="120" w:type="dxa"/>
              <w:left w:w="200" w:type="dxa"/>
              <w:bottom w:w="40" w:type="dxa"/>
              <w:right w:w="160" w:type="dxa"/>
            </w:tcMar>
          </w:tcPr>
          <w:p w14:paraId="4310F554">
            <w:pPr>
              <w:rPr>
                <w:color w:val="0D1F15"/>
              </w:rPr>
            </w:pPr>
            <w:r>
              <w:rPr>
                <w:rFonts w:ascii="Arial" w:hAnsi="Arial" w:eastAsia="Arial" w:cs="Arial"/>
                <w:color w:val="0D1F15"/>
                <w:sz w:val="21"/>
                <w:szCs w:val="21"/>
              </w:rPr>
              <w:t>The question is not whether a crowd-investment platform like OwnIt Uganda will be built.</w:t>
            </w:r>
          </w:p>
        </w:tc>
      </w:tr>
      <w:tr w14:paraId="4AA3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nil"/>
              <w:left w:val="nil"/>
              <w:bottom w:val="nil"/>
              <w:right w:val="nil"/>
            </w:tcBorders>
            <w:shd w:val="clear" w:color="auto" w:fill="FFF3D0"/>
            <w:tcMar>
              <w:top w:w="40" w:type="dxa"/>
              <w:left w:w="200" w:type="dxa"/>
              <w:bottom w:w="40" w:type="dxa"/>
              <w:right w:w="160" w:type="dxa"/>
            </w:tcMar>
          </w:tcPr>
          <w:p w14:paraId="0F36B281">
            <w:pPr>
              <w:rPr>
                <w:color w:val="0D1F15"/>
              </w:rPr>
            </w:pPr>
            <w:r>
              <w:rPr>
                <w:rFonts w:ascii="Arial" w:hAnsi="Arial" w:eastAsia="Arial" w:cs="Arial"/>
                <w:color w:val="0D1F15"/>
                <w:sz w:val="21"/>
                <w:szCs w:val="21"/>
              </w:rPr>
              <w:t>The question is whether NSSF will be a founding partner — earning the revenue, gaining the members,</w:t>
            </w:r>
          </w:p>
        </w:tc>
      </w:tr>
      <w:tr w14:paraId="60B9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nil"/>
              <w:left w:val="nil"/>
              <w:bottom w:val="nil"/>
              <w:right w:val="nil"/>
            </w:tcBorders>
            <w:shd w:val="clear" w:color="auto" w:fill="FFF3D0"/>
            <w:tcMar>
              <w:top w:w="40" w:type="dxa"/>
              <w:left w:w="200" w:type="dxa"/>
              <w:bottom w:w="40" w:type="dxa"/>
              <w:right w:w="160" w:type="dxa"/>
            </w:tcMar>
          </w:tcPr>
          <w:p w14:paraId="1CF17214">
            <w:pPr>
              <w:rPr>
                <w:color w:val="0D1F15"/>
              </w:rPr>
            </w:pPr>
            <w:r>
              <w:rPr>
                <w:rFonts w:ascii="Arial" w:hAnsi="Arial" w:eastAsia="Arial" w:cs="Arial"/>
                <w:color w:val="0D1F15"/>
                <w:sz w:val="21"/>
                <w:szCs w:val="21"/>
              </w:rPr>
              <w:t>deepening SmartLife Flexi adoption, and shaping Uganda’s most important new financial product —</w:t>
            </w:r>
          </w:p>
        </w:tc>
      </w:tr>
      <w:tr w14:paraId="7248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nil"/>
              <w:left w:val="nil"/>
              <w:bottom w:val="nil"/>
              <w:right w:val="nil"/>
            </w:tcBorders>
            <w:shd w:val="clear" w:color="auto" w:fill="FFF3D0"/>
            <w:tcMar>
              <w:top w:w="40" w:type="dxa"/>
              <w:left w:w="200" w:type="dxa"/>
              <w:bottom w:w="120" w:type="dxa"/>
              <w:right w:w="160" w:type="dxa"/>
            </w:tcMar>
          </w:tcPr>
          <w:p w14:paraId="0BFCF812">
            <w:pPr>
              <w:rPr>
                <w:color w:val="0D1F15"/>
              </w:rPr>
            </w:pPr>
            <w:r>
              <w:rPr>
                <w:rFonts w:ascii="Arial" w:hAnsi="Arial" w:eastAsia="Arial" w:cs="Arial"/>
                <w:color w:val="0D1F15"/>
                <w:sz w:val="21"/>
                <w:szCs w:val="21"/>
              </w:rPr>
              <w:t>or watching from the outside as a competitor does it instead.</w:t>
            </w:r>
          </w:p>
        </w:tc>
      </w:tr>
      <w:tr w14:paraId="0437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1A7A45"/>
            <w:tcMar>
              <w:top w:w="80" w:type="dxa"/>
              <w:left w:w="120" w:type="dxa"/>
              <w:bottom w:w="80" w:type="dxa"/>
              <w:right w:w="120" w:type="dxa"/>
            </w:tcMar>
            <w:vAlign w:val="center"/>
          </w:tcPr>
          <w:p w14:paraId="23D561FA">
            <w:pPr>
              <w:jc w:val="left"/>
              <w:rPr>
                <w:color w:val="0D1F15"/>
              </w:rPr>
            </w:pPr>
            <w:r>
              <w:rPr>
                <w:rFonts w:ascii="Arial" w:hAnsi="Arial" w:eastAsia="Arial" w:cs="Arial"/>
                <w:b/>
                <w:bCs/>
                <w:color w:val="FFFFFF"/>
                <w:sz w:val="19"/>
                <w:szCs w:val="19"/>
              </w:rPr>
              <w:t>What NSSF Contributes</w:t>
            </w:r>
          </w:p>
        </w:tc>
        <w:tc>
          <w:tcPr>
            <w:tcW w:w="4680" w:type="dxa"/>
            <w:gridSpan w:val="2"/>
            <w:tcBorders>
              <w:top w:val="nil"/>
              <w:left w:val="nil"/>
              <w:bottom w:val="nil"/>
              <w:right w:val="nil"/>
            </w:tcBorders>
            <w:shd w:val="clear" w:color="auto" w:fill="1A7A45"/>
            <w:tcMar>
              <w:top w:w="80" w:type="dxa"/>
              <w:left w:w="120" w:type="dxa"/>
              <w:bottom w:w="80" w:type="dxa"/>
              <w:right w:w="120" w:type="dxa"/>
            </w:tcMar>
            <w:vAlign w:val="center"/>
          </w:tcPr>
          <w:p w14:paraId="1FA6853B">
            <w:pPr>
              <w:jc w:val="left"/>
              <w:rPr>
                <w:color w:val="0D1F15"/>
              </w:rPr>
            </w:pPr>
            <w:r>
              <w:rPr>
                <w:rFonts w:ascii="Arial" w:hAnsi="Arial" w:eastAsia="Arial" w:cs="Arial"/>
                <w:b/>
                <w:bCs/>
                <w:color w:val="FFFFFF"/>
                <w:sz w:val="19"/>
                <w:szCs w:val="19"/>
              </w:rPr>
              <w:t>What NSSF Receives</w:t>
            </w:r>
          </w:p>
        </w:tc>
      </w:tr>
      <w:tr w14:paraId="64FF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1A25FAD4">
            <w:pPr>
              <w:jc w:val="left"/>
              <w:rPr>
                <w:color w:val="0D1F15"/>
              </w:rPr>
            </w:pPr>
            <w:r>
              <w:rPr>
                <w:rFonts w:ascii="Arial" w:hAnsi="Arial" w:eastAsia="Arial" w:cs="Arial"/>
                <w:b w:val="0"/>
                <w:bCs w:val="0"/>
                <w:color w:val="0D1F15"/>
                <w:sz w:val="20"/>
                <w:szCs w:val="20"/>
              </w:rPr>
              <w:t>Brand endorsement &amp; co-marketing</w:t>
            </w:r>
          </w:p>
        </w:tc>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536545F1">
            <w:pPr>
              <w:jc w:val="left"/>
              <w:rPr>
                <w:color w:val="0D1F15"/>
              </w:rPr>
            </w:pPr>
            <w:r>
              <w:rPr>
                <w:rFonts w:ascii="Arial" w:hAnsi="Arial" w:eastAsia="Arial" w:cs="Arial"/>
                <w:b w:val="0"/>
                <w:bCs w:val="0"/>
                <w:color w:val="0D1F15"/>
                <w:sz w:val="20"/>
                <w:szCs w:val="20"/>
              </w:rPr>
              <w:t>500,000+ new NSSF members by 2031 (zero acquisition cost)</w:t>
            </w:r>
          </w:p>
        </w:tc>
      </w:tr>
      <w:tr w14:paraId="23D4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7EB6FBB4">
            <w:pPr>
              <w:jc w:val="left"/>
              <w:rPr>
                <w:color w:val="0D1F15"/>
              </w:rPr>
            </w:pPr>
            <w:r>
              <w:rPr>
                <w:rFonts w:ascii="Arial" w:hAnsi="Arial" w:eastAsia="Arial" w:cs="Arial"/>
                <w:b w:val="0"/>
                <w:bCs w:val="0"/>
                <w:color w:val="0D1F15"/>
                <w:sz w:val="20"/>
                <w:szCs w:val="20"/>
              </w:rPr>
              <w:t>Registry API access for auto-enrollment</w:t>
            </w:r>
          </w:p>
        </w:tc>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0F004630">
            <w:pPr>
              <w:jc w:val="left"/>
              <w:rPr>
                <w:color w:val="0D1F15"/>
              </w:rPr>
            </w:pPr>
            <w:r>
              <w:rPr>
                <w:rFonts w:ascii="Arial" w:hAnsi="Arial" w:eastAsia="Arial" w:cs="Arial"/>
                <w:b w:val="0"/>
                <w:bCs w:val="0"/>
                <w:color w:val="0D1F15"/>
                <w:sz w:val="20"/>
                <w:szCs w:val="20"/>
              </w:rPr>
              <w:t>UGX 4B+ in annual operating revenue by Year 5</w:t>
            </w:r>
          </w:p>
        </w:tc>
      </w:tr>
      <w:tr w14:paraId="5F03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439C4D57">
            <w:pPr>
              <w:jc w:val="left"/>
              <w:rPr>
                <w:color w:val="0D1F15"/>
              </w:rPr>
            </w:pPr>
            <w:r>
              <w:rPr>
                <w:rFonts w:ascii="Arial" w:hAnsi="Arial" w:eastAsia="Arial" w:cs="Arial"/>
                <w:b w:val="0"/>
                <w:bCs w:val="0"/>
                <w:color w:val="0D1F15"/>
                <w:sz w:val="20"/>
                <w:szCs w:val="20"/>
              </w:rPr>
              <w:t>2% pension levy collected on every payout</w:t>
            </w:r>
          </w:p>
        </w:tc>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62DBD9B7">
            <w:pPr>
              <w:jc w:val="left"/>
              <w:rPr>
                <w:color w:val="0D1F15"/>
              </w:rPr>
            </w:pPr>
            <w:r>
              <w:rPr>
                <w:rFonts w:ascii="Arial" w:hAnsi="Arial" w:eastAsia="Arial" w:cs="Arial"/>
                <w:b w:val="0"/>
                <w:bCs w:val="0"/>
                <w:color w:val="0D1F15"/>
                <w:sz w:val="20"/>
                <w:szCs w:val="20"/>
              </w:rPr>
              <w:t>UGX 1.2B+ in new AUM annually by Year 5 — invested for members, payable at 55</w:t>
            </w:r>
          </w:p>
        </w:tc>
      </w:tr>
      <w:tr w14:paraId="722C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6D2D7DA9">
            <w:pPr>
              <w:jc w:val="left"/>
              <w:rPr>
                <w:color w:val="0D1F15"/>
              </w:rPr>
            </w:pPr>
            <w:r>
              <w:rPr>
                <w:rFonts w:ascii="Arial" w:hAnsi="Arial" w:eastAsia="Arial" w:cs="Arial"/>
                <w:b w:val="0"/>
                <w:bCs w:val="0"/>
                <w:color w:val="0D1F15"/>
                <w:sz w:val="20"/>
                <w:szCs w:val="20"/>
              </w:rPr>
              <w:t>SmartLife Flexi API for one-tap sweep integration</w:t>
            </w:r>
          </w:p>
        </w:tc>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5B1DB0EF">
            <w:pPr>
              <w:jc w:val="left"/>
              <w:rPr>
                <w:color w:val="0D1F15"/>
              </w:rPr>
            </w:pPr>
            <w:r>
              <w:rPr>
                <w:rFonts w:ascii="Arial" w:hAnsi="Arial" w:eastAsia="Arial" w:cs="Arial"/>
                <w:b w:val="0"/>
                <w:bCs w:val="0"/>
                <w:color w:val="0D1F15"/>
                <w:sz w:val="20"/>
                <w:szCs w:val="20"/>
              </w:rPr>
              <w:t>UGX 3.2B+ new SmartLife Flexi deposits by Year 5</w:t>
            </w:r>
          </w:p>
        </w:tc>
      </w:tr>
      <w:tr w14:paraId="7EFE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5CDFBF3E">
            <w:pPr>
              <w:jc w:val="left"/>
              <w:rPr>
                <w:color w:val="0D1F15"/>
              </w:rPr>
            </w:pPr>
            <w:r>
              <w:rPr>
                <w:rFonts w:ascii="Arial" w:hAnsi="Arial" w:eastAsia="Arial" w:cs="Arial"/>
                <w:b w:val="0"/>
                <w:bCs w:val="0"/>
                <w:color w:val="0D1F15"/>
                <w:sz w:val="20"/>
                <w:szCs w:val="20"/>
              </w:rPr>
              <w:t>Asset Admissions Committee seat</w:t>
            </w:r>
          </w:p>
        </w:tc>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5246B594">
            <w:pPr>
              <w:jc w:val="left"/>
              <w:rPr>
                <w:color w:val="0D1F15"/>
              </w:rPr>
            </w:pPr>
            <w:r>
              <w:rPr>
                <w:rFonts w:ascii="Arial" w:hAnsi="Arial" w:eastAsia="Arial" w:cs="Arial"/>
                <w:b w:val="0"/>
                <w:bCs w:val="0"/>
                <w:color w:val="0D1F15"/>
                <w:sz w:val="20"/>
                <w:szCs w:val="20"/>
              </w:rPr>
              <w:t>60% of 3% service charge on every payout, both investor &amp; lister sides</w:t>
            </w:r>
          </w:p>
        </w:tc>
      </w:tr>
      <w:tr w14:paraId="009C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557A2D07">
            <w:pPr>
              <w:jc w:val="left"/>
              <w:rPr>
                <w:color w:val="0D1F15"/>
              </w:rPr>
            </w:pPr>
            <w:r>
              <w:rPr>
                <w:rFonts w:ascii="Arial" w:hAnsi="Arial" w:eastAsia="Arial" w:cs="Arial"/>
                <w:b w:val="0"/>
                <w:bCs w:val="0"/>
                <w:color w:val="0D1F15"/>
                <w:sz w:val="20"/>
                <w:szCs w:val="20"/>
              </w:rPr>
              <w:t>Regulatory facilitation &amp; relationships</w:t>
            </w:r>
          </w:p>
        </w:tc>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58E1990A">
            <w:pPr>
              <w:jc w:val="left"/>
              <w:rPr>
                <w:color w:val="0D1F15"/>
              </w:rPr>
            </w:pPr>
            <w:r>
              <w:rPr>
                <w:rFonts w:ascii="Arial" w:hAnsi="Arial" w:eastAsia="Arial" w:cs="Arial"/>
                <w:b w:val="0"/>
                <w:bCs w:val="0"/>
                <w:color w:val="0D1F15"/>
                <w:sz w:val="20"/>
                <w:szCs w:val="20"/>
              </w:rPr>
              <w:t>30% of all listing fees across 9 asset classes</w:t>
            </w:r>
          </w:p>
        </w:tc>
      </w:tr>
      <w:tr w14:paraId="344D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6E684AAC">
            <w:pPr>
              <w:jc w:val="left"/>
              <w:rPr>
                <w:color w:val="0D1F15"/>
              </w:rPr>
            </w:pPr>
            <w:r>
              <w:rPr>
                <w:rFonts w:ascii="Arial" w:hAnsi="Arial" w:eastAsia="Arial" w:cs="Arial"/>
                <w:b w:val="0"/>
                <w:bCs w:val="0"/>
                <w:color w:val="0D1F15"/>
                <w:sz w:val="20"/>
                <w:szCs w:val="20"/>
              </w:rPr>
              <w:t>Optional: property/bond listings on platform</w:t>
            </w:r>
          </w:p>
        </w:tc>
        <w:tc>
          <w:tcPr>
            <w:tcW w:w="46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7873EE3C">
            <w:pPr>
              <w:jc w:val="left"/>
              <w:rPr>
                <w:color w:val="0D1F15"/>
              </w:rPr>
            </w:pPr>
            <w:r>
              <w:rPr>
                <w:rFonts w:ascii="Arial" w:hAnsi="Arial" w:eastAsia="Arial" w:cs="Arial"/>
                <w:b w:val="0"/>
                <w:bCs w:val="0"/>
                <w:color w:val="0D1F15"/>
                <w:sz w:val="20"/>
                <w:szCs w:val="20"/>
              </w:rPr>
              <w:t>A compelling Gen Z product at zero development cost</w:t>
            </w:r>
          </w:p>
        </w:tc>
      </w:tr>
      <w:tr w14:paraId="7C05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6C422D78">
            <w:pPr>
              <w:jc w:val="left"/>
              <w:rPr>
                <w:color w:val="0D1F15"/>
              </w:rPr>
            </w:pPr>
            <w:r>
              <w:rPr>
                <w:rFonts w:ascii="Arial" w:hAnsi="Arial" w:eastAsia="Arial" w:cs="Arial"/>
                <w:b w:val="0"/>
                <w:bCs w:val="0"/>
                <w:color w:val="0D1F15"/>
                <w:sz w:val="20"/>
                <w:szCs w:val="20"/>
              </w:rPr>
              <w:t>No capital required (Tiers 1 &amp; 2)</w:t>
            </w:r>
          </w:p>
        </w:tc>
        <w:tc>
          <w:tcPr>
            <w:tcW w:w="46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4A8999DC">
            <w:pPr>
              <w:jc w:val="left"/>
              <w:rPr>
                <w:color w:val="0D1F15"/>
              </w:rPr>
            </w:pPr>
            <w:r>
              <w:rPr>
                <w:rFonts w:ascii="Arial" w:hAnsi="Arial" w:eastAsia="Arial" w:cs="Arial"/>
                <w:b w:val="0"/>
                <w:bCs w:val="0"/>
                <w:color w:val="0D1F15"/>
                <w:sz w:val="20"/>
                <w:szCs w:val="20"/>
              </w:rPr>
              <w:t>Position as East Africa’s most innovative pension institution</w:t>
            </w:r>
          </w:p>
        </w:tc>
      </w:tr>
      <w:tr w14:paraId="7D1D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55BD3F98">
            <w:pPr>
              <w:jc w:val="left"/>
              <w:rPr>
                <w:color w:val="0D1F15"/>
              </w:rPr>
            </w:pPr>
            <w:r>
              <w:rPr>
                <w:rFonts w:ascii="Arial" w:hAnsi="Arial" w:eastAsia="Arial" w:cs="Arial"/>
                <w:b/>
                <w:bCs/>
                <w:color w:val="FFFFFF"/>
                <w:sz w:val="19"/>
                <w:szCs w:val="19"/>
              </w:rPr>
              <w:t>#</w:t>
            </w:r>
          </w:p>
        </w:tc>
        <w:tc>
          <w:tcPr>
            <w:tcW w:w="6480" w:type="dxa"/>
            <w:gridSpan w:val="2"/>
            <w:tcBorders>
              <w:top w:val="nil"/>
              <w:left w:val="nil"/>
              <w:bottom w:val="nil"/>
              <w:right w:val="nil"/>
            </w:tcBorders>
            <w:shd w:val="clear" w:color="auto" w:fill="1A7A45"/>
            <w:tcMar>
              <w:top w:w="80" w:type="dxa"/>
              <w:left w:w="120" w:type="dxa"/>
              <w:bottom w:w="80" w:type="dxa"/>
              <w:right w:w="120" w:type="dxa"/>
            </w:tcMar>
            <w:vAlign w:val="center"/>
          </w:tcPr>
          <w:p w14:paraId="4D18F57B">
            <w:pPr>
              <w:jc w:val="left"/>
              <w:rPr>
                <w:color w:val="0D1F15"/>
              </w:rPr>
            </w:pPr>
            <w:r>
              <w:rPr>
                <w:rFonts w:ascii="Arial" w:hAnsi="Arial" w:eastAsia="Arial" w:cs="Arial"/>
                <w:b/>
                <w:bCs/>
                <w:color w:val="FFFFFF"/>
                <w:sz w:val="19"/>
                <w:szCs w:val="19"/>
              </w:rPr>
              <w:t>Action</w:t>
            </w:r>
          </w:p>
        </w:tc>
        <w:tc>
          <w:tcPr>
            <w:tcW w:w="2400" w:type="dxa"/>
            <w:tcBorders>
              <w:top w:val="nil"/>
              <w:left w:val="nil"/>
              <w:bottom w:val="nil"/>
              <w:right w:val="nil"/>
            </w:tcBorders>
            <w:shd w:val="clear" w:color="auto" w:fill="1A7A45"/>
            <w:tcMar>
              <w:top w:w="80" w:type="dxa"/>
              <w:left w:w="120" w:type="dxa"/>
              <w:bottom w:w="80" w:type="dxa"/>
              <w:right w:w="120" w:type="dxa"/>
            </w:tcMar>
            <w:vAlign w:val="center"/>
          </w:tcPr>
          <w:p w14:paraId="3B145074">
            <w:pPr>
              <w:jc w:val="left"/>
              <w:rPr>
                <w:color w:val="0D1F15"/>
              </w:rPr>
            </w:pPr>
            <w:r>
              <w:rPr>
                <w:rFonts w:ascii="Arial" w:hAnsi="Arial" w:eastAsia="Arial" w:cs="Arial"/>
                <w:b/>
                <w:bCs/>
                <w:color w:val="FFFFFF"/>
                <w:sz w:val="19"/>
                <w:szCs w:val="19"/>
              </w:rPr>
              <w:t>Timeline</w:t>
            </w:r>
          </w:p>
        </w:tc>
      </w:tr>
      <w:tr w14:paraId="7B580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1B630FFC">
            <w:pPr>
              <w:jc w:val="left"/>
              <w:rPr>
                <w:color w:val="0D1F15"/>
              </w:rPr>
            </w:pPr>
            <w:r>
              <w:rPr>
                <w:rFonts w:ascii="Arial" w:hAnsi="Arial" w:eastAsia="Arial" w:cs="Arial"/>
                <w:b/>
                <w:bCs/>
                <w:color w:val="0D1F15"/>
                <w:sz w:val="19"/>
                <w:szCs w:val="19"/>
              </w:rPr>
              <w:t>1</w:t>
            </w:r>
          </w:p>
        </w:tc>
        <w:tc>
          <w:tcPr>
            <w:tcW w:w="64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7EC69924">
            <w:pPr>
              <w:jc w:val="left"/>
              <w:rPr>
                <w:color w:val="0D1F15"/>
              </w:rPr>
            </w:pPr>
            <w:r>
              <w:rPr>
                <w:rFonts w:ascii="Arial" w:hAnsi="Arial" w:eastAsia="Arial" w:cs="Arial"/>
                <w:b w:val="0"/>
                <w:bCs w:val="0"/>
                <w:color w:val="0D1F15"/>
                <w:sz w:val="19"/>
                <w:szCs w:val="19"/>
              </w:rPr>
              <w:t>Schedule a live OwnIt Uganda product demonstration for NSSF’s digital, strategy, and SmartLife Flexi teams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737F8184">
            <w:pPr>
              <w:jc w:val="left"/>
              <w:rPr>
                <w:color w:val="0D1F15"/>
              </w:rPr>
            </w:pPr>
            <w:r>
              <w:rPr>
                <w:rFonts w:ascii="Arial" w:hAnsi="Arial" w:eastAsia="Arial" w:cs="Arial"/>
                <w:b w:val="0"/>
                <w:bCs w:val="0"/>
                <w:color w:val="0D1F15"/>
                <w:sz w:val="19"/>
                <w:szCs w:val="19"/>
              </w:rPr>
              <w:t>Week 1–2</w:t>
            </w:r>
          </w:p>
        </w:tc>
      </w:tr>
      <w:tr w14:paraId="514F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78B601DA">
            <w:pPr>
              <w:jc w:val="left"/>
              <w:rPr>
                <w:color w:val="0D1F15"/>
              </w:rPr>
            </w:pPr>
            <w:r>
              <w:rPr>
                <w:rFonts w:ascii="Arial" w:hAnsi="Arial" w:eastAsia="Arial" w:cs="Arial"/>
                <w:b/>
                <w:bCs/>
                <w:color w:val="0D1F15"/>
                <w:sz w:val="19"/>
                <w:szCs w:val="19"/>
              </w:rPr>
              <w:t>2</w:t>
            </w:r>
          </w:p>
        </w:tc>
        <w:tc>
          <w:tcPr>
            <w:tcW w:w="64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718A93CA">
            <w:pPr>
              <w:jc w:val="left"/>
              <w:rPr>
                <w:color w:val="0D1F15"/>
              </w:rPr>
            </w:pPr>
            <w:r>
              <w:rPr>
                <w:rFonts w:ascii="Arial" w:hAnsi="Arial" w:eastAsia="Arial" w:cs="Arial"/>
                <w:b w:val="0"/>
                <w:bCs w:val="0"/>
                <w:color w:val="0D1F15"/>
                <w:sz w:val="19"/>
                <w:szCs w:val="19"/>
              </w:rPr>
              <w:t>Establish a Joint Working Group (2 NSSF + 2 OwnIt representatives) to review partnership terms, API scope, SmartLife Flexi integration design, and legal structure</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35C93FF2">
            <w:pPr>
              <w:jc w:val="left"/>
              <w:rPr>
                <w:color w:val="0D1F15"/>
              </w:rPr>
            </w:pPr>
            <w:r>
              <w:rPr>
                <w:rFonts w:ascii="Arial" w:hAnsi="Arial" w:eastAsia="Arial" w:cs="Arial"/>
                <w:b w:val="0"/>
                <w:bCs w:val="0"/>
                <w:color w:val="0D1F15"/>
                <w:sz w:val="19"/>
                <w:szCs w:val="19"/>
              </w:rPr>
              <w:t>Week 2–6</w:t>
            </w:r>
          </w:p>
        </w:tc>
      </w:tr>
      <w:tr w14:paraId="1E777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465B0E37">
            <w:pPr>
              <w:jc w:val="left"/>
              <w:rPr>
                <w:color w:val="0D1F15"/>
              </w:rPr>
            </w:pPr>
            <w:r>
              <w:rPr>
                <w:rFonts w:ascii="Arial" w:hAnsi="Arial" w:eastAsia="Arial" w:cs="Arial"/>
                <w:b/>
                <w:bCs/>
                <w:color w:val="0D1F15"/>
                <w:sz w:val="19"/>
                <w:szCs w:val="19"/>
              </w:rPr>
              <w:t>3</w:t>
            </w:r>
          </w:p>
        </w:tc>
        <w:tc>
          <w:tcPr>
            <w:tcW w:w="64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354A160C">
            <w:pPr>
              <w:jc w:val="left"/>
              <w:rPr>
                <w:color w:val="0D1F15"/>
              </w:rPr>
            </w:pPr>
            <w:r>
              <w:rPr>
                <w:rFonts w:ascii="Arial" w:hAnsi="Arial" w:eastAsia="Arial" w:cs="Arial"/>
                <w:b w:val="0"/>
                <w:bCs w:val="0"/>
                <w:color w:val="0D1F15"/>
                <w:sz w:val="19"/>
                <w:szCs w:val="19"/>
              </w:rPr>
              <w:t>Commission joint regulatory pre-consultation with CMA, URBRA, and BoU on product classification across all 9 asset classes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3F29FFF2">
            <w:pPr>
              <w:jc w:val="left"/>
              <w:rPr>
                <w:color w:val="0D1F15"/>
              </w:rPr>
            </w:pPr>
            <w:r>
              <w:rPr>
                <w:rFonts w:ascii="Arial" w:hAnsi="Arial" w:eastAsia="Arial" w:cs="Arial"/>
                <w:b w:val="0"/>
                <w:bCs w:val="0"/>
                <w:color w:val="0D1F15"/>
                <w:sz w:val="19"/>
                <w:szCs w:val="19"/>
              </w:rPr>
              <w:t>Week 3–8</w:t>
            </w:r>
          </w:p>
        </w:tc>
      </w:tr>
      <w:tr w14:paraId="5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6E014093">
            <w:pPr>
              <w:jc w:val="left"/>
              <w:rPr>
                <w:color w:val="0D1F15"/>
              </w:rPr>
            </w:pPr>
            <w:r>
              <w:rPr>
                <w:rFonts w:ascii="Arial" w:hAnsi="Arial" w:eastAsia="Arial" w:cs="Arial"/>
                <w:b/>
                <w:bCs/>
                <w:color w:val="0D1F15"/>
                <w:sz w:val="19"/>
                <w:szCs w:val="19"/>
              </w:rPr>
              <w:t>4</w:t>
            </w:r>
          </w:p>
        </w:tc>
        <w:tc>
          <w:tcPr>
            <w:tcW w:w="64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3DABB513">
            <w:pPr>
              <w:jc w:val="left"/>
              <w:rPr>
                <w:color w:val="0D1F15"/>
              </w:rPr>
            </w:pPr>
            <w:r>
              <w:rPr>
                <w:rFonts w:ascii="Arial" w:hAnsi="Arial" w:eastAsia="Arial" w:cs="Arial"/>
                <w:b w:val="0"/>
                <w:bCs w:val="0"/>
                <w:color w:val="0D1F15"/>
                <w:sz w:val="19"/>
                <w:szCs w:val="19"/>
              </w:rPr>
              <w:t>Secure first three lister partners (1 petroleum distributor, 1 agri-exporter, 1 real estate developer) for beta listings</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42E5BDFC">
            <w:pPr>
              <w:jc w:val="left"/>
              <w:rPr>
                <w:color w:val="0D1F15"/>
              </w:rPr>
            </w:pPr>
            <w:r>
              <w:rPr>
                <w:rFonts w:ascii="Arial" w:hAnsi="Arial" w:eastAsia="Arial" w:cs="Arial"/>
                <w:b w:val="0"/>
                <w:bCs w:val="0"/>
                <w:color w:val="0D1F15"/>
                <w:sz w:val="19"/>
                <w:szCs w:val="19"/>
              </w:rPr>
              <w:t>Week 3–6</w:t>
            </w:r>
          </w:p>
        </w:tc>
      </w:tr>
      <w:tr w14:paraId="06B1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70F11E28">
            <w:pPr>
              <w:jc w:val="left"/>
              <w:rPr>
                <w:color w:val="0D1F15"/>
              </w:rPr>
            </w:pPr>
            <w:r>
              <w:rPr>
                <w:rFonts w:ascii="Arial" w:hAnsi="Arial" w:eastAsia="Arial" w:cs="Arial"/>
                <w:b/>
                <w:bCs/>
                <w:color w:val="0D1F15"/>
                <w:sz w:val="19"/>
                <w:szCs w:val="19"/>
              </w:rPr>
              <w:t>5</w:t>
            </w:r>
          </w:p>
        </w:tc>
        <w:tc>
          <w:tcPr>
            <w:tcW w:w="64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2B3613F2">
            <w:pPr>
              <w:jc w:val="left"/>
              <w:rPr>
                <w:color w:val="0D1F15"/>
              </w:rPr>
            </w:pPr>
            <w:r>
              <w:rPr>
                <w:rFonts w:ascii="Arial" w:hAnsi="Arial" w:eastAsia="Arial" w:cs="Arial"/>
                <w:b w:val="0"/>
                <w:bCs w:val="0"/>
                <w:color w:val="0D1F15"/>
                <w:sz w:val="19"/>
                <w:szCs w:val="19"/>
              </w:rPr>
              <w:t>OwnIt to provide NSSF with full technical specification for NIN-based auto-enrollment API and SmartLife Flexi sweep integration</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3A0ED775">
            <w:pPr>
              <w:jc w:val="left"/>
              <w:rPr>
                <w:color w:val="0D1F15"/>
              </w:rPr>
            </w:pPr>
            <w:r>
              <w:rPr>
                <w:rFonts w:ascii="Arial" w:hAnsi="Arial" w:eastAsia="Arial" w:cs="Arial"/>
                <w:b w:val="0"/>
                <w:bCs w:val="0"/>
                <w:color w:val="0D1F15"/>
                <w:sz w:val="19"/>
                <w:szCs w:val="19"/>
              </w:rPr>
              <w:t>Week 4–6</w:t>
            </w:r>
          </w:p>
        </w:tc>
      </w:tr>
      <w:tr w14:paraId="1A85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779E430B">
            <w:pPr>
              <w:jc w:val="left"/>
              <w:rPr>
                <w:color w:val="0D1F15"/>
              </w:rPr>
            </w:pPr>
            <w:r>
              <w:rPr>
                <w:rFonts w:ascii="Arial" w:hAnsi="Arial" w:eastAsia="Arial" w:cs="Arial"/>
                <w:b/>
                <w:bCs/>
                <w:color w:val="0D1F15"/>
                <w:sz w:val="19"/>
                <w:szCs w:val="19"/>
              </w:rPr>
              <w:t>6</w:t>
            </w:r>
          </w:p>
        </w:tc>
        <w:tc>
          <w:tcPr>
            <w:tcW w:w="6480" w:type="dxa"/>
            <w:gridSpan w:val="2"/>
            <w:tcBorders>
              <w:top w:val="nil"/>
              <w:left w:val="nil"/>
              <w:bottom w:val="nil"/>
              <w:right w:val="nil"/>
            </w:tcBorders>
            <w:shd w:val="clear" w:color="auto" w:fill="D4EFE0"/>
            <w:tcMar>
              <w:top w:w="80" w:type="dxa"/>
              <w:left w:w="120" w:type="dxa"/>
              <w:bottom w:w="80" w:type="dxa"/>
              <w:right w:w="120" w:type="dxa"/>
            </w:tcMar>
            <w:vAlign w:val="center"/>
          </w:tcPr>
          <w:p w14:paraId="15C84FC9">
            <w:pPr>
              <w:jc w:val="left"/>
              <w:rPr>
                <w:color w:val="0D1F15"/>
              </w:rPr>
            </w:pPr>
            <w:r>
              <w:rPr>
                <w:rFonts w:ascii="Arial" w:hAnsi="Arial" w:eastAsia="Arial" w:cs="Arial"/>
                <w:b w:val="0"/>
                <w:bCs w:val="0"/>
                <w:color w:val="0D1F15"/>
                <w:sz w:val="19"/>
                <w:szCs w:val="19"/>
              </w:rPr>
              <w:t>Sign a non-binding Memorandum of Understanding (MOU) formalising Tier 1 partnership terms including SFL integration commitment</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59DA7AAF">
            <w:pPr>
              <w:jc w:val="left"/>
              <w:rPr>
                <w:color w:val="0D1F15"/>
              </w:rPr>
            </w:pPr>
            <w:r>
              <w:rPr>
                <w:rFonts w:ascii="Arial" w:hAnsi="Arial" w:eastAsia="Arial" w:cs="Arial"/>
                <w:b w:val="0"/>
                <w:bCs w:val="0"/>
                <w:color w:val="0D1F15"/>
                <w:sz w:val="19"/>
                <w:szCs w:val="19"/>
              </w:rPr>
              <w:t>Week 6–10</w:t>
            </w:r>
          </w:p>
        </w:tc>
      </w:tr>
      <w:tr w14:paraId="4EA2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14686BDD">
            <w:pPr>
              <w:jc w:val="left"/>
              <w:rPr>
                <w:color w:val="0D1F15"/>
              </w:rPr>
            </w:pPr>
            <w:r>
              <w:rPr>
                <w:rFonts w:ascii="Arial" w:hAnsi="Arial" w:eastAsia="Arial" w:cs="Arial"/>
                <w:b/>
                <w:bCs/>
                <w:color w:val="0D1F15"/>
                <w:sz w:val="19"/>
                <w:szCs w:val="19"/>
              </w:rPr>
              <w:t>7</w:t>
            </w:r>
          </w:p>
        </w:tc>
        <w:tc>
          <w:tcPr>
            <w:tcW w:w="6480" w:type="dxa"/>
            <w:gridSpan w:val="2"/>
            <w:tcBorders>
              <w:top w:val="nil"/>
              <w:left w:val="nil"/>
              <w:bottom w:val="nil"/>
              <w:right w:val="nil"/>
            </w:tcBorders>
            <w:shd w:val="clear" w:color="auto" w:fill="FFFFFF"/>
            <w:tcMar>
              <w:top w:w="80" w:type="dxa"/>
              <w:left w:w="120" w:type="dxa"/>
              <w:bottom w:w="80" w:type="dxa"/>
              <w:right w:w="120" w:type="dxa"/>
            </w:tcMar>
            <w:vAlign w:val="center"/>
          </w:tcPr>
          <w:p w14:paraId="117AA005">
            <w:pPr>
              <w:jc w:val="left"/>
              <w:rPr>
                <w:color w:val="0D1F15"/>
              </w:rPr>
            </w:pPr>
            <w:r>
              <w:rPr>
                <w:rFonts w:ascii="Arial" w:hAnsi="Arial" w:eastAsia="Arial" w:cs="Arial"/>
                <w:b w:val="0"/>
                <w:bCs w:val="0"/>
                <w:color w:val="0D1F15"/>
                <w:sz w:val="19"/>
                <w:szCs w:val="19"/>
              </w:rPr>
              <w:t>Beta platform launch with NSSF co-brand, auto-enrollment live, SmartLife Flexi prompt live, and first 3 asset listings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3C9BEB1D">
            <w:pPr>
              <w:jc w:val="left"/>
              <w:rPr>
                <w:color w:val="0D1F15"/>
              </w:rPr>
            </w:pPr>
            <w:r>
              <w:rPr>
                <w:rFonts w:ascii="Arial" w:hAnsi="Arial" w:eastAsia="Arial" w:cs="Arial"/>
                <w:b w:val="0"/>
                <w:bCs w:val="0"/>
                <w:color w:val="0D1F15"/>
                <w:sz w:val="19"/>
                <w:szCs w:val="19"/>
              </w:rPr>
              <w:t>Month 4–6</w:t>
            </w:r>
          </w:p>
        </w:tc>
      </w:tr>
    </w:tbl>
    <w:p w14:paraId="100035AE">
      <w:r>
        <w:br w:type="page"/>
      </w:r>
    </w:p>
    <w:p w14:paraId="56B7CF69">
      <w:pPr>
        <w:pStyle w:val="2"/>
        <w:spacing w:before="360" w:after="120" w:line="240" w:lineRule="exact"/>
        <w:rPr>
          <w:rFonts w:ascii="Arial" w:hAnsi="Arial"/>
          <w:b/>
          <w:color w:val="1A7A45"/>
          <w:sz w:val="32"/>
        </w:rPr>
      </w:pPr>
    </w:p>
    <w:p w14:paraId="7C7020AC">
      <w:pPr>
        <w:pStyle w:val="2"/>
        <w:spacing w:before="360" w:after="120" w:line="240" w:lineRule="exact"/>
      </w:pPr>
      <w:r>
        <w:rPr>
          <w:rFonts w:ascii="Arial" w:hAnsi="Arial"/>
          <w:b/>
          <w:color w:val="1A7A45"/>
          <w:sz w:val="32"/>
        </w:rPr>
        <w:t>18. Lister &amp; Supplier Partner Ecosystem</w:t>
      </w:r>
    </w:p>
    <w:p w14:paraId="07CFBB08">
      <w:pPr>
        <w:pBdr>
          <w:bottom w:val="single" w:color="1A7A45" w:sz="12" w:space="1"/>
        </w:pBdr>
        <w:spacing w:before="120" w:after="120"/>
      </w:pPr>
    </w:p>
    <w:p w14:paraId="45F874EC">
      <w:pPr>
        <w:spacing w:before="60" w:after="100" w:line="240" w:lineRule="exact"/>
      </w:pPr>
      <w:r>
        <w:rPr>
          <w:rFonts w:ascii="Arial" w:hAnsi="Arial"/>
          <w:color w:val="0D1F15"/>
          <w:sz w:val="22"/>
        </w:rPr>
        <w:t>To establish the supplier and Lister partner ecosystem outlined in the business plan, OwnIt Uganda will partner with prominent, licensed entities across Uganda’s primary economic verticals. These potential partners represent the direct pipeline for asset aggregation and fractionalization:</w:t>
      </w:r>
    </w:p>
    <w:p w14:paraId="7394BBCB">
      <w:pPr>
        <w:spacing w:before="240" w:after="80" w:line="240" w:lineRule="exact"/>
      </w:pPr>
      <w:r>
        <w:rPr>
          <w:rFonts w:ascii="Arial" w:hAnsi="Arial"/>
          <w:b/>
          <w:color w:val="0D1F15"/>
          <w:sz w:val="26"/>
        </w:rPr>
        <w:t>18.1 Petroleum, Energy &amp; Oil Consignments</w:t>
      </w:r>
    </w:p>
    <w:p w14:paraId="0B8BE2F4">
      <w:pPr>
        <w:spacing w:before="60" w:after="100" w:line="240" w:lineRule="exact"/>
      </w:pPr>
      <w:r>
        <w:rPr>
          <w:rFonts w:ascii="Arial" w:hAnsi="Arial"/>
          <w:color w:val="0D1F15"/>
          <w:sz w:val="22"/>
        </w:rPr>
        <w:t>All petroleum listers must hold valid operating licenses from the Petroleum Authority of Uganda (PAU) and manage extensive supply chain logistics:</w:t>
      </w:r>
    </w:p>
    <w:p w14:paraId="37224CFE">
      <w:pPr>
        <w:pStyle w:val="16"/>
        <w:numPr>
          <w:ilvl w:val="0"/>
          <w:numId w:val="1"/>
        </w:numPr>
        <w:spacing w:before="40" w:after="40" w:line="240" w:lineRule="exact"/>
        <w:ind w:left="720" w:hanging="360"/>
      </w:pPr>
      <w:r>
        <w:rPr>
          <w:rFonts w:ascii="Arial" w:hAnsi="Arial"/>
          <w:b/>
          <w:color w:val="0D1F15"/>
          <w:sz w:val="21"/>
        </w:rPr>
        <w:t xml:space="preserve">TotalEnergies Marketing Uganda: </w:t>
      </w:r>
      <w:r>
        <w:rPr>
          <w:rFonts w:ascii="Arial" w:hAnsi="Arial"/>
          <w:b w:val="0"/>
          <w:color w:val="0D1F15"/>
          <w:sz w:val="21"/>
        </w:rPr>
        <w:t>One of the two largest downstream petroleum distributors in the country with extensive logistics and supply chains.</w:t>
      </w:r>
    </w:p>
    <w:p w14:paraId="2C72A94F">
      <w:pPr>
        <w:pStyle w:val="16"/>
        <w:numPr>
          <w:ilvl w:val="0"/>
          <w:numId w:val="1"/>
        </w:numPr>
        <w:spacing w:before="40" w:after="40" w:line="240" w:lineRule="exact"/>
        <w:ind w:left="720" w:hanging="360"/>
      </w:pPr>
      <w:r>
        <w:rPr>
          <w:rFonts w:ascii="Arial" w:hAnsi="Arial"/>
          <w:b/>
          <w:color w:val="0D1F15"/>
          <w:sz w:val="21"/>
        </w:rPr>
        <w:t xml:space="preserve">Vivo Energy Uganda: </w:t>
      </w:r>
      <w:r>
        <w:rPr>
          <w:rFonts w:ascii="Arial" w:hAnsi="Arial"/>
          <w:b w:val="0"/>
          <w:color w:val="0D1F15"/>
          <w:sz w:val="21"/>
        </w:rPr>
        <w:t>The licensed distributor and marketer of Shell-branded fuels and lubricants, running a massive network of retail stations and commercial storage facilities.</w:t>
      </w:r>
    </w:p>
    <w:p w14:paraId="43C0FCB4">
      <w:pPr>
        <w:pStyle w:val="16"/>
        <w:numPr>
          <w:ilvl w:val="0"/>
          <w:numId w:val="1"/>
        </w:numPr>
        <w:spacing w:before="40" w:after="40" w:line="240" w:lineRule="exact"/>
        <w:ind w:left="720" w:hanging="360"/>
      </w:pPr>
      <w:r>
        <w:rPr>
          <w:rFonts w:ascii="Arial" w:hAnsi="Arial"/>
          <w:b/>
          <w:color w:val="0D1F15"/>
          <w:sz w:val="21"/>
        </w:rPr>
        <w:t xml:space="preserve">Rubis Energy Uganda: </w:t>
      </w:r>
      <w:r>
        <w:rPr>
          <w:rFonts w:ascii="Arial" w:hAnsi="Arial"/>
          <w:b w:val="0"/>
          <w:color w:val="0D1F15"/>
          <w:sz w:val="21"/>
        </w:rPr>
        <w:t>A fast-growing major player that expanded its local footprint by acquiring Kobil and Delta Petroleum. They operate multiple storage depots in Jinja and Nalukolongo.</w:t>
      </w:r>
    </w:p>
    <w:p w14:paraId="0A2276DB">
      <w:pPr>
        <w:pStyle w:val="16"/>
        <w:numPr>
          <w:ilvl w:val="0"/>
          <w:numId w:val="1"/>
        </w:numPr>
        <w:spacing w:before="40" w:after="40" w:line="240" w:lineRule="exact"/>
        <w:ind w:left="720" w:hanging="360"/>
      </w:pPr>
      <w:r>
        <w:rPr>
          <w:rFonts w:ascii="Arial" w:hAnsi="Arial"/>
          <w:b/>
          <w:color w:val="0D1F15"/>
          <w:sz w:val="21"/>
        </w:rPr>
        <w:t xml:space="preserve">Uganda National Oil Company (UNOC): </w:t>
      </w:r>
      <w:r>
        <w:rPr>
          <w:rFonts w:ascii="Arial" w:hAnsi="Arial"/>
          <w:b w:val="0"/>
          <w:color w:val="0D1F15"/>
          <w:sz w:val="21"/>
        </w:rPr>
        <w:t>The state-owned entity managing the country's commercial interests in petroleum, including the massive Kabalega Industrial Park and national supply logistics.</w:t>
      </w:r>
    </w:p>
    <w:p w14:paraId="70763E5E">
      <w:pPr>
        <w:spacing w:before="240" w:after="80" w:line="240" w:lineRule="exact"/>
      </w:pPr>
      <w:r>
        <w:rPr>
          <w:rFonts w:ascii="Arial" w:hAnsi="Arial"/>
          <w:b/>
          <w:color w:val="0D1F15"/>
          <w:sz w:val="26"/>
        </w:rPr>
        <w:t>18.2 Agricultural Commodities</w:t>
      </w:r>
    </w:p>
    <w:p w14:paraId="004E0EF8">
      <w:pPr>
        <w:spacing w:before="60" w:after="100" w:line="240" w:lineRule="exact"/>
      </w:pPr>
      <w:r>
        <w:rPr>
          <w:rFonts w:ascii="Arial" w:hAnsi="Arial"/>
          <w:color w:val="0D1F15"/>
          <w:sz w:val="22"/>
        </w:rPr>
        <w:t>Platform transactions require structured trading partnerships with certified aggregators, large-scale exporters, and processors to fulfill short-cycle grain or crop contracts:</w:t>
      </w:r>
    </w:p>
    <w:p w14:paraId="348064E5">
      <w:pPr>
        <w:pStyle w:val="16"/>
        <w:numPr>
          <w:ilvl w:val="0"/>
          <w:numId w:val="1"/>
        </w:numPr>
        <w:spacing w:before="40" w:after="40" w:line="240" w:lineRule="exact"/>
        <w:ind w:left="720" w:hanging="360"/>
      </w:pPr>
      <w:r>
        <w:rPr>
          <w:rFonts w:ascii="Arial" w:hAnsi="Arial"/>
          <w:b/>
          <w:color w:val="0D1F15"/>
          <w:sz w:val="21"/>
        </w:rPr>
        <w:t xml:space="preserve">Agilis Partners / Joseph Initiative: </w:t>
      </w:r>
      <w:r>
        <w:rPr>
          <w:rFonts w:ascii="Arial" w:hAnsi="Arial"/>
          <w:b w:val="0"/>
          <w:color w:val="0D1F15"/>
          <w:sz w:val="21"/>
        </w:rPr>
        <w:t>One of Uganda's leading grain and agricultural commodity wholesalers, managing sophisticated storage networks, processing infrastructure, and export channels.</w:t>
      </w:r>
    </w:p>
    <w:p w14:paraId="480D5433">
      <w:pPr>
        <w:pStyle w:val="16"/>
        <w:numPr>
          <w:ilvl w:val="0"/>
          <w:numId w:val="1"/>
        </w:numPr>
        <w:spacing w:before="40" w:after="40" w:line="240" w:lineRule="exact"/>
        <w:ind w:left="720" w:hanging="360"/>
      </w:pPr>
      <w:r>
        <w:rPr>
          <w:rFonts w:ascii="Arial" w:hAnsi="Arial"/>
          <w:b/>
          <w:color w:val="0D1F15"/>
          <w:sz w:val="21"/>
        </w:rPr>
        <w:t xml:space="preserve">Kyagalanyi Coffee Ltd: </w:t>
      </w:r>
      <w:r>
        <w:rPr>
          <w:rFonts w:ascii="Arial" w:hAnsi="Arial"/>
          <w:b w:val="0"/>
          <w:color w:val="0D1F15"/>
          <w:sz w:val="21"/>
        </w:rPr>
        <w:t>The oldest and one of the largest licensed coffee exporters in Uganda, operating high-capacity processing mills and deeply integrated smallholder supply chains.</w:t>
      </w:r>
    </w:p>
    <w:p w14:paraId="5D60705A">
      <w:pPr>
        <w:pStyle w:val="16"/>
        <w:numPr>
          <w:ilvl w:val="0"/>
          <w:numId w:val="1"/>
        </w:numPr>
        <w:spacing w:before="40" w:after="40" w:line="240" w:lineRule="exact"/>
        <w:ind w:left="720" w:hanging="360"/>
      </w:pPr>
      <w:r>
        <w:rPr>
          <w:rFonts w:ascii="Arial" w:hAnsi="Arial"/>
          <w:b/>
          <w:color w:val="0D1F15"/>
          <w:sz w:val="21"/>
        </w:rPr>
        <w:t xml:space="preserve">UGACOF (u) Ltd: </w:t>
      </w:r>
      <w:r>
        <w:rPr>
          <w:rFonts w:ascii="Arial" w:hAnsi="Arial"/>
          <w:b w:val="0"/>
          <w:color w:val="0D1F15"/>
          <w:sz w:val="21"/>
        </w:rPr>
        <w:t>A premier coffee processing and export powerhouse with robust warehousing facilities, ideal for high-ticket export-grade pooling.</w:t>
      </w:r>
    </w:p>
    <w:p w14:paraId="369F0E46">
      <w:pPr>
        <w:pStyle w:val="16"/>
        <w:numPr>
          <w:ilvl w:val="0"/>
          <w:numId w:val="1"/>
        </w:numPr>
        <w:spacing w:before="40" w:after="40" w:line="240" w:lineRule="exact"/>
        <w:ind w:left="720" w:hanging="360"/>
      </w:pPr>
      <w:r>
        <w:rPr>
          <w:rFonts w:ascii="Arial" w:hAnsi="Arial"/>
          <w:b/>
          <w:color w:val="0D1F15"/>
          <w:sz w:val="21"/>
        </w:rPr>
        <w:t xml:space="preserve">Kakira Sugar Limited / Madhvani Group: </w:t>
      </w:r>
      <w:r>
        <w:rPr>
          <w:rFonts w:ascii="Arial" w:hAnsi="Arial"/>
          <w:b w:val="0"/>
          <w:color w:val="0D1F15"/>
          <w:sz w:val="21"/>
        </w:rPr>
        <w:t>A massive agro-industrial conglomerate dealing heavily in sugar commodities, molasses, and physical agricultural estate distribution.</w:t>
      </w:r>
    </w:p>
    <w:p w14:paraId="55D78A9B">
      <w:pPr>
        <w:spacing w:before="240" w:after="80" w:line="240" w:lineRule="exact"/>
      </w:pPr>
      <w:r>
        <w:rPr>
          <w:rFonts w:ascii="Arial" w:hAnsi="Arial"/>
          <w:b/>
          <w:color w:val="0D1F15"/>
          <w:sz w:val="26"/>
        </w:rPr>
        <w:t>18.3 Stocks, Shares &amp; Capital Markets Intermediaries</w:t>
      </w:r>
    </w:p>
    <w:p w14:paraId="1FFAC40A">
      <w:pPr>
        <w:spacing w:before="60" w:after="100" w:line="240" w:lineRule="exact"/>
      </w:pPr>
      <w:r>
        <w:rPr>
          <w:rFonts w:ascii="Arial" w:hAnsi="Arial"/>
          <w:color w:val="0D1F15"/>
          <w:sz w:val="22"/>
        </w:rPr>
        <w:t>To legally route and settle trades in listed equities on the Uganda Securities Exchange (USE), the platform will partner with CMA-licensed stockbrokers:</w:t>
      </w:r>
    </w:p>
    <w:p w14:paraId="4E90BD86">
      <w:pPr>
        <w:pStyle w:val="16"/>
        <w:numPr>
          <w:ilvl w:val="0"/>
          <w:numId w:val="1"/>
        </w:numPr>
        <w:spacing w:before="40" w:after="40" w:line="240" w:lineRule="exact"/>
        <w:ind w:left="720" w:hanging="360"/>
      </w:pPr>
      <w:r>
        <w:rPr>
          <w:rFonts w:ascii="Arial" w:hAnsi="Arial"/>
          <w:b/>
          <w:color w:val="0D1F15"/>
          <w:sz w:val="21"/>
        </w:rPr>
        <w:t xml:space="preserve">Crested Capital (Crested Stocks and Securities Ltd): </w:t>
      </w:r>
      <w:r>
        <w:rPr>
          <w:rFonts w:ascii="Arial" w:hAnsi="Arial"/>
          <w:b w:val="0"/>
          <w:color w:val="0D1F15"/>
          <w:sz w:val="21"/>
        </w:rPr>
        <w:t>A highly active local brokerage and investment advisor famous for retail market reach and digital financial innovation.</w:t>
      </w:r>
    </w:p>
    <w:p w14:paraId="4F7B8972">
      <w:pPr>
        <w:pStyle w:val="16"/>
        <w:numPr>
          <w:ilvl w:val="0"/>
          <w:numId w:val="1"/>
        </w:numPr>
        <w:spacing w:before="40" w:after="40" w:line="240" w:lineRule="exact"/>
        <w:ind w:left="720" w:hanging="360"/>
      </w:pPr>
      <w:r>
        <w:rPr>
          <w:rFonts w:ascii="Arial" w:hAnsi="Arial"/>
          <w:b/>
          <w:color w:val="0D1F15"/>
          <w:sz w:val="21"/>
        </w:rPr>
        <w:t xml:space="preserve">SBG Securities Uganda Limited: </w:t>
      </w:r>
      <w:r>
        <w:rPr>
          <w:rFonts w:ascii="Arial" w:hAnsi="Arial"/>
          <w:b w:val="0"/>
          <w:color w:val="0D1F15"/>
          <w:sz w:val="21"/>
        </w:rPr>
        <w:t>The investment and brokerage arm of Stanbic Bank (Uganda's largest commercial bank), offering seamless market access and high-volume trade settlement infrastructure.</w:t>
      </w:r>
    </w:p>
    <w:p w14:paraId="55A70BA3">
      <w:pPr>
        <w:pStyle w:val="16"/>
        <w:numPr>
          <w:ilvl w:val="0"/>
          <w:numId w:val="1"/>
        </w:numPr>
        <w:spacing w:before="40" w:after="40" w:line="240" w:lineRule="exact"/>
        <w:ind w:left="720" w:hanging="360"/>
      </w:pPr>
      <w:r>
        <w:rPr>
          <w:rFonts w:ascii="Arial" w:hAnsi="Arial"/>
          <w:b/>
          <w:color w:val="0D1F15"/>
          <w:sz w:val="21"/>
        </w:rPr>
        <w:t xml:space="preserve">Dyer &amp; Blair Uganda Limited: </w:t>
      </w:r>
      <w:r>
        <w:rPr>
          <w:rFonts w:ascii="Arial" w:hAnsi="Arial"/>
          <w:b w:val="0"/>
          <w:color w:val="0D1F15"/>
          <w:sz w:val="21"/>
        </w:rPr>
        <w:t>A premier, long-standing regional investment bank and stockbroker regulated directly by the CMA.</w:t>
      </w:r>
    </w:p>
    <w:p w14:paraId="1468FC54">
      <w:pPr>
        <w:spacing w:before="240" w:after="80" w:line="240" w:lineRule="exact"/>
      </w:pPr>
      <w:r>
        <w:rPr>
          <w:rFonts w:ascii="Arial" w:hAnsi="Arial"/>
          <w:b/>
          <w:color w:val="0D1F15"/>
          <w:sz w:val="26"/>
        </w:rPr>
        <w:t>18.4 Government Securities (Bonds &amp; Treasury Bills)</w:t>
      </w:r>
    </w:p>
    <w:p w14:paraId="522C7913">
      <w:pPr>
        <w:spacing w:before="60" w:after="100" w:line="240" w:lineRule="exact"/>
      </w:pPr>
      <w:r>
        <w:rPr>
          <w:rFonts w:ascii="Arial" w:hAnsi="Arial"/>
          <w:color w:val="0D1F15"/>
          <w:sz w:val="22"/>
        </w:rPr>
        <w:t>To facilitate retail micro-participation in Bank of Uganda auctions, the platform will utilize designated primary dealers and licensed fund managers:</w:t>
      </w:r>
    </w:p>
    <w:p w14:paraId="75D8CD32">
      <w:pPr>
        <w:pStyle w:val="16"/>
        <w:numPr>
          <w:ilvl w:val="0"/>
          <w:numId w:val="1"/>
        </w:numPr>
        <w:spacing w:before="40" w:after="40" w:line="240" w:lineRule="exact"/>
        <w:ind w:left="720" w:hanging="360"/>
      </w:pPr>
      <w:r>
        <w:rPr>
          <w:rFonts w:ascii="Arial" w:hAnsi="Arial"/>
          <w:b/>
          <w:color w:val="0D1F15"/>
          <w:sz w:val="21"/>
        </w:rPr>
        <w:t xml:space="preserve">Stanbic Bank Uganda &amp; Absa Bank Uganda: </w:t>
      </w:r>
      <w:r>
        <w:rPr>
          <w:rFonts w:ascii="Arial" w:hAnsi="Arial"/>
          <w:b w:val="0"/>
          <w:color w:val="0D1F15"/>
          <w:sz w:val="21"/>
        </w:rPr>
        <w:t>Primary dealers heavily integrated into the Bank of Uganda securities market, capable of holding fractional assets within licensed custodian frameworks.</w:t>
      </w:r>
    </w:p>
    <w:p w14:paraId="3AAC8DA8">
      <w:pPr>
        <w:pStyle w:val="16"/>
        <w:numPr>
          <w:ilvl w:val="0"/>
          <w:numId w:val="1"/>
        </w:numPr>
        <w:spacing w:before="40" w:after="40" w:line="240" w:lineRule="exact"/>
        <w:ind w:left="720" w:hanging="360"/>
      </w:pPr>
      <w:r>
        <w:rPr>
          <w:rFonts w:ascii="Arial" w:hAnsi="Arial"/>
          <w:b/>
          <w:color w:val="0D1F15"/>
          <w:sz w:val="21"/>
        </w:rPr>
        <w:t xml:space="preserve">Old Mutual Investment Group Limited (Uganda): </w:t>
      </w:r>
      <w:r>
        <w:rPr>
          <w:rFonts w:ascii="Arial" w:hAnsi="Arial"/>
          <w:b w:val="0"/>
          <w:color w:val="0D1F15"/>
          <w:sz w:val="21"/>
        </w:rPr>
        <w:t>A leading CMA-licensed fund manager and institutional investor managing multi-asset retail funds.</w:t>
      </w:r>
    </w:p>
    <w:p w14:paraId="58D483A4">
      <w:pPr>
        <w:pStyle w:val="16"/>
        <w:numPr>
          <w:ilvl w:val="0"/>
          <w:numId w:val="1"/>
        </w:numPr>
        <w:spacing w:before="40" w:after="40" w:line="240" w:lineRule="exact"/>
        <w:ind w:left="720" w:hanging="360"/>
      </w:pPr>
      <w:r>
        <w:rPr>
          <w:rFonts w:ascii="Arial" w:hAnsi="Arial"/>
          <w:b/>
          <w:color w:val="0D1F15"/>
          <w:sz w:val="21"/>
        </w:rPr>
        <w:t xml:space="preserve">ICEA Lion Asset Management (U) Ltd: </w:t>
      </w:r>
      <w:r>
        <w:rPr>
          <w:rFonts w:ascii="Arial" w:hAnsi="Arial"/>
          <w:b w:val="0"/>
          <w:color w:val="0D1F15"/>
          <w:sz w:val="21"/>
        </w:rPr>
        <w:t>Another prominent, licensed collective investment scheme operator that actively manages government security portfolios.</w:t>
      </w:r>
    </w:p>
    <w:p w14:paraId="299F85D6">
      <w:pPr>
        <w:spacing w:before="240" w:after="80" w:line="240" w:lineRule="exact"/>
      </w:pPr>
      <w:r>
        <w:rPr>
          <w:rFonts w:ascii="Arial" w:hAnsi="Arial"/>
          <w:b/>
          <w:color w:val="0D1F15"/>
          <w:sz w:val="26"/>
        </w:rPr>
        <w:t>18.5 Rare Earth Minerals &amp; Precious Commodities</w:t>
      </w:r>
    </w:p>
    <w:p w14:paraId="377284B7">
      <w:pPr>
        <w:spacing w:before="60" w:after="100" w:line="240" w:lineRule="exact"/>
      </w:pPr>
      <w:r>
        <w:rPr>
          <w:rFonts w:ascii="Arial" w:hAnsi="Arial"/>
          <w:color w:val="0D1F15"/>
          <w:sz w:val="22"/>
        </w:rPr>
        <w:t>Listers in this space are bound by the Mining and Minerals Act and require conflict-free sourcing certifications:</w:t>
      </w:r>
    </w:p>
    <w:p w14:paraId="1538B27C">
      <w:pPr>
        <w:pStyle w:val="16"/>
        <w:numPr>
          <w:ilvl w:val="0"/>
          <w:numId w:val="1"/>
        </w:numPr>
        <w:spacing w:before="40" w:after="40" w:line="240" w:lineRule="exact"/>
        <w:ind w:left="720" w:hanging="360"/>
      </w:pPr>
      <w:r>
        <w:rPr>
          <w:rFonts w:ascii="Arial" w:hAnsi="Arial"/>
          <w:b/>
          <w:color w:val="0D1F15"/>
          <w:sz w:val="21"/>
        </w:rPr>
        <w:t xml:space="preserve">Rwenzori Rare Metals Limited: </w:t>
      </w:r>
      <w:r>
        <w:rPr>
          <w:rFonts w:ascii="Arial" w:hAnsi="Arial"/>
          <w:b w:val="0"/>
          <w:color w:val="0D1F15"/>
          <w:sz w:val="21"/>
        </w:rPr>
        <w:t>A local private company spearheading the world-class Makuutu Rare Earth Project in Eastern Uganda. They specialize in ion-adsorption clay deposits targeting highly valued critical magnetic elements.</w:t>
      </w:r>
    </w:p>
    <w:p w14:paraId="0FA32AB0">
      <w:pPr>
        <w:pStyle w:val="16"/>
        <w:numPr>
          <w:ilvl w:val="0"/>
          <w:numId w:val="1"/>
        </w:numPr>
        <w:spacing w:before="40" w:after="40" w:line="240" w:lineRule="exact"/>
        <w:ind w:left="720" w:hanging="360"/>
      </w:pPr>
      <w:r>
        <w:rPr>
          <w:rFonts w:ascii="Arial" w:hAnsi="Arial"/>
          <w:b/>
          <w:color w:val="0D1F15"/>
          <w:sz w:val="21"/>
        </w:rPr>
        <w:t xml:space="preserve">Wagagai Mining (U) Limited: </w:t>
      </w:r>
      <w:r>
        <w:rPr>
          <w:rFonts w:ascii="Arial" w:hAnsi="Arial"/>
          <w:b w:val="0"/>
          <w:color w:val="0D1F15"/>
          <w:sz w:val="21"/>
        </w:rPr>
        <w:t>A massive greenfield gold mining and refinery project based in Busia district, representing one of the largest formalized precious metal investments in the country.</w:t>
      </w:r>
    </w:p>
    <w:p w14:paraId="0044E22B">
      <w:pPr>
        <w:spacing w:before="240" w:after="80" w:line="240" w:lineRule="exact"/>
      </w:pPr>
      <w:r>
        <w:rPr>
          <w:rFonts w:ascii="Arial" w:hAnsi="Arial"/>
          <w:b/>
          <w:color w:val="0D1F15"/>
          <w:sz w:val="26"/>
        </w:rPr>
        <w:t>18.6 Real Estate (Rental &amp; Construction Projects)</w:t>
      </w:r>
    </w:p>
    <w:p w14:paraId="5A3E388E">
      <w:pPr>
        <w:spacing w:before="60" w:after="100" w:line="240" w:lineRule="exact"/>
      </w:pPr>
      <w:r>
        <w:rPr>
          <w:rFonts w:ascii="Arial" w:hAnsi="Arial"/>
          <w:color w:val="0D1F15"/>
          <w:sz w:val="22"/>
        </w:rPr>
        <w:t>For property-backed Hisa structures matching REIT or alternative debt guidelines:</w:t>
      </w:r>
    </w:p>
    <w:p w14:paraId="4DAB9DF3">
      <w:pPr>
        <w:pStyle w:val="16"/>
        <w:numPr>
          <w:ilvl w:val="0"/>
          <w:numId w:val="1"/>
        </w:numPr>
        <w:spacing w:before="40" w:after="40" w:line="240" w:lineRule="exact"/>
        <w:ind w:left="720" w:hanging="360"/>
      </w:pPr>
      <w:r>
        <w:rPr>
          <w:rFonts w:ascii="Arial" w:hAnsi="Arial"/>
          <w:b/>
          <w:color w:val="0D1F15"/>
          <w:sz w:val="21"/>
        </w:rPr>
        <w:t xml:space="preserve">National Housing and Construction Company (NHCC): </w:t>
      </w:r>
      <w:r>
        <w:rPr>
          <w:rFonts w:ascii="Arial" w:hAnsi="Arial"/>
          <w:b w:val="0"/>
          <w:color w:val="0D1F15"/>
          <w:sz w:val="21"/>
        </w:rPr>
        <w:t>The premier state-backed housing developer in Uganda, executing massive residential estate and apartment construction projects across the country.</w:t>
      </w:r>
    </w:p>
    <w:p w14:paraId="3C479A37">
      <w:pPr>
        <w:pStyle w:val="16"/>
        <w:numPr>
          <w:ilvl w:val="0"/>
          <w:numId w:val="1"/>
        </w:numPr>
        <w:spacing w:before="40" w:after="40" w:line="240" w:lineRule="exact"/>
        <w:ind w:left="720" w:hanging="360"/>
      </w:pPr>
      <w:r>
        <w:rPr>
          <w:rFonts w:ascii="Arial" w:hAnsi="Arial"/>
          <w:b/>
          <w:color w:val="0D1F15"/>
          <w:sz w:val="21"/>
        </w:rPr>
        <w:t xml:space="preserve">Knight Frank Uganda: </w:t>
      </w:r>
      <w:r>
        <w:rPr>
          <w:rFonts w:ascii="Arial" w:hAnsi="Arial"/>
          <w:b w:val="0"/>
          <w:color w:val="0D1F15"/>
          <w:sz w:val="21"/>
        </w:rPr>
        <w:t>The leading property management, valuation, and real estate consultancy firm in Kampala, offering immediate access to institutional-grade commercial and retail rental properties.</w:t>
      </w:r>
    </w:p>
    <w:p w14:paraId="71BDC41B">
      <w:pPr>
        <w:pStyle w:val="16"/>
        <w:numPr>
          <w:ilvl w:val="0"/>
          <w:numId w:val="1"/>
        </w:numPr>
        <w:spacing w:before="40" w:after="40" w:line="240" w:lineRule="exact"/>
        <w:ind w:left="720" w:hanging="360"/>
      </w:pPr>
      <w:r>
        <w:rPr>
          <w:rFonts w:ascii="Arial" w:hAnsi="Arial"/>
          <w:b/>
          <w:color w:val="0D1F15"/>
          <w:sz w:val="21"/>
        </w:rPr>
        <w:t xml:space="preserve">Crane Management Services (CMS): </w:t>
      </w:r>
      <w:r>
        <w:rPr>
          <w:rFonts w:ascii="Arial" w:hAnsi="Arial"/>
          <w:b w:val="0"/>
          <w:color w:val="0D1F15"/>
          <w:sz w:val="21"/>
        </w:rPr>
        <w:t>Part of the Ruparelia Group, CMS is one of the largest private landlords in Kampala, controlling vast portfolios of commercial office buildings, shopping malls, and premium apartments.</w:t>
      </w:r>
    </w:p>
    <w:p w14:paraId="3EEC7E1C">
      <w:r>
        <w:br w:type="page"/>
      </w:r>
    </w:p>
    <w:p w14:paraId="4FC268C4">
      <w:pPr>
        <w:pStyle w:val="2"/>
        <w:spacing w:before="360" w:after="120" w:line="240" w:lineRule="exact"/>
        <w:rPr>
          <w:rFonts w:ascii="Arial" w:hAnsi="Arial"/>
          <w:b/>
          <w:color w:val="1A7A45"/>
          <w:sz w:val="32"/>
        </w:rPr>
      </w:pPr>
    </w:p>
    <w:p w14:paraId="51798C34">
      <w:pPr>
        <w:pStyle w:val="2"/>
        <w:spacing w:before="360" w:after="120" w:line="240" w:lineRule="exact"/>
      </w:pPr>
      <w:r>
        <w:rPr>
          <w:rFonts w:ascii="Arial" w:hAnsi="Arial"/>
          <w:b/>
          <w:color w:val="1A7A45"/>
          <w:sz w:val="32"/>
        </w:rPr>
        <w:t>19. Regulatory &amp; Compliance Framework</w:t>
      </w:r>
    </w:p>
    <w:p w14:paraId="2AAD8F1F">
      <w:pPr>
        <w:pBdr>
          <w:bottom w:val="single" w:color="1A7A45" w:sz="12" w:space="1"/>
        </w:pBdr>
        <w:spacing w:before="120" w:after="120"/>
      </w:pPr>
    </w:p>
    <w:p w14:paraId="643A8234">
      <w:pPr>
        <w:spacing w:before="240" w:after="80" w:line="240" w:lineRule="exact"/>
      </w:pPr>
      <w:r>
        <w:rPr>
          <w:rFonts w:ascii="Arial" w:hAnsi="Arial"/>
          <w:b/>
          <w:color w:val="0D1F15"/>
          <w:sz w:val="26"/>
        </w:rPr>
        <w:t>19.1 Introduction &amp; Core Compliance Philosophy</w:t>
      </w:r>
    </w:p>
    <w:p w14:paraId="7BC75921">
      <w:pPr>
        <w:spacing w:before="60" w:after="100" w:line="240" w:lineRule="exact"/>
      </w:pPr>
      <w:r>
        <w:rPr>
          <w:rFonts w:ascii="Arial" w:hAnsi="Arial"/>
          <w:color w:val="0D1F15"/>
          <w:sz w:val="22"/>
        </w:rPr>
        <w:t>OwnIt Uganda is committed to operating within the highest standards of regulatory compliance, corporate governance, and investor protection. Rather than viewing Uganda’s capital markets regulations as a barrier, the platform treats them as a structural trust builder. By establishing clear regulatory pathways for each asset class, OwnIt protects its retail investors, safeguards NSSF’s institutional reputation, and builds a sustainable digital investment marketplace.</w:t>
      </w:r>
    </w:p>
    <w:p w14:paraId="779EB1BA">
      <w:pPr>
        <w:spacing w:before="240" w:after="80" w:line="240" w:lineRule="exact"/>
      </w:pPr>
      <w:r>
        <w:rPr>
          <w:rFonts w:ascii="Arial" w:hAnsi="Arial"/>
          <w:b/>
          <w:color w:val="0D1F15"/>
          <w:sz w:val="26"/>
        </w:rPr>
        <w:t>19.2 Regulatory Licensing Pathway</w:t>
      </w:r>
    </w:p>
    <w:p w14:paraId="1B900332">
      <w:pPr>
        <w:spacing w:before="60" w:after="100" w:line="240" w:lineRule="exact"/>
      </w:pPr>
      <w:r>
        <w:rPr>
          <w:rFonts w:ascii="Arial" w:hAnsi="Arial"/>
          <w:color w:val="0D1F15"/>
          <w:sz w:val="22"/>
        </w:rPr>
        <w:t>The platform’s multi-asset structure intersects with multiple regulatory bodies under the founding powers of the Capital Markets Authority Act, Cap. 84. OwnIt adopts a phased licensing approach:</w:t>
      </w:r>
    </w:p>
    <w:p w14:paraId="3628662F">
      <w:pPr>
        <w:pStyle w:val="16"/>
        <w:numPr>
          <w:ilvl w:val="0"/>
          <w:numId w:val="1"/>
        </w:numPr>
        <w:spacing w:before="40" w:after="40" w:line="240" w:lineRule="exact"/>
        <w:ind w:left="720" w:hanging="360"/>
      </w:pPr>
      <w:r>
        <w:rPr>
          <w:rFonts w:ascii="Arial" w:hAnsi="Arial"/>
          <w:b/>
          <w:color w:val="0D1F15"/>
          <w:sz w:val="21"/>
        </w:rPr>
        <w:t xml:space="preserve">Phase 1 (Go-To-Market / Partnership Model): </w:t>
      </w:r>
      <w:r>
        <w:rPr>
          <w:rFonts w:ascii="Arial" w:hAnsi="Arial"/>
          <w:b w:val="0"/>
          <w:color w:val="0D1F15"/>
          <w:sz w:val="21"/>
        </w:rPr>
        <w:t>OwnIt operates primarily as a technology platform and marketplace aggregator. In this phase, the platform relies on the existing CMA, BoU, and DGSM licenses of its vetted commercial partners (Listers) and stock brokerage partners. Fund custody and payment clearance are secured through NSSF’s regulated treasury and licensed custodian banks.</w:t>
      </w:r>
    </w:p>
    <w:p w14:paraId="25DE56B6">
      <w:pPr>
        <w:pStyle w:val="16"/>
        <w:numPr>
          <w:ilvl w:val="0"/>
          <w:numId w:val="1"/>
        </w:numPr>
        <w:spacing w:before="40" w:after="40" w:line="240" w:lineRule="exact"/>
        <w:ind w:left="720" w:hanging="360"/>
      </w:pPr>
      <w:r>
        <w:rPr>
          <w:rFonts w:ascii="Arial" w:hAnsi="Arial"/>
          <w:b/>
          <w:color w:val="0D1F15"/>
          <w:sz w:val="21"/>
        </w:rPr>
        <w:t xml:space="preserve">Phase 2 (Direct Platform Licensing): </w:t>
      </w:r>
      <w:r>
        <w:rPr>
          <w:rFonts w:ascii="Arial" w:hAnsi="Arial"/>
          <w:b w:val="0"/>
          <w:color w:val="0D1F15"/>
          <w:sz w:val="21"/>
        </w:rPr>
        <w:t>As transaction volumes scale, OwnIt will obtain direct licenses from the Capital Markets Authority under the Capital Markets Authority (Licensing and Approval) Regulations, 2025:</w:t>
      </w:r>
    </w:p>
    <w:p w14:paraId="52360534">
      <w:pPr>
        <w:pStyle w:val="16"/>
        <w:numPr>
          <w:ilvl w:val="1"/>
          <w:numId w:val="1"/>
        </w:numPr>
        <w:spacing w:before="40" w:after="40" w:line="240" w:lineRule="exact"/>
        <w:ind w:left="1080" w:hanging="360"/>
      </w:pPr>
      <w:r>
        <w:rPr>
          <w:rFonts w:ascii="Arial" w:hAnsi="Arial"/>
          <w:b/>
          <w:color w:val="0D1F15"/>
          <w:sz w:val="21"/>
        </w:rPr>
        <w:t xml:space="preserve">Investment Adviser License: </w:t>
      </w:r>
      <w:r>
        <w:rPr>
          <w:rFonts w:ascii="Arial" w:hAnsi="Arial"/>
          <w:b w:val="0"/>
          <w:color w:val="0D1F15"/>
          <w:sz w:val="21"/>
        </w:rPr>
        <w:t>To operate as a digital advisory platform (requires a minimum paid-up share capital of UGX 70,000,000 and working capital of UGX 20,000,000 under the CMA (Accounting and Financial Requirements) Regulations, 2022).</w:t>
      </w:r>
    </w:p>
    <w:p w14:paraId="4C2F4088">
      <w:pPr>
        <w:pStyle w:val="16"/>
        <w:numPr>
          <w:ilvl w:val="1"/>
          <w:numId w:val="1"/>
        </w:numPr>
        <w:spacing w:before="40" w:after="40" w:line="240" w:lineRule="exact"/>
        <w:ind w:left="1080" w:hanging="360"/>
      </w:pPr>
      <w:r>
        <w:rPr>
          <w:rFonts w:ascii="Arial" w:hAnsi="Arial"/>
          <w:b/>
          <w:color w:val="0D1F15"/>
          <w:sz w:val="21"/>
        </w:rPr>
        <w:t xml:space="preserve">Commodities Broker License: </w:t>
      </w:r>
      <w:r>
        <w:rPr>
          <w:rFonts w:ascii="Arial" w:hAnsi="Arial"/>
          <w:b w:val="0"/>
          <w:color w:val="0D1F15"/>
          <w:sz w:val="21"/>
        </w:rPr>
        <w:t>To intermediate trade consignments (requires a minimum paid-up share capital of UGX 70,000,000 and working capital of UGX 60,000,000).</w:t>
      </w:r>
    </w:p>
    <w:p w14:paraId="2ADC7BFC">
      <w:pPr>
        <w:spacing w:before="240" w:after="80" w:line="240" w:lineRule="exact"/>
      </w:pPr>
      <w:r>
        <w:rPr>
          <w:rFonts w:ascii="Arial" w:hAnsi="Arial"/>
          <w:b/>
          <w:color w:val="0D1F15"/>
          <w:sz w:val="26"/>
        </w:rPr>
        <w:t>19.3 Class-by-Class Regulatory Mapping</w:t>
      </w:r>
    </w:p>
    <w:p w14:paraId="60A34DAC">
      <w:pPr>
        <w:spacing w:before="120" w:after="60" w:line="240" w:lineRule="exact"/>
      </w:pPr>
      <w:r>
        <w:rPr>
          <w:rFonts w:ascii="Arial" w:hAnsi="Arial"/>
          <w:b/>
          <w:color w:val="1A7A45"/>
          <w:sz w:val="22"/>
        </w:rPr>
        <w:t>19.3.1 Real Estate (Rental Income &amp; Construction)</w:t>
      </w:r>
    </w:p>
    <w:p w14:paraId="6B6E4F33">
      <w:pPr>
        <w:spacing w:before="60" w:after="100" w:line="240" w:lineRule="exact"/>
      </w:pPr>
      <w:r>
        <w:rPr>
          <w:rFonts w:ascii="Arial" w:hAnsi="Arial"/>
          <w:color w:val="0D1F15"/>
          <w:sz w:val="22"/>
        </w:rPr>
        <w:t>Real estate fractionalization will be structured to comply with the Real Estate Investment Trusts (REITs) Regulations, 2017:</w:t>
      </w:r>
    </w:p>
    <w:p w14:paraId="743497C6">
      <w:pPr>
        <w:pStyle w:val="16"/>
        <w:numPr>
          <w:ilvl w:val="0"/>
          <w:numId w:val="1"/>
        </w:numPr>
        <w:spacing w:before="40" w:after="40" w:line="240" w:lineRule="exact"/>
        <w:ind w:left="720" w:hanging="360"/>
      </w:pPr>
      <w:r>
        <w:rPr>
          <w:rFonts w:ascii="Arial" w:hAnsi="Arial"/>
          <w:b/>
          <w:color w:val="0D1F15"/>
          <w:sz w:val="21"/>
        </w:rPr>
        <w:t xml:space="preserve">Income-Producing Rental Assets: </w:t>
      </w:r>
      <w:r>
        <w:rPr>
          <w:rFonts w:ascii="Arial" w:hAnsi="Arial"/>
          <w:b w:val="0"/>
          <w:color w:val="0D1F15"/>
          <w:sz w:val="21"/>
        </w:rPr>
        <w:t>Structured as a Real Estate Investment Trust (I-REIT) under Regulation 12. OwnIt will partner with a licensed REIT Manager (minimum paid-up capital of UGX 200,000,000) and an independent REIT Trustee (financial institution/insurance company).</w:t>
      </w:r>
    </w:p>
    <w:p w14:paraId="56BF9C2C">
      <w:pPr>
        <w:pStyle w:val="16"/>
        <w:numPr>
          <w:ilvl w:val="0"/>
          <w:numId w:val="1"/>
        </w:numPr>
        <w:spacing w:before="40" w:after="40" w:line="240" w:lineRule="exact"/>
        <w:ind w:left="720" w:hanging="360"/>
      </w:pPr>
      <w:r>
        <w:rPr>
          <w:rFonts w:ascii="Arial" w:hAnsi="Arial"/>
          <w:b/>
          <w:color w:val="0D1F15"/>
          <w:sz w:val="21"/>
        </w:rPr>
        <w:t xml:space="preserve">Construction &amp; Development Assets: </w:t>
      </w:r>
      <w:r>
        <w:rPr>
          <w:rFonts w:ascii="Arial" w:hAnsi="Arial"/>
          <w:b w:val="0"/>
          <w:color w:val="0D1F15"/>
          <w:sz w:val="21"/>
        </w:rPr>
        <w:t>Structured as a Development REIT (D-REIT) under Regulation 11, ensuring capital is locked only for the development duration and backed by physical land titles.</w:t>
      </w:r>
    </w:p>
    <w:p w14:paraId="0065D923">
      <w:pPr>
        <w:pStyle w:val="16"/>
        <w:numPr>
          <w:ilvl w:val="0"/>
          <w:numId w:val="1"/>
        </w:numPr>
        <w:spacing w:before="40" w:after="40" w:line="240" w:lineRule="exact"/>
        <w:ind w:left="720" w:hanging="360"/>
      </w:pPr>
      <w:r>
        <w:rPr>
          <w:rFonts w:ascii="Arial" w:hAnsi="Arial"/>
          <w:b/>
          <w:color w:val="0D1F15"/>
          <w:sz w:val="21"/>
        </w:rPr>
        <w:t xml:space="preserve">Alternative Debt Securitization: </w:t>
      </w:r>
      <w:r>
        <w:rPr>
          <w:rFonts w:ascii="Arial" w:hAnsi="Arial"/>
          <w:b w:val="0"/>
          <w:color w:val="0D1F15"/>
          <w:sz w:val="21"/>
        </w:rPr>
        <w:t>For property loan portfolios, the platform will utilize the CMA (Asset Backed Securities) Regulations, 2012, creating a Special Purpose Vehicle (SPV) with at least 1/3 independent directors and a licensed Trustee.</w:t>
      </w:r>
    </w:p>
    <w:p w14:paraId="6629E832">
      <w:pPr>
        <w:spacing w:before="120" w:after="60" w:line="240" w:lineRule="exact"/>
      </w:pPr>
      <w:r>
        <w:rPr>
          <w:rFonts w:ascii="Arial" w:hAnsi="Arial"/>
          <w:b/>
          <w:color w:val="1A7A45"/>
          <w:sz w:val="22"/>
        </w:rPr>
        <w:t>19.3.2 Petroleum &amp; Agricultural Commodities</w:t>
      </w:r>
    </w:p>
    <w:p w14:paraId="14F4E42C">
      <w:pPr>
        <w:spacing w:before="60" w:after="100" w:line="240" w:lineRule="exact"/>
      </w:pPr>
      <w:r>
        <w:rPr>
          <w:rFonts w:ascii="Arial" w:hAnsi="Arial"/>
          <w:color w:val="0D1F15"/>
          <w:sz w:val="22"/>
        </w:rPr>
        <w:t>Trading physical consignments of petroleum or grain will be structured to avoid classification as unregulated public securities:</w:t>
      </w:r>
    </w:p>
    <w:p w14:paraId="19DDE884">
      <w:pPr>
        <w:pStyle w:val="16"/>
        <w:numPr>
          <w:ilvl w:val="0"/>
          <w:numId w:val="1"/>
        </w:numPr>
        <w:spacing w:before="40" w:after="40" w:line="240" w:lineRule="exact"/>
        <w:ind w:left="720" w:hanging="360"/>
      </w:pPr>
      <w:r>
        <w:rPr>
          <w:rFonts w:ascii="Arial" w:hAnsi="Arial"/>
          <w:b/>
          <w:color w:val="0D1F15"/>
          <w:sz w:val="21"/>
        </w:rPr>
        <w:t xml:space="preserve">Lister Qualifications: </w:t>
      </w:r>
      <w:r>
        <w:rPr>
          <w:rFonts w:ascii="Arial" w:hAnsi="Arial"/>
          <w:b w:val="0"/>
          <w:color w:val="0D1F15"/>
          <w:sz w:val="21"/>
        </w:rPr>
        <w:t>Listers must hold valid operating licenses (e.g., Petroleum Authority of Uganda (PAU) licenses for petroleum, and MAAIF/NAADS certificates for agricultural cooperatives).</w:t>
      </w:r>
    </w:p>
    <w:p w14:paraId="4BBF38C1">
      <w:pPr>
        <w:pStyle w:val="16"/>
        <w:numPr>
          <w:ilvl w:val="0"/>
          <w:numId w:val="1"/>
        </w:numPr>
        <w:spacing w:before="40" w:after="40" w:line="240" w:lineRule="exact"/>
        <w:ind w:left="720" w:hanging="360"/>
      </w:pPr>
      <w:r>
        <w:rPr>
          <w:rFonts w:ascii="Arial" w:hAnsi="Arial"/>
          <w:b/>
          <w:color w:val="0D1F15"/>
          <w:sz w:val="21"/>
        </w:rPr>
        <w:t xml:space="preserve">No-Cash Requirement: </w:t>
      </w:r>
      <w:r>
        <w:rPr>
          <w:rFonts w:ascii="Arial" w:hAnsi="Arial"/>
          <w:b w:val="0"/>
          <w:color w:val="0D1F15"/>
          <w:sz w:val="21"/>
        </w:rPr>
        <w:t>In strict compliance with Regulation 24(10) of the CMA (Conduct of Business) Regulations, 2025, all deposits and withdrawals will be processed electronically via mobile money APIs or online bank transfers. Commingling is prevented by utilizing segregated client group accounts.</w:t>
      </w:r>
    </w:p>
    <w:p w14:paraId="2F8B12BC">
      <w:pPr>
        <w:spacing w:before="120" w:after="60" w:line="240" w:lineRule="exact"/>
      </w:pPr>
      <w:r>
        <w:rPr>
          <w:rFonts w:ascii="Arial" w:hAnsi="Arial"/>
          <w:b/>
          <w:color w:val="1A7A45"/>
          <w:sz w:val="22"/>
        </w:rPr>
        <w:t>19.3.3 Government Securities &amp; Listed Stocks</w:t>
      </w:r>
    </w:p>
    <w:p w14:paraId="4AF15473">
      <w:pPr>
        <w:pStyle w:val="16"/>
        <w:numPr>
          <w:ilvl w:val="0"/>
          <w:numId w:val="1"/>
        </w:numPr>
        <w:spacing w:before="40" w:after="40" w:line="240" w:lineRule="exact"/>
        <w:ind w:left="720" w:hanging="360"/>
      </w:pPr>
      <w:r>
        <w:rPr>
          <w:rFonts w:ascii="Arial" w:hAnsi="Arial"/>
          <w:b/>
          <w:color w:val="0D1F15"/>
          <w:sz w:val="21"/>
        </w:rPr>
        <w:t xml:space="preserve">Depository &amp; Settlement: </w:t>
      </w:r>
      <w:r>
        <w:rPr>
          <w:rFonts w:ascii="Arial" w:hAnsi="Arial"/>
          <w:b w:val="0"/>
          <w:color w:val="0D1F15"/>
          <w:sz w:val="21"/>
        </w:rPr>
        <w:t>Listed equities and government bonds will be traded and settled strictly via CMA-licensed brokers who are members of the Uganda Securities Exchange (USE) and agents of the Securities Central Depository (SCD) under the SCD Regulations, 2009 (SI 38 of 2009).</w:t>
      </w:r>
    </w:p>
    <w:p w14:paraId="4D59DFCC">
      <w:pPr>
        <w:pStyle w:val="16"/>
        <w:numPr>
          <w:ilvl w:val="0"/>
          <w:numId w:val="1"/>
        </w:numPr>
        <w:spacing w:before="40" w:after="40" w:line="240" w:lineRule="exact"/>
        <w:ind w:left="720" w:hanging="360"/>
      </w:pPr>
      <w:r>
        <w:rPr>
          <w:rFonts w:ascii="Arial" w:hAnsi="Arial"/>
          <w:b/>
          <w:color w:val="0D1F15"/>
          <w:sz w:val="21"/>
        </w:rPr>
        <w:t xml:space="preserve">Retail Pooling: </w:t>
      </w:r>
      <w:r>
        <w:rPr>
          <w:rFonts w:ascii="Arial" w:hAnsi="Arial"/>
          <w:b w:val="0"/>
          <w:color w:val="0D1F15"/>
          <w:sz w:val="21"/>
        </w:rPr>
        <w:t>Retail funds pooled for bond auctions will be held by a CMA-licensed Custodian (minimum paid-up capital: UGX 1,650,000,000, working capital: UGX 200,000,000).</w:t>
      </w:r>
    </w:p>
    <w:p w14:paraId="7F787548">
      <w:pPr>
        <w:spacing w:before="120" w:after="60" w:line="240" w:lineRule="exact"/>
      </w:pPr>
      <w:r>
        <w:rPr>
          <w:rFonts w:ascii="Arial" w:hAnsi="Arial"/>
          <w:b/>
          <w:color w:val="1A7A45"/>
          <w:sz w:val="22"/>
        </w:rPr>
        <w:t>19.3.4 Foreign Exchange &amp; Currency Instruments</w:t>
      </w:r>
    </w:p>
    <w:p w14:paraId="789DBA49">
      <w:pPr>
        <w:pStyle w:val="16"/>
        <w:numPr>
          <w:ilvl w:val="0"/>
          <w:numId w:val="1"/>
        </w:numPr>
        <w:spacing w:before="40" w:after="40" w:line="240" w:lineRule="exact"/>
        <w:ind w:left="720" w:hanging="360"/>
      </w:pPr>
      <w:r>
        <w:rPr>
          <w:rFonts w:ascii="Arial" w:hAnsi="Arial"/>
          <w:b/>
          <w:color w:val="0D1F15"/>
          <w:sz w:val="21"/>
        </w:rPr>
        <w:t xml:space="preserve">Forex Licensing: </w:t>
      </w:r>
      <w:r>
        <w:rPr>
          <w:rFonts w:ascii="Arial" w:hAnsi="Arial"/>
          <w:b w:val="0"/>
          <w:color w:val="0D1F15"/>
          <w:sz w:val="21"/>
        </w:rPr>
        <w:t>Listers for currency forwards or diaspora remittance instruments must be banks or forex bureaus licensed by the Bank of Uganda (BoU) under the Foreign Exchange Act, 2004.</w:t>
      </w:r>
    </w:p>
    <w:p w14:paraId="6E382C23">
      <w:pPr>
        <w:pStyle w:val="16"/>
        <w:numPr>
          <w:ilvl w:val="0"/>
          <w:numId w:val="1"/>
        </w:numPr>
        <w:spacing w:before="40" w:after="40" w:line="240" w:lineRule="exact"/>
        <w:ind w:left="720" w:hanging="360"/>
      </w:pPr>
      <w:r>
        <w:rPr>
          <w:rFonts w:ascii="Arial" w:hAnsi="Arial"/>
          <w:b/>
          <w:color w:val="0D1F15"/>
          <w:sz w:val="21"/>
        </w:rPr>
        <w:t xml:space="preserve">Derivatives Compliance: </w:t>
      </w:r>
      <w:r>
        <w:rPr>
          <w:rFonts w:ascii="Arial" w:hAnsi="Arial"/>
          <w:b w:val="0"/>
          <w:color w:val="0D1F15"/>
          <w:sz w:val="21"/>
        </w:rPr>
        <w:t>Any structured currency options will comply with the CMA Guidelines on Derivatives.</w:t>
      </w:r>
    </w:p>
    <w:p w14:paraId="28DA0160">
      <w:pPr>
        <w:spacing w:before="120" w:after="60" w:line="240" w:lineRule="exact"/>
      </w:pPr>
      <w:r>
        <w:rPr>
          <w:rFonts w:ascii="Arial" w:hAnsi="Arial"/>
          <w:b/>
          <w:color w:val="1A7A45"/>
          <w:sz w:val="22"/>
        </w:rPr>
        <w:t>19.3.5 Rare Earth Minerals</w:t>
      </w:r>
    </w:p>
    <w:p w14:paraId="48C3CE15">
      <w:pPr>
        <w:pStyle w:val="16"/>
        <w:numPr>
          <w:ilvl w:val="0"/>
          <w:numId w:val="1"/>
        </w:numPr>
        <w:spacing w:before="40" w:after="40" w:line="240" w:lineRule="exact"/>
        <w:ind w:left="720" w:hanging="360"/>
      </w:pPr>
      <w:r>
        <w:rPr>
          <w:rFonts w:ascii="Arial" w:hAnsi="Arial"/>
          <w:b/>
          <w:color w:val="0D1F15"/>
          <w:sz w:val="21"/>
        </w:rPr>
        <w:t xml:space="preserve">Mining &amp; Trade Compliance: </w:t>
      </w:r>
      <w:r>
        <w:rPr>
          <w:rFonts w:ascii="Arial" w:hAnsi="Arial"/>
          <w:b w:val="0"/>
          <w:color w:val="0D1F15"/>
          <w:sz w:val="21"/>
        </w:rPr>
        <w:t>Listers must hold valid mineral dealer or mining licenses from the Department of Geological Survey and Mines (DGSM) under the Mining and Minerals Act, 2022.</w:t>
      </w:r>
    </w:p>
    <w:p w14:paraId="09967293">
      <w:pPr>
        <w:pStyle w:val="16"/>
        <w:numPr>
          <w:ilvl w:val="0"/>
          <w:numId w:val="1"/>
        </w:numPr>
        <w:spacing w:before="40" w:after="40" w:line="240" w:lineRule="exact"/>
        <w:ind w:left="720" w:hanging="360"/>
      </w:pPr>
      <w:r>
        <w:rPr>
          <w:rFonts w:ascii="Arial" w:hAnsi="Arial"/>
          <w:b/>
          <w:color w:val="0D1F15"/>
          <w:sz w:val="21"/>
        </w:rPr>
        <w:t xml:space="preserve">Sourcing Verification: </w:t>
      </w:r>
      <w:r>
        <w:rPr>
          <w:rFonts w:ascii="Arial" w:hAnsi="Arial"/>
          <w:b w:val="0"/>
          <w:color w:val="0D1F15"/>
          <w:sz w:val="21"/>
        </w:rPr>
        <w:t>OwnIt enforces conflict-free sourcing certifications (3TG compliance) and assay certifications from certified independent laboratories.</w:t>
      </w:r>
    </w:p>
    <w:p w14:paraId="2EE57475">
      <w:pPr>
        <w:spacing w:before="120" w:after="60" w:line="240" w:lineRule="exact"/>
      </w:pPr>
      <w:r>
        <w:rPr>
          <w:rFonts w:ascii="Arial" w:hAnsi="Arial"/>
          <w:b/>
          <w:color w:val="1A7A45"/>
          <w:sz w:val="22"/>
        </w:rPr>
        <w:t>19.3.6 SME Equity &amp; Crowdfunded Loans</w:t>
      </w:r>
    </w:p>
    <w:p w14:paraId="66872CCB">
      <w:pPr>
        <w:pStyle w:val="16"/>
        <w:numPr>
          <w:ilvl w:val="0"/>
          <w:numId w:val="1"/>
        </w:numPr>
        <w:spacing w:before="40" w:after="40" w:line="240" w:lineRule="exact"/>
        <w:ind w:left="720" w:hanging="360"/>
      </w:pPr>
      <w:r>
        <w:rPr>
          <w:rFonts w:ascii="Arial" w:hAnsi="Arial"/>
          <w:b/>
          <w:color w:val="0D1F15"/>
          <w:sz w:val="21"/>
        </w:rPr>
        <w:t xml:space="preserve">Prospectus Exemptions: </w:t>
      </w:r>
      <w:r>
        <w:rPr>
          <w:rFonts w:ascii="Arial" w:hAnsi="Arial"/>
          <w:b w:val="0"/>
          <w:color w:val="0D1F15"/>
          <w:sz w:val="21"/>
        </w:rPr>
        <w:t>To comply with the CMA (Offer of Securities) Regulations, 2025, public equity raises will be structured under Part VI (Private Placements). Each SME listing will use a Private Placement Memorandum (PPM) filed with the CMA (subject to a filing fee of UGX 2,000,000 under Schedule 3), exempting the offer from full prospectus requirements.</w:t>
      </w:r>
    </w:p>
    <w:p w14:paraId="0D59AB6C">
      <w:pPr>
        <w:pStyle w:val="16"/>
        <w:numPr>
          <w:ilvl w:val="0"/>
          <w:numId w:val="1"/>
        </w:numPr>
        <w:spacing w:before="40" w:after="40" w:line="240" w:lineRule="exact"/>
        <w:ind w:left="720" w:hanging="360"/>
      </w:pPr>
      <w:r>
        <w:rPr>
          <w:rFonts w:ascii="Arial" w:hAnsi="Arial"/>
          <w:b/>
          <w:color w:val="0D1F15"/>
          <w:sz w:val="21"/>
        </w:rPr>
        <w:t xml:space="preserve">Investment Limits: </w:t>
      </w:r>
      <w:r>
        <w:rPr>
          <w:rFonts w:ascii="Arial" w:hAnsi="Arial"/>
          <w:b w:val="0"/>
          <w:color w:val="0D1F15"/>
          <w:sz w:val="21"/>
        </w:rPr>
        <w:t>Individual retail allocations in SME private equity will be capped at a maximum of 20% of an investor’s platform portfolio to protect retail consumers.</w:t>
      </w:r>
    </w:p>
    <w:p w14:paraId="02B366A8">
      <w:pPr>
        <w:spacing w:before="240" w:after="80" w:line="240" w:lineRule="exact"/>
      </w:pPr>
      <w:r>
        <w:rPr>
          <w:rFonts w:ascii="Arial" w:hAnsi="Arial"/>
          <w:b/>
          <w:color w:val="0D1F15"/>
          <w:sz w:val="26"/>
        </w:rPr>
        <w:t>19.4 Institutional Governance &amp; Compliance Controls</w:t>
      </w:r>
    </w:p>
    <w:p w14:paraId="44259F6D">
      <w:pPr>
        <w:spacing w:before="120" w:after="60" w:line="240" w:lineRule="exact"/>
      </w:pPr>
      <w:r>
        <w:rPr>
          <w:rFonts w:ascii="Arial" w:hAnsi="Arial"/>
          <w:b/>
          <w:color w:val="1A7A45"/>
          <w:sz w:val="22"/>
        </w:rPr>
        <w:t>19.4.1 Fit and Proper Person Requirements</w:t>
      </w:r>
    </w:p>
    <w:p w14:paraId="66BBCB46">
      <w:pPr>
        <w:spacing w:before="60" w:after="100" w:line="240" w:lineRule="exact"/>
      </w:pPr>
      <w:r>
        <w:rPr>
          <w:rFonts w:ascii="Arial" w:hAnsi="Arial"/>
          <w:color w:val="0D1F15"/>
          <w:sz w:val="22"/>
        </w:rPr>
        <w:t>OwnIt’s board of directors, Chief Executive Officer, and senior managers will satisfy the Fit and Proper Criteria (Schedule 2, CMA Licensing Regulations, 2025). The assessment will cover:</w:t>
      </w:r>
    </w:p>
    <w:p w14:paraId="40D2398B">
      <w:pPr>
        <w:spacing w:before="40" w:after="60" w:line="240" w:lineRule="exact"/>
        <w:ind w:left="360"/>
      </w:pPr>
      <w:r>
        <w:rPr>
          <w:rFonts w:ascii="Arial" w:hAnsi="Arial"/>
          <w:b/>
          <w:color w:val="0D1F15"/>
          <w:sz w:val="22"/>
        </w:rPr>
        <w:t xml:space="preserve">1. Honesty, Integrity, and Reputation: </w:t>
      </w:r>
      <w:r>
        <w:rPr>
          <w:rFonts w:ascii="Arial" w:hAnsi="Arial"/>
          <w:b w:val="0"/>
          <w:color w:val="0D1F15"/>
          <w:sz w:val="22"/>
        </w:rPr>
        <w:t>Clear records (no criminal convictions, insolvency history, or regulatory censures).</w:t>
      </w:r>
    </w:p>
    <w:p w14:paraId="62E2BB66">
      <w:pPr>
        <w:spacing w:before="40" w:after="60" w:line="240" w:lineRule="exact"/>
        <w:ind w:left="360"/>
      </w:pPr>
      <w:r>
        <w:rPr>
          <w:rFonts w:ascii="Arial" w:hAnsi="Arial"/>
          <w:b/>
          <w:color w:val="0D1F15"/>
          <w:sz w:val="22"/>
        </w:rPr>
        <w:t xml:space="preserve">2. Competence and Capability: </w:t>
      </w:r>
      <w:r>
        <w:rPr>
          <w:rFonts w:ascii="Arial" w:hAnsi="Arial"/>
          <w:b w:val="0"/>
          <w:color w:val="0D1F15"/>
          <w:sz w:val="22"/>
        </w:rPr>
        <w:t>Relevant professional qualifications and at least 7 years of financial markets experience for the CEO.</w:t>
      </w:r>
    </w:p>
    <w:p w14:paraId="7EF9E561">
      <w:pPr>
        <w:spacing w:before="40" w:after="60" w:line="240" w:lineRule="exact"/>
        <w:ind w:left="360"/>
      </w:pPr>
      <w:r>
        <w:rPr>
          <w:rFonts w:ascii="Arial" w:hAnsi="Arial"/>
          <w:b/>
          <w:color w:val="0D1F15"/>
          <w:sz w:val="22"/>
        </w:rPr>
        <w:t xml:space="preserve">3. Financial Soundness: </w:t>
      </w:r>
      <w:r>
        <w:rPr>
          <w:rFonts w:ascii="Arial" w:hAnsi="Arial"/>
          <w:b w:val="0"/>
          <w:color w:val="0D1F15"/>
          <w:sz w:val="22"/>
        </w:rPr>
        <w:t>Freedom from outstanding judgment debts or bankruptcy filings.</w:t>
      </w:r>
    </w:p>
    <w:p w14:paraId="3EAE2CA0">
      <w:pPr>
        <w:spacing w:before="120" w:after="60" w:line="240" w:lineRule="exact"/>
      </w:pPr>
      <w:r>
        <w:rPr>
          <w:rFonts w:ascii="Arial" w:hAnsi="Arial"/>
          <w:b/>
          <w:color w:val="1A7A45"/>
          <w:sz w:val="22"/>
        </w:rPr>
        <w:t>19.4.2 Anti-Money Laundering (AML) &amp; Know Your Customer (KYC)</w:t>
      </w:r>
    </w:p>
    <w:p w14:paraId="74E65E05">
      <w:pPr>
        <w:pStyle w:val="16"/>
        <w:numPr>
          <w:ilvl w:val="0"/>
          <w:numId w:val="1"/>
        </w:numPr>
        <w:spacing w:before="40" w:after="40" w:line="240" w:lineRule="exact"/>
        <w:ind w:left="720" w:hanging="360"/>
      </w:pPr>
      <w:r>
        <w:rPr>
          <w:rFonts w:ascii="Arial" w:hAnsi="Arial"/>
          <w:b/>
          <w:color w:val="0D1F15"/>
          <w:sz w:val="21"/>
        </w:rPr>
        <w:t xml:space="preserve">FIA Registration: </w:t>
      </w:r>
      <w:r>
        <w:rPr>
          <w:rFonts w:ascii="Arial" w:hAnsi="Arial"/>
          <w:b w:val="0"/>
          <w:color w:val="0D1F15"/>
          <w:sz w:val="21"/>
        </w:rPr>
        <w:t>OwnIt will register as a reporting entity with the Financial Intelligence Authority (FIA) in compliance with the Anti-Money Laundering Act, 2013.</w:t>
      </w:r>
    </w:p>
    <w:p w14:paraId="7AD48501">
      <w:pPr>
        <w:pStyle w:val="16"/>
        <w:numPr>
          <w:ilvl w:val="0"/>
          <w:numId w:val="1"/>
        </w:numPr>
        <w:spacing w:before="40" w:after="40" w:line="240" w:lineRule="exact"/>
        <w:ind w:left="720" w:hanging="360"/>
      </w:pPr>
      <w:r>
        <w:rPr>
          <w:rFonts w:ascii="Arial" w:hAnsi="Arial"/>
          <w:b/>
          <w:color w:val="0D1F15"/>
          <w:sz w:val="21"/>
        </w:rPr>
        <w:t xml:space="preserve">Tiered KYC Controls: </w:t>
      </w:r>
      <w:r>
        <w:rPr>
          <w:rFonts w:ascii="Arial" w:hAnsi="Arial"/>
          <w:b w:val="0"/>
          <w:color w:val="0D1F15"/>
          <w:sz w:val="21"/>
        </w:rPr>
        <w:t>Low-tier users (up to UGX 1,000,000) are verified via mobile money registration. High-tier users must upload national IDs verified in real-time using the National Identification Number (NIN) API.</w:t>
      </w:r>
    </w:p>
    <w:p w14:paraId="35E0CFE2">
      <w:pPr>
        <w:spacing w:before="120" w:after="60" w:line="240" w:lineRule="exact"/>
      </w:pPr>
      <w:r>
        <w:rPr>
          <w:rFonts w:ascii="Arial" w:hAnsi="Arial"/>
          <w:b/>
          <w:color w:val="1A7A45"/>
          <w:sz w:val="22"/>
        </w:rPr>
        <w:t>19.4.3 Data Protection &amp; Privacy</w:t>
      </w:r>
    </w:p>
    <w:p w14:paraId="6394372B">
      <w:pPr>
        <w:spacing w:before="60" w:after="100" w:line="240" w:lineRule="exact"/>
      </w:pPr>
      <w:r>
        <w:rPr>
          <w:rFonts w:ascii="Arial" w:hAnsi="Arial"/>
          <w:color w:val="0D1F15"/>
          <w:sz w:val="22"/>
        </w:rPr>
        <w:t>OwnIt will implement data-sharing controls in strict compliance with the Data Protection and Privacy Act, 2019. The platform will register with the National Information Technology Authority (NITA-U) Data Protection Office, ensuring all NIN API data and investor records are encrypted and stored locally.</w:t>
      </w:r>
    </w:p>
    <w:p w14:paraId="1AB07B0C">
      <w:pPr>
        <w:spacing w:before="120" w:after="60" w:line="240" w:lineRule="exact"/>
      </w:pPr>
      <w:r>
        <w:rPr>
          <w:rFonts w:ascii="Arial" w:hAnsi="Arial"/>
          <w:b/>
          <w:color w:val="1A7A45"/>
          <w:sz w:val="22"/>
        </w:rPr>
        <w:t>19.4.4 Investor Protection &amp; Dispute Resolution</w:t>
      </w:r>
    </w:p>
    <w:p w14:paraId="06E9002F">
      <w:pPr>
        <w:pStyle w:val="16"/>
        <w:numPr>
          <w:ilvl w:val="0"/>
          <w:numId w:val="1"/>
        </w:numPr>
        <w:spacing w:before="40" w:after="40" w:line="240" w:lineRule="exact"/>
        <w:ind w:left="720" w:hanging="360"/>
      </w:pPr>
      <w:r>
        <w:rPr>
          <w:rFonts w:ascii="Arial" w:hAnsi="Arial"/>
          <w:b/>
          <w:color w:val="0D1F15"/>
          <w:sz w:val="21"/>
        </w:rPr>
        <w:t xml:space="preserve">Compensation Fund: </w:t>
      </w:r>
      <w:r>
        <w:rPr>
          <w:rFonts w:ascii="Arial" w:hAnsi="Arial"/>
          <w:b w:val="0"/>
          <w:color w:val="0D1F15"/>
          <w:sz w:val="21"/>
        </w:rPr>
        <w:t>OwnIt will contribute to the CMA Investor Compensation Fund to protect retail investors against intermediary default or fraud.</w:t>
      </w:r>
    </w:p>
    <w:p w14:paraId="013A43BC">
      <w:pPr>
        <w:pStyle w:val="16"/>
        <w:numPr>
          <w:ilvl w:val="0"/>
          <w:numId w:val="1"/>
        </w:numPr>
        <w:spacing w:before="40" w:after="40" w:line="240" w:lineRule="exact"/>
        <w:ind w:left="720" w:hanging="360"/>
      </w:pPr>
      <w:r>
        <w:rPr>
          <w:rFonts w:ascii="Arial" w:hAnsi="Arial"/>
          <w:b/>
          <w:color w:val="0D1F15"/>
          <w:sz w:val="21"/>
        </w:rPr>
        <w:t xml:space="preserve">Escrow-Based Disbursal: </w:t>
      </w:r>
      <w:r>
        <w:rPr>
          <w:rFonts w:ascii="Arial" w:hAnsi="Arial"/>
          <w:b w:val="0"/>
          <w:color w:val="0D1F15"/>
          <w:sz w:val="21"/>
        </w:rPr>
        <w:t>Lister payouts are managed through milestone-based escrow accounts, preventing capital diversion.</w:t>
      </w:r>
    </w:p>
    <w:p w14:paraId="45D415B4">
      <w:pPr>
        <w:pStyle w:val="16"/>
        <w:numPr>
          <w:ilvl w:val="0"/>
          <w:numId w:val="1"/>
        </w:numPr>
        <w:spacing w:before="40" w:after="40" w:line="240" w:lineRule="exact"/>
        <w:ind w:left="720" w:hanging="360"/>
      </w:pPr>
      <w:r>
        <w:rPr>
          <w:rFonts w:ascii="Arial" w:hAnsi="Arial"/>
          <w:b/>
          <w:color w:val="0D1F15"/>
          <w:sz w:val="21"/>
        </w:rPr>
        <w:t xml:space="preserve">Escalation Path: </w:t>
      </w:r>
      <w:r>
        <w:rPr>
          <w:rFonts w:ascii="Arial" w:hAnsi="Arial"/>
          <w:b w:val="0"/>
          <w:color w:val="0D1F15"/>
          <w:sz w:val="21"/>
        </w:rPr>
        <w:t>Disputes will be handled via an in-app dispute portal, with a secondary appeal path to the CMA and the High Court.</w:t>
      </w:r>
    </w:p>
    <w:p w14:paraId="0C9ABB00">
      <w:pPr>
        <w:spacing w:before="240" w:after="80" w:line="240" w:lineRule="exact"/>
      </w:pPr>
      <w:r>
        <w:rPr>
          <w:rFonts w:ascii="Arial" w:hAnsi="Arial"/>
          <w:b/>
          <w:color w:val="0D1F15"/>
          <w:sz w:val="26"/>
        </w:rPr>
        <w:t>19.5 NSSF Partnership &amp; URBRA Alignment</w:t>
      </w:r>
    </w:p>
    <w:p w14:paraId="673EE3C5">
      <w:pPr>
        <w:pStyle w:val="16"/>
        <w:numPr>
          <w:ilvl w:val="0"/>
          <w:numId w:val="1"/>
        </w:numPr>
        <w:spacing w:before="40" w:after="40" w:line="240" w:lineRule="exact"/>
        <w:ind w:left="720" w:hanging="360"/>
      </w:pPr>
      <w:r>
        <w:rPr>
          <w:rFonts w:ascii="Arial" w:hAnsi="Arial"/>
          <w:b/>
          <w:color w:val="0D1F15"/>
          <w:sz w:val="21"/>
        </w:rPr>
        <w:t xml:space="preserve">Retirement Savings Pot: </w:t>
      </w:r>
      <w:r>
        <w:rPr>
          <w:rFonts w:ascii="Arial" w:hAnsi="Arial"/>
          <w:b w:val="0"/>
          <w:color w:val="0D1F15"/>
          <w:sz w:val="21"/>
        </w:rPr>
        <w:t>The 2% pension levy collected from investor payouts will be swept directly to NSSF. NSSF, as a retirement benefits scheme licensed under the Uganda Retirement Benefits Regulatory Authority (URBRA) Act, 2011, will credit these contributions to the member's retirement account.</w:t>
      </w:r>
    </w:p>
    <w:p w14:paraId="3F6D1222">
      <w:pPr>
        <w:pStyle w:val="16"/>
        <w:numPr>
          <w:ilvl w:val="0"/>
          <w:numId w:val="1"/>
        </w:numPr>
        <w:spacing w:before="40" w:after="40" w:line="240" w:lineRule="exact"/>
        <w:ind w:left="720" w:hanging="360"/>
      </w:pPr>
      <w:r>
        <w:rPr>
          <w:rFonts w:ascii="Arial" w:hAnsi="Arial"/>
          <w:b/>
          <w:color w:val="0D1F15"/>
          <w:sz w:val="21"/>
        </w:rPr>
        <w:t xml:space="preserve">Auto-Enrollment Compliance: </w:t>
      </w:r>
      <w:r>
        <w:rPr>
          <w:rFonts w:ascii="Arial" w:hAnsi="Arial"/>
          <w:b w:val="0"/>
          <w:color w:val="0D1F15"/>
          <w:sz w:val="21"/>
        </w:rPr>
        <w:t>The NIN API auto-enrollment will comply with NSSF’s registration policies, feeding the member database at zero friction.</w:t>
      </w:r>
    </w:p>
    <w:p w14:paraId="6A0B1E41">
      <w:pPr>
        <w:pStyle w:val="16"/>
        <w:numPr>
          <w:ilvl w:val="0"/>
          <w:numId w:val="1"/>
        </w:numPr>
        <w:spacing w:before="40" w:after="40" w:line="240" w:lineRule="exact"/>
        <w:ind w:left="720" w:hanging="360"/>
      </w:pPr>
      <w:r>
        <w:rPr>
          <w:rFonts w:ascii="Arial" w:hAnsi="Arial"/>
          <w:b/>
          <w:color w:val="0D1F15"/>
          <w:sz w:val="21"/>
        </w:rPr>
        <w:t xml:space="preserve">Asset Admissions Committee: </w:t>
      </w:r>
      <w:r>
        <w:rPr>
          <w:rFonts w:ascii="Arial" w:hAnsi="Arial"/>
          <w:b w:val="0"/>
          <w:color w:val="0D1F15"/>
          <w:sz w:val="21"/>
        </w:rPr>
        <w:t>To protect NSSF’s brand, an NSSF nominee will sit on the Asset Admissions Committee, holding a veto over any listings in the Open Asset Class that pose reputational or regulatory risks.</w:t>
      </w:r>
    </w:p>
    <w:p w14:paraId="7B94C54B">
      <w:pPr>
        <w:pStyle w:val="16"/>
        <w:numPr>
          <w:numId w:val="0"/>
        </w:numPr>
        <w:spacing w:before="40" w:after="40" w:line="240" w:lineRule="exact"/>
        <w:rPr>
          <w:rFonts w:ascii="Arial" w:hAnsi="Arial"/>
          <w:b w:val="0"/>
          <w:color w:val="0D1F15"/>
          <w:sz w:val="21"/>
        </w:rPr>
      </w:pPr>
    </w:p>
    <w:p w14:paraId="2F7D7F64">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6</w:t>
      </w:r>
      <w:r>
        <w:rPr>
          <w:rFonts w:ascii="Arial" w:hAnsi="Arial" w:eastAsia="Arial" w:cs="Arial"/>
          <w:b/>
          <w:bCs/>
          <w:color w:val="1A7A45"/>
          <w:sz w:val="32"/>
          <w:szCs w:val="32"/>
        </w:rPr>
        <w:t>. Why Now</w:t>
      </w:r>
    </w:p>
    <w:p w14:paraId="3A5BDECC">
      <w:pPr>
        <w:pBdr>
          <w:bottom w:val="single" w:color="1A7A45" w:sz="12" w:space="1"/>
        </w:pBdr>
        <w:spacing w:before="60" w:after="60"/>
      </w:pPr>
    </w:p>
    <w:p w14:paraId="7E4CC7F6">
      <w:pPr>
        <w:spacing w:before="240" w:after="80"/>
        <w:rPr>
          <w:color w:val="0D1F15"/>
        </w:rPr>
      </w:pPr>
      <w:r>
        <w:rPr>
          <w:rFonts w:ascii="Arial" w:hAnsi="Arial" w:eastAsia="Arial" w:cs="Arial"/>
          <w:b/>
          <w:bCs/>
          <w:color w:val="0D1F15"/>
          <w:sz w:val="26"/>
          <w:szCs w:val="26"/>
        </w:rPr>
        <w:t>Force 1: Gen Z’s Wealth Gap Is Widening by the Day</w:t>
      </w:r>
    </w:p>
    <w:p w14:paraId="06EE4493">
      <w:pPr>
        <w:spacing w:before="60" w:after="80"/>
        <w:jc w:val="left"/>
        <w:rPr>
          <w:color w:val="0D1F15"/>
        </w:rPr>
      </w:pPr>
      <w:r>
        <w:rPr>
          <w:rFonts w:ascii="Arial" w:hAnsi="Arial" w:eastAsia="Arial" w:cs="Arial"/>
          <w:b w:val="0"/>
          <w:bCs w:val="0"/>
          <w:color w:val="0D1F15"/>
          <w:sz w:val="22"/>
          <w:szCs w:val="22"/>
        </w:rPr>
        <w:t>Uganda’s youth face their worst economic environment in a generation. Without accessible, near-term, mobile-first investment products, this generation will build its financial habits around informal mechanisms — betting, chamas, informal lending — that build no long-term wealth. Financial habits formed at 22 last a lifetime. NSSF’s window to capture this demographic is closing.</w:t>
      </w:r>
    </w:p>
    <w:p w14:paraId="6F7113A1">
      <w:pPr>
        <w:spacing w:before="240" w:after="80"/>
        <w:rPr>
          <w:color w:val="0D1F15"/>
        </w:rPr>
      </w:pPr>
      <w:r>
        <w:rPr>
          <w:rFonts w:ascii="Arial" w:hAnsi="Arial" w:eastAsia="Arial" w:cs="Arial"/>
          <w:b/>
          <w:bCs/>
          <w:color w:val="0D1F15"/>
          <w:sz w:val="26"/>
          <w:szCs w:val="26"/>
        </w:rPr>
        <w:t>Force 2: SmartLife Flexi Has Proven the Market Is Ready</w:t>
      </w:r>
    </w:p>
    <w:p w14:paraId="00299AA1">
      <w:pPr>
        <w:spacing w:before="60" w:after="80"/>
        <w:jc w:val="left"/>
        <w:rPr>
          <w:color w:val="0D1F15"/>
        </w:rPr>
      </w:pPr>
      <w:r>
        <w:rPr>
          <w:rFonts w:ascii="Arial" w:hAnsi="Arial" w:eastAsia="Arial" w:cs="Arial"/>
          <w:b w:val="0"/>
          <w:bCs w:val="0"/>
          <w:color w:val="0D1F15"/>
          <w:sz w:val="22"/>
          <w:szCs w:val="22"/>
        </w:rPr>
        <w:t>SmartLife Flexi’s UGX 5 billion in 3 months is the clearest possible market signal. Uganda’s informal sector will engage with NSSF’s products when those products are accessible, digital, and relevant. OwnIt is the next, more powerful version of that proposition: not just save, but own. Not just earn interest, but earn returns from real assets.</w:t>
      </w:r>
    </w:p>
    <w:p w14:paraId="3DD79970">
      <w:pPr>
        <w:spacing w:before="240" w:after="80"/>
        <w:rPr>
          <w:color w:val="0D1F15"/>
        </w:rPr>
      </w:pPr>
      <w:r>
        <w:rPr>
          <w:rFonts w:ascii="Arial" w:hAnsi="Arial" w:eastAsia="Arial" w:cs="Arial"/>
          <w:b/>
          <w:bCs/>
          <w:color w:val="0D1F15"/>
          <w:sz w:val="26"/>
          <w:szCs w:val="26"/>
        </w:rPr>
        <w:t>Force 3: Mobile Money Enables What Was Previously Impossible</w:t>
      </w:r>
    </w:p>
    <w:p w14:paraId="18F281FC">
      <w:pPr>
        <w:spacing w:before="60" w:after="80"/>
        <w:jc w:val="left"/>
        <w:rPr>
          <w:color w:val="0D1F15"/>
        </w:rPr>
      </w:pPr>
      <w:r>
        <w:rPr>
          <w:rFonts w:ascii="Arial" w:hAnsi="Arial" w:eastAsia="Arial" w:cs="Arial"/>
          <w:b w:val="0"/>
          <w:bCs w:val="0"/>
          <w:color w:val="0D1F15"/>
          <w:sz w:val="22"/>
          <w:szCs w:val="22"/>
        </w:rPr>
        <w:t>Uganda now has 30M+ mobile money accounts. MTN MoMo and Airtel Money process UGX 200T+ annually. The distributed payment infrastructure that makes crowd-investment work at scale, for informal workers, in rural areas, exists today. OwnIt is built on infrastructure that is already in every Ugandan’s pocket.</w:t>
      </w:r>
    </w:p>
    <w:p w14:paraId="127C7056">
      <w:pPr>
        <w:spacing w:before="240" w:after="80"/>
        <w:rPr>
          <w:color w:val="0D1F15"/>
        </w:rPr>
      </w:pPr>
      <w:r>
        <w:rPr>
          <w:rFonts w:ascii="Arial" w:hAnsi="Arial" w:eastAsia="Arial" w:cs="Arial"/>
          <w:b/>
          <w:bCs/>
          <w:color w:val="0D1F15"/>
          <w:sz w:val="26"/>
          <w:szCs w:val="26"/>
        </w:rPr>
        <w:t>Force 4: Uganda’s Asset Markets Are Booming but Inaccessible</w:t>
      </w:r>
    </w:p>
    <w:p w14:paraId="0F346457">
      <w:pPr>
        <w:spacing w:before="60" w:after="80"/>
        <w:jc w:val="left"/>
        <w:rPr>
          <w:color w:val="0D1F15"/>
        </w:rPr>
      </w:pPr>
      <w:r>
        <w:rPr>
          <w:rFonts w:ascii="Arial" w:hAnsi="Arial" w:eastAsia="Arial" w:cs="Arial"/>
          <w:b w:val="0"/>
          <w:bCs w:val="0"/>
          <w:color w:val="0D1F15"/>
          <w:sz w:val="22"/>
          <w:szCs w:val="22"/>
        </w:rPr>
        <w:t>Government bond yields at 16–18%, agricultural export margins at 25–45%, mineral exports at $700M and growing, the Kampala property boom, and a resurgent USE — Uganda’s asset markets are generating exceptional returns. But these returns flow to institutions and the wealthy. OwnIt democratises access to these returns for the 80% of Ugandans currently excluded.</w:t>
      </w:r>
    </w:p>
    <w:p w14:paraId="6E4AB649">
      <w:pPr>
        <w:spacing w:before="240" w:after="80"/>
        <w:rPr>
          <w:color w:val="0D1F15"/>
        </w:rPr>
      </w:pPr>
      <w:r>
        <w:rPr>
          <w:rFonts w:ascii="Arial" w:hAnsi="Arial" w:eastAsia="Arial" w:cs="Arial"/>
          <w:b/>
          <w:bCs/>
          <w:color w:val="0D1F15"/>
          <w:sz w:val="26"/>
          <w:szCs w:val="26"/>
        </w:rPr>
        <w:t>Force 5: NSSF’s 2035 Clock Is Running</w:t>
      </w:r>
    </w:p>
    <w:p w14:paraId="56AAEA74">
      <w:pPr>
        <w:spacing w:before="60" w:after="100"/>
        <w:jc w:val="left"/>
        <w:rPr>
          <w:color w:val="0D1F15"/>
        </w:rPr>
      </w:pPr>
      <w:r>
        <w:rPr>
          <w:rFonts w:ascii="Arial" w:hAnsi="Arial" w:eastAsia="Arial" w:cs="Arial"/>
          <w:b w:val="0"/>
          <w:bCs w:val="0"/>
          <w:color w:val="0D1F15"/>
          <w:sz w:val="22"/>
          <w:szCs w:val="22"/>
        </w:rPr>
        <w:t>NSSF needs 300,000 new members per year for nine consecutive years. Organic growth will not deliver this. A new product vehicle, designed for Gen Z and the informal sector, with a built-in auto-enrollment mechanism, is the only scalable solution. OwnIt can be operational within six months of MOU signing. Every month of delay is 40,000+ potential auto-enrolled members foregone — each of whom would have been building a pension pot via the 2% levy from their very first payout.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C8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nil"/>
              <w:left w:val="nil"/>
              <w:bottom w:val="nil"/>
              <w:right w:val="nil"/>
            </w:tcBorders>
            <w:shd w:val="clear" w:color="auto" w:fill="FFF3D0"/>
            <w:tcMar>
              <w:top w:w="120" w:type="dxa"/>
              <w:left w:w="200" w:type="dxa"/>
              <w:bottom w:w="40" w:type="dxa"/>
              <w:right w:w="160" w:type="dxa"/>
            </w:tcMar>
          </w:tcPr>
          <w:p w14:paraId="7E38CF1F">
            <w:pPr>
              <w:rPr>
                <w:color w:val="0D1F15"/>
              </w:rPr>
            </w:pPr>
            <w:r>
              <w:rPr>
                <w:rFonts w:ascii="Arial" w:hAnsi="Arial" w:eastAsia="Arial" w:cs="Arial"/>
                <w:color w:val="0D1F15"/>
                <w:sz w:val="21"/>
                <w:szCs w:val="21"/>
              </w:rPr>
              <w:t>The question is not whether a crowd-investment platform like OwnIt Uganda will be built.</w:t>
            </w:r>
          </w:p>
        </w:tc>
      </w:tr>
      <w:tr w14:paraId="79E1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23AF0E81">
            <w:pPr>
              <w:rPr>
                <w:color w:val="0D1F15"/>
              </w:rPr>
            </w:pPr>
            <w:r>
              <w:rPr>
                <w:rFonts w:ascii="Arial" w:hAnsi="Arial" w:eastAsia="Arial" w:cs="Arial"/>
                <w:color w:val="0D1F15"/>
                <w:sz w:val="21"/>
                <w:szCs w:val="21"/>
              </w:rPr>
              <w:t>The question is whether NSSF will be a founding partner — earning the revenue, gaining the members,</w:t>
            </w:r>
          </w:p>
        </w:tc>
      </w:tr>
      <w:tr w14:paraId="69DA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40" w:type="dxa"/>
              <w:right w:w="160" w:type="dxa"/>
            </w:tcMar>
          </w:tcPr>
          <w:p w14:paraId="6E5DB16D">
            <w:pPr>
              <w:rPr>
                <w:color w:val="0D1F15"/>
              </w:rPr>
            </w:pPr>
            <w:r>
              <w:rPr>
                <w:rFonts w:ascii="Arial" w:hAnsi="Arial" w:eastAsia="Arial" w:cs="Arial"/>
                <w:color w:val="0D1F15"/>
                <w:sz w:val="21"/>
                <w:szCs w:val="21"/>
              </w:rPr>
              <w:t>deepening SmartLife Flexi adoption, and shaping Uganda’s most important new financial product —</w:t>
            </w:r>
          </w:p>
        </w:tc>
      </w:tr>
      <w:tr w14:paraId="5A36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FFF3D0"/>
            <w:tcMar>
              <w:top w:w="40" w:type="dxa"/>
              <w:left w:w="200" w:type="dxa"/>
              <w:bottom w:w="120" w:type="dxa"/>
              <w:right w:w="160" w:type="dxa"/>
            </w:tcMar>
          </w:tcPr>
          <w:p w14:paraId="0091F278">
            <w:pPr>
              <w:rPr>
                <w:color w:val="0D1F15"/>
              </w:rPr>
            </w:pPr>
            <w:r>
              <w:rPr>
                <w:rFonts w:ascii="Arial" w:hAnsi="Arial" w:eastAsia="Arial" w:cs="Arial"/>
                <w:color w:val="0D1F15"/>
                <w:sz w:val="21"/>
                <w:szCs w:val="21"/>
              </w:rPr>
              <w:t>or watching from the outside as a competitor does it instead.</w:t>
            </w:r>
          </w:p>
        </w:tc>
      </w:tr>
    </w:tbl>
    <w:p w14:paraId="3349A3E4">
      <w:pPr>
        <w:spacing w:before="80" w:after="0"/>
      </w:pPr>
    </w:p>
    <w:p w14:paraId="78407ACB">
      <w:r>
        <w:br w:type="page"/>
      </w:r>
    </w:p>
    <w:p w14:paraId="61D17A34">
      <w:pPr>
        <w:pStyle w:val="2"/>
        <w:spacing w:before="360" w:after="120"/>
      </w:pPr>
      <w:r>
        <w:rPr>
          <w:rFonts w:ascii="Arial" w:hAnsi="Arial" w:eastAsia="Arial" w:cs="Arial"/>
          <w:b/>
          <w:bCs/>
          <w:color w:val="1A7A45"/>
          <w:sz w:val="32"/>
          <w:szCs w:val="32"/>
        </w:rPr>
        <w:t>1</w:t>
      </w:r>
      <w:r>
        <w:rPr>
          <w:rFonts w:hint="default" w:cs="Arial"/>
          <w:b/>
          <w:bCs/>
          <w:color w:val="1A7A45"/>
          <w:sz w:val="32"/>
          <w:szCs w:val="32"/>
          <w:lang w:val="en-US"/>
        </w:rPr>
        <w:t>7</w:t>
      </w:r>
      <w:r>
        <w:rPr>
          <w:rFonts w:ascii="Arial" w:hAnsi="Arial" w:eastAsia="Arial" w:cs="Arial"/>
          <w:b/>
          <w:bCs/>
          <w:color w:val="1A7A45"/>
          <w:sz w:val="32"/>
          <w:szCs w:val="32"/>
        </w:rPr>
        <w:t>. Conclusion &amp; Proposed Next Steps</w:t>
      </w:r>
    </w:p>
    <w:p w14:paraId="7F53641B">
      <w:pPr>
        <w:pBdr>
          <w:bottom w:val="single" w:color="1A7A45" w:sz="12" w:space="1"/>
        </w:pBdr>
        <w:spacing w:before="60" w:after="60"/>
      </w:pPr>
    </w:p>
    <w:p w14:paraId="035A07FD">
      <w:pPr>
        <w:spacing w:before="60" w:after="100"/>
        <w:jc w:val="left"/>
        <w:rPr>
          <w:color w:val="0D1F15"/>
        </w:rPr>
      </w:pPr>
      <w:r>
        <w:rPr>
          <w:rFonts w:ascii="Arial" w:hAnsi="Arial" w:eastAsia="Arial" w:cs="Arial"/>
          <w:b w:val="0"/>
          <w:bCs w:val="0"/>
          <w:color w:val="0D1F15"/>
          <w:sz w:val="22"/>
          <w:szCs w:val="22"/>
        </w:rPr>
        <w:t>OwnIt Uganda is not simply another fintech app. It is a new infrastructure layer for Uganda’s financial economy — one that makes every income-generating asset class in the country accessible to every Ugandan, regardless of income, employment, or financial history, starting from UGX 50,000. For NSSF, the partnership is a rare alignment of institutional mission and commercial opportunity. And uniquely, it is an alignment that actively strengthens NSSF’s own SmartLife Flexi product — not as a competitor, but as the most powerful acquisition engine SmartLife Flexi has ever had.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E32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1A7A45"/>
            <w:tcMar>
              <w:top w:w="80" w:type="dxa"/>
              <w:left w:w="120" w:type="dxa"/>
              <w:bottom w:w="80" w:type="dxa"/>
              <w:right w:w="120" w:type="dxa"/>
            </w:tcMar>
            <w:vAlign w:val="center"/>
          </w:tcPr>
          <w:p w14:paraId="307889D8">
            <w:pPr>
              <w:jc w:val="left"/>
              <w:rPr>
                <w:color w:val="0D1F15"/>
              </w:rPr>
            </w:pPr>
            <w:r>
              <w:rPr>
                <w:rFonts w:ascii="Arial" w:hAnsi="Arial" w:eastAsia="Arial" w:cs="Arial"/>
                <w:b/>
                <w:bCs/>
                <w:color w:val="FFFFFF"/>
                <w:sz w:val="19"/>
                <w:szCs w:val="19"/>
              </w:rPr>
              <w:t>What NSSF Contributes</w:t>
            </w:r>
          </w:p>
        </w:tc>
        <w:tc>
          <w:tcPr>
            <w:tcW w:w="4680" w:type="dxa"/>
            <w:tcBorders>
              <w:top w:val="nil"/>
              <w:left w:val="nil"/>
              <w:bottom w:val="nil"/>
              <w:right w:val="nil"/>
            </w:tcBorders>
            <w:shd w:val="clear" w:color="auto" w:fill="1A7A45"/>
            <w:tcMar>
              <w:top w:w="80" w:type="dxa"/>
              <w:left w:w="120" w:type="dxa"/>
              <w:bottom w:w="80" w:type="dxa"/>
              <w:right w:w="120" w:type="dxa"/>
            </w:tcMar>
            <w:vAlign w:val="center"/>
          </w:tcPr>
          <w:p w14:paraId="6FD32F8F">
            <w:pPr>
              <w:jc w:val="left"/>
              <w:rPr>
                <w:color w:val="0D1F15"/>
              </w:rPr>
            </w:pPr>
            <w:r>
              <w:rPr>
                <w:rFonts w:ascii="Arial" w:hAnsi="Arial" w:eastAsia="Arial" w:cs="Arial"/>
                <w:b/>
                <w:bCs/>
                <w:color w:val="FFFFFF"/>
                <w:sz w:val="19"/>
                <w:szCs w:val="19"/>
              </w:rPr>
              <w:t>What NSSF Receives</w:t>
            </w:r>
          </w:p>
        </w:tc>
      </w:tr>
      <w:tr w14:paraId="593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8E99002">
            <w:pPr>
              <w:jc w:val="left"/>
              <w:rPr>
                <w:color w:val="0D1F15"/>
              </w:rPr>
            </w:pPr>
            <w:r>
              <w:rPr>
                <w:rFonts w:ascii="Arial" w:hAnsi="Arial" w:eastAsia="Arial" w:cs="Arial"/>
                <w:b w:val="0"/>
                <w:bCs w:val="0"/>
                <w:color w:val="0D1F15"/>
                <w:sz w:val="20"/>
                <w:szCs w:val="20"/>
              </w:rPr>
              <w:t>Brand endorsement &amp; co-marketing</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22C7F46C">
            <w:pPr>
              <w:jc w:val="left"/>
              <w:rPr>
                <w:color w:val="0D1F15"/>
              </w:rPr>
            </w:pPr>
            <w:r>
              <w:rPr>
                <w:rFonts w:ascii="Arial" w:hAnsi="Arial" w:eastAsia="Arial" w:cs="Arial"/>
                <w:b w:val="0"/>
                <w:bCs w:val="0"/>
                <w:color w:val="0D1F15"/>
                <w:sz w:val="20"/>
                <w:szCs w:val="20"/>
              </w:rPr>
              <w:t>500,000+ new NSSF members by 2031 (zero acquisition cost)</w:t>
            </w:r>
          </w:p>
        </w:tc>
      </w:tr>
      <w:tr w14:paraId="3205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2B93E777">
            <w:pPr>
              <w:jc w:val="left"/>
              <w:rPr>
                <w:color w:val="0D1F15"/>
              </w:rPr>
            </w:pPr>
            <w:r>
              <w:rPr>
                <w:rFonts w:ascii="Arial" w:hAnsi="Arial" w:eastAsia="Arial" w:cs="Arial"/>
                <w:b w:val="0"/>
                <w:bCs w:val="0"/>
                <w:color w:val="0D1F15"/>
                <w:sz w:val="20"/>
                <w:szCs w:val="20"/>
              </w:rPr>
              <w:t>Registry API access for auto-enrollment</w:t>
            </w:r>
          </w:p>
        </w:tc>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602FB804">
            <w:pPr>
              <w:jc w:val="left"/>
              <w:rPr>
                <w:color w:val="0D1F15"/>
              </w:rPr>
            </w:pPr>
            <w:r>
              <w:rPr>
                <w:rFonts w:ascii="Arial" w:hAnsi="Arial" w:eastAsia="Arial" w:cs="Arial"/>
                <w:b w:val="0"/>
                <w:bCs w:val="0"/>
                <w:color w:val="0D1F15"/>
                <w:sz w:val="20"/>
                <w:szCs w:val="20"/>
              </w:rPr>
              <w:t>UGX 4B+ in annual operating revenue by Year 5</w:t>
            </w:r>
          </w:p>
        </w:tc>
      </w:tr>
      <w:tr w14:paraId="14BC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E30D2B3">
            <w:pPr>
              <w:jc w:val="left"/>
              <w:rPr>
                <w:color w:val="0D1F15"/>
              </w:rPr>
            </w:pPr>
            <w:r>
              <w:rPr>
                <w:rFonts w:ascii="Arial" w:hAnsi="Arial" w:eastAsia="Arial" w:cs="Arial"/>
                <w:b w:val="0"/>
                <w:bCs w:val="0"/>
                <w:color w:val="0D1F15"/>
                <w:sz w:val="20"/>
                <w:szCs w:val="20"/>
              </w:rPr>
              <w:t>2% pension levy collected on every payout</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49D147B">
            <w:pPr>
              <w:jc w:val="left"/>
              <w:rPr>
                <w:color w:val="0D1F15"/>
              </w:rPr>
            </w:pPr>
            <w:r>
              <w:rPr>
                <w:rFonts w:ascii="Arial" w:hAnsi="Arial" w:eastAsia="Arial" w:cs="Arial"/>
                <w:b w:val="0"/>
                <w:bCs w:val="0"/>
                <w:color w:val="0D1F15"/>
                <w:sz w:val="20"/>
                <w:szCs w:val="20"/>
              </w:rPr>
              <w:t>UGX 1.2B+ in new AUM annually by Year 5 — invested for members, payable at 55</w:t>
            </w:r>
          </w:p>
        </w:tc>
      </w:tr>
      <w:tr w14:paraId="6EC8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573ACE8A">
            <w:pPr>
              <w:jc w:val="left"/>
              <w:rPr>
                <w:color w:val="0D1F15"/>
              </w:rPr>
            </w:pPr>
            <w:r>
              <w:rPr>
                <w:rFonts w:ascii="Arial" w:hAnsi="Arial" w:eastAsia="Arial" w:cs="Arial"/>
                <w:b w:val="0"/>
                <w:bCs w:val="0"/>
                <w:color w:val="0D1F15"/>
                <w:sz w:val="20"/>
                <w:szCs w:val="20"/>
              </w:rPr>
              <w:t>SmartLife Flexi API for one-tap sweep integration</w:t>
            </w:r>
          </w:p>
        </w:tc>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407A65D4">
            <w:pPr>
              <w:jc w:val="left"/>
              <w:rPr>
                <w:color w:val="0D1F15"/>
              </w:rPr>
            </w:pPr>
            <w:r>
              <w:rPr>
                <w:rFonts w:ascii="Arial" w:hAnsi="Arial" w:eastAsia="Arial" w:cs="Arial"/>
                <w:b w:val="0"/>
                <w:bCs w:val="0"/>
                <w:color w:val="0D1F15"/>
                <w:sz w:val="20"/>
                <w:szCs w:val="20"/>
              </w:rPr>
              <w:t>UGX 3.2B+ new SmartLife Flexi deposits by Year 5</w:t>
            </w:r>
          </w:p>
        </w:tc>
      </w:tr>
      <w:tr w14:paraId="4F79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19EB4818">
            <w:pPr>
              <w:jc w:val="left"/>
              <w:rPr>
                <w:color w:val="0D1F15"/>
              </w:rPr>
            </w:pPr>
            <w:r>
              <w:rPr>
                <w:rFonts w:ascii="Arial" w:hAnsi="Arial" w:eastAsia="Arial" w:cs="Arial"/>
                <w:b w:val="0"/>
                <w:bCs w:val="0"/>
                <w:color w:val="0D1F15"/>
                <w:sz w:val="20"/>
                <w:szCs w:val="20"/>
              </w:rPr>
              <w:t>Asset Admissions Committee seat</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553C3FFF">
            <w:pPr>
              <w:jc w:val="left"/>
              <w:rPr>
                <w:color w:val="0D1F15"/>
              </w:rPr>
            </w:pPr>
            <w:r>
              <w:rPr>
                <w:rFonts w:ascii="Arial" w:hAnsi="Arial" w:eastAsia="Arial" w:cs="Arial"/>
                <w:b w:val="0"/>
                <w:bCs w:val="0"/>
                <w:color w:val="0D1F15"/>
                <w:sz w:val="20"/>
                <w:szCs w:val="20"/>
              </w:rPr>
              <w:t>60% of 3% service charge on every payout, both investor &amp; lister sides</w:t>
            </w:r>
          </w:p>
        </w:tc>
      </w:tr>
      <w:tr w14:paraId="130C1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111564C0">
            <w:pPr>
              <w:jc w:val="left"/>
              <w:rPr>
                <w:color w:val="0D1F15"/>
              </w:rPr>
            </w:pPr>
            <w:r>
              <w:rPr>
                <w:rFonts w:ascii="Arial" w:hAnsi="Arial" w:eastAsia="Arial" w:cs="Arial"/>
                <w:b w:val="0"/>
                <w:bCs w:val="0"/>
                <w:color w:val="0D1F15"/>
                <w:sz w:val="20"/>
                <w:szCs w:val="20"/>
              </w:rPr>
              <w:t>Regulatory facilitation &amp; relationships</w:t>
            </w:r>
          </w:p>
        </w:tc>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4972B45D">
            <w:pPr>
              <w:jc w:val="left"/>
              <w:rPr>
                <w:color w:val="0D1F15"/>
              </w:rPr>
            </w:pPr>
            <w:r>
              <w:rPr>
                <w:rFonts w:ascii="Arial" w:hAnsi="Arial" w:eastAsia="Arial" w:cs="Arial"/>
                <w:b w:val="0"/>
                <w:bCs w:val="0"/>
                <w:color w:val="0D1F15"/>
                <w:sz w:val="20"/>
                <w:szCs w:val="20"/>
              </w:rPr>
              <w:t>30% of all listing fees across 9 asset classes</w:t>
            </w:r>
          </w:p>
        </w:tc>
      </w:tr>
      <w:tr w14:paraId="0B7D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14E52E3F">
            <w:pPr>
              <w:jc w:val="left"/>
              <w:rPr>
                <w:color w:val="0D1F15"/>
              </w:rPr>
            </w:pPr>
            <w:r>
              <w:rPr>
                <w:rFonts w:ascii="Arial" w:hAnsi="Arial" w:eastAsia="Arial" w:cs="Arial"/>
                <w:b w:val="0"/>
                <w:bCs w:val="0"/>
                <w:color w:val="0D1F15"/>
                <w:sz w:val="20"/>
                <w:szCs w:val="20"/>
              </w:rPr>
              <w:t>Optional: property/bond listings on platform</w:t>
            </w:r>
          </w:p>
        </w:tc>
        <w:tc>
          <w:tcPr>
            <w:tcW w:w="4680" w:type="dxa"/>
            <w:tcBorders>
              <w:top w:val="nil"/>
              <w:left w:val="nil"/>
              <w:bottom w:val="nil"/>
              <w:right w:val="nil"/>
            </w:tcBorders>
            <w:shd w:val="clear" w:color="auto" w:fill="FFFFFF"/>
            <w:tcMar>
              <w:top w:w="80" w:type="dxa"/>
              <w:left w:w="120" w:type="dxa"/>
              <w:bottom w:w="80" w:type="dxa"/>
              <w:right w:w="120" w:type="dxa"/>
            </w:tcMar>
            <w:vAlign w:val="center"/>
          </w:tcPr>
          <w:p w14:paraId="7DD3A721">
            <w:pPr>
              <w:jc w:val="left"/>
              <w:rPr>
                <w:color w:val="0D1F15"/>
              </w:rPr>
            </w:pPr>
            <w:r>
              <w:rPr>
                <w:rFonts w:ascii="Arial" w:hAnsi="Arial" w:eastAsia="Arial" w:cs="Arial"/>
                <w:b w:val="0"/>
                <w:bCs w:val="0"/>
                <w:color w:val="0D1F15"/>
                <w:sz w:val="20"/>
                <w:szCs w:val="20"/>
              </w:rPr>
              <w:t>A compelling Gen Z product at zero development cost</w:t>
            </w:r>
          </w:p>
        </w:tc>
      </w:tr>
      <w:tr w14:paraId="7609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6A71B347">
            <w:pPr>
              <w:jc w:val="left"/>
              <w:rPr>
                <w:color w:val="0D1F15"/>
              </w:rPr>
            </w:pPr>
            <w:r>
              <w:rPr>
                <w:rFonts w:ascii="Arial" w:hAnsi="Arial" w:eastAsia="Arial" w:cs="Arial"/>
                <w:b w:val="0"/>
                <w:bCs w:val="0"/>
                <w:color w:val="0D1F15"/>
                <w:sz w:val="20"/>
                <w:szCs w:val="20"/>
              </w:rPr>
              <w:t>No capital required (Tiers 1 &amp; 2)</w:t>
            </w:r>
          </w:p>
        </w:tc>
        <w:tc>
          <w:tcPr>
            <w:tcW w:w="4680" w:type="dxa"/>
            <w:tcBorders>
              <w:top w:val="nil"/>
              <w:left w:val="nil"/>
              <w:bottom w:val="nil"/>
              <w:right w:val="nil"/>
            </w:tcBorders>
            <w:shd w:val="clear" w:color="auto" w:fill="D4EFE0"/>
            <w:tcMar>
              <w:top w:w="80" w:type="dxa"/>
              <w:left w:w="120" w:type="dxa"/>
              <w:bottom w:w="80" w:type="dxa"/>
              <w:right w:w="120" w:type="dxa"/>
            </w:tcMar>
            <w:vAlign w:val="center"/>
          </w:tcPr>
          <w:p w14:paraId="45FCE226">
            <w:pPr>
              <w:jc w:val="left"/>
              <w:rPr>
                <w:color w:val="0D1F15"/>
              </w:rPr>
            </w:pPr>
            <w:r>
              <w:rPr>
                <w:rFonts w:ascii="Arial" w:hAnsi="Arial" w:eastAsia="Arial" w:cs="Arial"/>
                <w:b w:val="0"/>
                <w:bCs w:val="0"/>
                <w:color w:val="0D1F15"/>
                <w:sz w:val="20"/>
                <w:szCs w:val="20"/>
              </w:rPr>
              <w:t>Position as East Africa’s most innovative pension institution</w:t>
            </w:r>
          </w:p>
        </w:tc>
      </w:tr>
    </w:tbl>
    <w:p w14:paraId="0A30DB41">
      <w:pPr>
        <w:spacing w:before="100" w:after="0"/>
      </w:pPr>
    </w:p>
    <w:p w14:paraId="286C190E">
      <w:pPr>
        <w:pStyle w:val="3"/>
        <w:spacing w:before="240" w:after="80"/>
      </w:pPr>
      <w:r>
        <w:rPr>
          <w:rFonts w:ascii="Arial" w:hAnsi="Arial" w:eastAsia="Arial" w:cs="Arial"/>
          <w:b/>
          <w:bCs/>
          <w:color w:val="0D1F15"/>
          <w:sz w:val="26"/>
          <w:szCs w:val="26"/>
        </w:rPr>
        <w:t>Proposed Next Steps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0"/>
        <w:gridCol w:w="6480"/>
        <w:gridCol w:w="2400"/>
      </w:tblGrid>
      <w:tr w14:paraId="2996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1A7A45"/>
            <w:tcMar>
              <w:top w:w="80" w:type="dxa"/>
              <w:left w:w="120" w:type="dxa"/>
              <w:bottom w:w="80" w:type="dxa"/>
              <w:right w:w="120" w:type="dxa"/>
            </w:tcMar>
            <w:vAlign w:val="center"/>
          </w:tcPr>
          <w:p w14:paraId="30333C35">
            <w:pPr>
              <w:jc w:val="left"/>
              <w:rPr>
                <w:color w:val="0D1F15"/>
              </w:rPr>
            </w:pPr>
            <w:r>
              <w:rPr>
                <w:rFonts w:ascii="Arial" w:hAnsi="Arial" w:eastAsia="Arial" w:cs="Arial"/>
                <w:b/>
                <w:bCs/>
                <w:color w:val="FFFFFF"/>
                <w:sz w:val="19"/>
                <w:szCs w:val="19"/>
              </w:rPr>
              <w:t>#</w:t>
            </w:r>
          </w:p>
        </w:tc>
        <w:tc>
          <w:tcPr>
            <w:tcW w:w="6480" w:type="dxa"/>
            <w:tcBorders>
              <w:top w:val="nil"/>
              <w:left w:val="nil"/>
              <w:bottom w:val="nil"/>
              <w:right w:val="nil"/>
            </w:tcBorders>
            <w:shd w:val="clear" w:color="auto" w:fill="1A7A45"/>
            <w:tcMar>
              <w:top w:w="80" w:type="dxa"/>
              <w:left w:w="120" w:type="dxa"/>
              <w:bottom w:w="80" w:type="dxa"/>
              <w:right w:w="120" w:type="dxa"/>
            </w:tcMar>
            <w:vAlign w:val="center"/>
          </w:tcPr>
          <w:p w14:paraId="039FDB29">
            <w:pPr>
              <w:jc w:val="left"/>
              <w:rPr>
                <w:color w:val="0D1F15"/>
              </w:rPr>
            </w:pPr>
            <w:r>
              <w:rPr>
                <w:rFonts w:ascii="Arial" w:hAnsi="Arial" w:eastAsia="Arial" w:cs="Arial"/>
                <w:b/>
                <w:bCs/>
                <w:color w:val="FFFFFF"/>
                <w:sz w:val="19"/>
                <w:szCs w:val="19"/>
              </w:rPr>
              <w:t>Action</w:t>
            </w:r>
          </w:p>
        </w:tc>
        <w:tc>
          <w:tcPr>
            <w:tcW w:w="2400" w:type="dxa"/>
            <w:tcBorders>
              <w:top w:val="nil"/>
              <w:left w:val="nil"/>
              <w:bottom w:val="nil"/>
              <w:right w:val="nil"/>
            </w:tcBorders>
            <w:shd w:val="clear" w:color="auto" w:fill="1A7A45"/>
            <w:tcMar>
              <w:top w:w="80" w:type="dxa"/>
              <w:left w:w="120" w:type="dxa"/>
              <w:bottom w:w="80" w:type="dxa"/>
              <w:right w:w="120" w:type="dxa"/>
            </w:tcMar>
            <w:vAlign w:val="center"/>
          </w:tcPr>
          <w:p w14:paraId="0BDC1FB4">
            <w:pPr>
              <w:jc w:val="left"/>
              <w:rPr>
                <w:color w:val="0D1F15"/>
              </w:rPr>
            </w:pPr>
            <w:r>
              <w:rPr>
                <w:rFonts w:ascii="Arial" w:hAnsi="Arial" w:eastAsia="Arial" w:cs="Arial"/>
                <w:b/>
                <w:bCs/>
                <w:color w:val="FFFFFF"/>
                <w:sz w:val="19"/>
                <w:szCs w:val="19"/>
              </w:rPr>
              <w:t>Timeline</w:t>
            </w:r>
          </w:p>
        </w:tc>
      </w:tr>
      <w:tr w14:paraId="732B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5F27C664">
            <w:pPr>
              <w:jc w:val="left"/>
              <w:rPr>
                <w:color w:val="0D1F15"/>
              </w:rPr>
            </w:pPr>
            <w:r>
              <w:rPr>
                <w:rFonts w:ascii="Arial" w:hAnsi="Arial" w:eastAsia="Arial" w:cs="Arial"/>
                <w:b/>
                <w:bCs/>
                <w:color w:val="0D1F15"/>
                <w:sz w:val="19"/>
                <w:szCs w:val="19"/>
              </w:rPr>
              <w:t>1</w:t>
            </w:r>
          </w:p>
        </w:tc>
        <w:tc>
          <w:tcPr>
            <w:tcW w:w="6480" w:type="dxa"/>
            <w:tcBorders>
              <w:top w:val="nil"/>
              <w:left w:val="nil"/>
              <w:bottom w:val="nil"/>
              <w:right w:val="nil"/>
            </w:tcBorders>
            <w:shd w:val="clear" w:color="auto" w:fill="FFFFFF"/>
            <w:tcMar>
              <w:top w:w="80" w:type="dxa"/>
              <w:left w:w="120" w:type="dxa"/>
              <w:bottom w:w="80" w:type="dxa"/>
              <w:right w:w="120" w:type="dxa"/>
            </w:tcMar>
            <w:vAlign w:val="center"/>
          </w:tcPr>
          <w:p w14:paraId="125EAECF">
            <w:pPr>
              <w:jc w:val="left"/>
              <w:rPr>
                <w:color w:val="0D1F15"/>
              </w:rPr>
            </w:pPr>
            <w:r>
              <w:rPr>
                <w:rFonts w:ascii="Arial" w:hAnsi="Arial" w:eastAsia="Arial" w:cs="Arial"/>
                <w:b w:val="0"/>
                <w:bCs w:val="0"/>
                <w:color w:val="0D1F15"/>
                <w:sz w:val="19"/>
                <w:szCs w:val="19"/>
              </w:rPr>
              <w:t>Schedule a live OwnIt Uganda product demonstration for NSSF’s digital, strategy, and SmartLife Flexi teams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3AB8BFC7">
            <w:pPr>
              <w:jc w:val="left"/>
              <w:rPr>
                <w:color w:val="0D1F15"/>
              </w:rPr>
            </w:pPr>
            <w:r>
              <w:rPr>
                <w:rFonts w:ascii="Arial" w:hAnsi="Arial" w:eastAsia="Arial" w:cs="Arial"/>
                <w:b w:val="0"/>
                <w:bCs w:val="0"/>
                <w:color w:val="0D1F15"/>
                <w:sz w:val="19"/>
                <w:szCs w:val="19"/>
              </w:rPr>
              <w:t>Week 1–2</w:t>
            </w:r>
          </w:p>
        </w:tc>
      </w:tr>
      <w:tr w14:paraId="0920B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6AA897CC">
            <w:pPr>
              <w:jc w:val="left"/>
              <w:rPr>
                <w:color w:val="0D1F15"/>
              </w:rPr>
            </w:pPr>
            <w:r>
              <w:rPr>
                <w:rFonts w:ascii="Arial" w:hAnsi="Arial" w:eastAsia="Arial" w:cs="Arial"/>
                <w:b/>
                <w:bCs/>
                <w:color w:val="0D1F15"/>
                <w:sz w:val="19"/>
                <w:szCs w:val="19"/>
              </w:rPr>
              <w:t>2</w:t>
            </w:r>
          </w:p>
        </w:tc>
        <w:tc>
          <w:tcPr>
            <w:tcW w:w="6480" w:type="dxa"/>
            <w:tcBorders>
              <w:top w:val="nil"/>
              <w:left w:val="nil"/>
              <w:bottom w:val="nil"/>
              <w:right w:val="nil"/>
            </w:tcBorders>
            <w:shd w:val="clear" w:color="auto" w:fill="D4EFE0"/>
            <w:tcMar>
              <w:top w:w="80" w:type="dxa"/>
              <w:left w:w="120" w:type="dxa"/>
              <w:bottom w:w="80" w:type="dxa"/>
              <w:right w:w="120" w:type="dxa"/>
            </w:tcMar>
            <w:vAlign w:val="center"/>
          </w:tcPr>
          <w:p w14:paraId="58E15219">
            <w:pPr>
              <w:jc w:val="left"/>
              <w:rPr>
                <w:color w:val="0D1F15"/>
              </w:rPr>
            </w:pPr>
            <w:r>
              <w:rPr>
                <w:rFonts w:ascii="Arial" w:hAnsi="Arial" w:eastAsia="Arial" w:cs="Arial"/>
                <w:b w:val="0"/>
                <w:bCs w:val="0"/>
                <w:color w:val="0D1F15"/>
                <w:sz w:val="19"/>
                <w:szCs w:val="19"/>
              </w:rPr>
              <w:t>Establish a Joint Working Group (2 NSSF + 2 OwnIt representatives) to review partnership terms, API scope, SmartLife Flexi integration design, and legal structure</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18BD05B8">
            <w:pPr>
              <w:jc w:val="left"/>
              <w:rPr>
                <w:color w:val="0D1F15"/>
              </w:rPr>
            </w:pPr>
            <w:r>
              <w:rPr>
                <w:rFonts w:ascii="Arial" w:hAnsi="Arial" w:eastAsia="Arial" w:cs="Arial"/>
                <w:b w:val="0"/>
                <w:bCs w:val="0"/>
                <w:color w:val="0D1F15"/>
                <w:sz w:val="19"/>
                <w:szCs w:val="19"/>
              </w:rPr>
              <w:t>Week 2–6</w:t>
            </w:r>
          </w:p>
        </w:tc>
      </w:tr>
      <w:tr w14:paraId="7F2F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0B0B2444">
            <w:pPr>
              <w:jc w:val="left"/>
              <w:rPr>
                <w:color w:val="0D1F15"/>
              </w:rPr>
            </w:pPr>
            <w:r>
              <w:rPr>
                <w:rFonts w:ascii="Arial" w:hAnsi="Arial" w:eastAsia="Arial" w:cs="Arial"/>
                <w:b/>
                <w:bCs/>
                <w:color w:val="0D1F15"/>
                <w:sz w:val="19"/>
                <w:szCs w:val="19"/>
              </w:rPr>
              <w:t>3</w:t>
            </w:r>
          </w:p>
        </w:tc>
        <w:tc>
          <w:tcPr>
            <w:tcW w:w="6480" w:type="dxa"/>
            <w:tcBorders>
              <w:top w:val="nil"/>
              <w:left w:val="nil"/>
              <w:bottom w:val="nil"/>
              <w:right w:val="nil"/>
            </w:tcBorders>
            <w:shd w:val="clear" w:color="auto" w:fill="FFFFFF"/>
            <w:tcMar>
              <w:top w:w="80" w:type="dxa"/>
              <w:left w:w="120" w:type="dxa"/>
              <w:bottom w:w="80" w:type="dxa"/>
              <w:right w:w="120" w:type="dxa"/>
            </w:tcMar>
            <w:vAlign w:val="center"/>
          </w:tcPr>
          <w:p w14:paraId="6BB29CEB">
            <w:pPr>
              <w:jc w:val="left"/>
              <w:rPr>
                <w:color w:val="0D1F15"/>
              </w:rPr>
            </w:pPr>
            <w:r>
              <w:rPr>
                <w:rFonts w:ascii="Arial" w:hAnsi="Arial" w:eastAsia="Arial" w:cs="Arial"/>
                <w:b w:val="0"/>
                <w:bCs w:val="0"/>
                <w:color w:val="0D1F15"/>
                <w:sz w:val="19"/>
                <w:szCs w:val="19"/>
              </w:rPr>
              <w:t>Commission joint regulatory pre-consultation with CMA, URBRA, and BoU on product classification across all 9 asset classes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47EA7FDC">
            <w:pPr>
              <w:jc w:val="left"/>
              <w:rPr>
                <w:color w:val="0D1F15"/>
              </w:rPr>
            </w:pPr>
            <w:r>
              <w:rPr>
                <w:rFonts w:ascii="Arial" w:hAnsi="Arial" w:eastAsia="Arial" w:cs="Arial"/>
                <w:b w:val="0"/>
                <w:bCs w:val="0"/>
                <w:color w:val="0D1F15"/>
                <w:sz w:val="19"/>
                <w:szCs w:val="19"/>
              </w:rPr>
              <w:t>Week 3–8</w:t>
            </w:r>
          </w:p>
        </w:tc>
      </w:tr>
      <w:tr w14:paraId="625A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485585FC">
            <w:pPr>
              <w:jc w:val="left"/>
              <w:rPr>
                <w:color w:val="0D1F15"/>
              </w:rPr>
            </w:pPr>
            <w:r>
              <w:rPr>
                <w:rFonts w:ascii="Arial" w:hAnsi="Arial" w:eastAsia="Arial" w:cs="Arial"/>
                <w:b/>
                <w:bCs/>
                <w:color w:val="0D1F15"/>
                <w:sz w:val="19"/>
                <w:szCs w:val="19"/>
              </w:rPr>
              <w:t>4</w:t>
            </w:r>
          </w:p>
        </w:tc>
        <w:tc>
          <w:tcPr>
            <w:tcW w:w="6480" w:type="dxa"/>
            <w:tcBorders>
              <w:top w:val="nil"/>
              <w:left w:val="nil"/>
              <w:bottom w:val="nil"/>
              <w:right w:val="nil"/>
            </w:tcBorders>
            <w:shd w:val="clear" w:color="auto" w:fill="D4EFE0"/>
            <w:tcMar>
              <w:top w:w="80" w:type="dxa"/>
              <w:left w:w="120" w:type="dxa"/>
              <w:bottom w:w="80" w:type="dxa"/>
              <w:right w:w="120" w:type="dxa"/>
            </w:tcMar>
            <w:vAlign w:val="center"/>
          </w:tcPr>
          <w:p w14:paraId="3DF30D45">
            <w:pPr>
              <w:jc w:val="left"/>
              <w:rPr>
                <w:color w:val="0D1F15"/>
              </w:rPr>
            </w:pPr>
            <w:r>
              <w:rPr>
                <w:rFonts w:ascii="Arial" w:hAnsi="Arial" w:eastAsia="Arial" w:cs="Arial"/>
                <w:b w:val="0"/>
                <w:bCs w:val="0"/>
                <w:color w:val="0D1F15"/>
                <w:sz w:val="19"/>
                <w:szCs w:val="19"/>
              </w:rPr>
              <w:t>Secure first three lister partners (1 petroleum distributor, 1 agri-exporter, 1 real estate developer) for beta listings</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043114D8">
            <w:pPr>
              <w:jc w:val="left"/>
              <w:rPr>
                <w:color w:val="0D1F15"/>
              </w:rPr>
            </w:pPr>
            <w:r>
              <w:rPr>
                <w:rFonts w:ascii="Arial" w:hAnsi="Arial" w:eastAsia="Arial" w:cs="Arial"/>
                <w:b w:val="0"/>
                <w:bCs w:val="0"/>
                <w:color w:val="0D1F15"/>
                <w:sz w:val="19"/>
                <w:szCs w:val="19"/>
              </w:rPr>
              <w:t>Week 3–6</w:t>
            </w:r>
          </w:p>
        </w:tc>
      </w:tr>
      <w:tr w14:paraId="6108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15AB4E4A">
            <w:pPr>
              <w:jc w:val="left"/>
              <w:rPr>
                <w:color w:val="0D1F15"/>
              </w:rPr>
            </w:pPr>
            <w:r>
              <w:rPr>
                <w:rFonts w:ascii="Arial" w:hAnsi="Arial" w:eastAsia="Arial" w:cs="Arial"/>
                <w:b/>
                <w:bCs/>
                <w:color w:val="0D1F15"/>
                <w:sz w:val="19"/>
                <w:szCs w:val="19"/>
              </w:rPr>
              <w:t>5</w:t>
            </w:r>
          </w:p>
        </w:tc>
        <w:tc>
          <w:tcPr>
            <w:tcW w:w="6480" w:type="dxa"/>
            <w:tcBorders>
              <w:top w:val="nil"/>
              <w:left w:val="nil"/>
              <w:bottom w:val="nil"/>
              <w:right w:val="nil"/>
            </w:tcBorders>
            <w:shd w:val="clear" w:color="auto" w:fill="FFFFFF"/>
            <w:tcMar>
              <w:top w:w="80" w:type="dxa"/>
              <w:left w:w="120" w:type="dxa"/>
              <w:bottom w:w="80" w:type="dxa"/>
              <w:right w:w="120" w:type="dxa"/>
            </w:tcMar>
            <w:vAlign w:val="center"/>
          </w:tcPr>
          <w:p w14:paraId="141E1E1E">
            <w:pPr>
              <w:jc w:val="left"/>
              <w:rPr>
                <w:color w:val="0D1F15"/>
              </w:rPr>
            </w:pPr>
            <w:r>
              <w:rPr>
                <w:rFonts w:ascii="Arial" w:hAnsi="Arial" w:eastAsia="Arial" w:cs="Arial"/>
                <w:b w:val="0"/>
                <w:bCs w:val="0"/>
                <w:color w:val="0D1F15"/>
                <w:sz w:val="19"/>
                <w:szCs w:val="19"/>
              </w:rPr>
              <w:t>OwnIt to provide NSSF with full technical specification for NIN-based auto-enrollment API and SmartLife Flexi sweep integration</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08FA2043">
            <w:pPr>
              <w:jc w:val="left"/>
              <w:rPr>
                <w:color w:val="0D1F15"/>
              </w:rPr>
            </w:pPr>
            <w:r>
              <w:rPr>
                <w:rFonts w:ascii="Arial" w:hAnsi="Arial" w:eastAsia="Arial" w:cs="Arial"/>
                <w:b w:val="0"/>
                <w:bCs w:val="0"/>
                <w:color w:val="0D1F15"/>
                <w:sz w:val="19"/>
                <w:szCs w:val="19"/>
              </w:rPr>
              <w:t>Week 4–6</w:t>
            </w:r>
          </w:p>
        </w:tc>
      </w:tr>
      <w:tr w14:paraId="6053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D4EFE0"/>
            <w:tcMar>
              <w:top w:w="80" w:type="dxa"/>
              <w:left w:w="120" w:type="dxa"/>
              <w:bottom w:w="80" w:type="dxa"/>
              <w:right w:w="120" w:type="dxa"/>
            </w:tcMar>
            <w:vAlign w:val="center"/>
          </w:tcPr>
          <w:p w14:paraId="73F8F3A2">
            <w:pPr>
              <w:jc w:val="left"/>
              <w:rPr>
                <w:color w:val="0D1F15"/>
              </w:rPr>
            </w:pPr>
            <w:r>
              <w:rPr>
                <w:rFonts w:ascii="Arial" w:hAnsi="Arial" w:eastAsia="Arial" w:cs="Arial"/>
                <w:b/>
                <w:bCs/>
                <w:color w:val="0D1F15"/>
                <w:sz w:val="19"/>
                <w:szCs w:val="19"/>
              </w:rPr>
              <w:t>6</w:t>
            </w:r>
          </w:p>
        </w:tc>
        <w:tc>
          <w:tcPr>
            <w:tcW w:w="6480" w:type="dxa"/>
            <w:tcBorders>
              <w:top w:val="nil"/>
              <w:left w:val="nil"/>
              <w:bottom w:val="nil"/>
              <w:right w:val="nil"/>
            </w:tcBorders>
            <w:shd w:val="clear" w:color="auto" w:fill="D4EFE0"/>
            <w:tcMar>
              <w:top w:w="80" w:type="dxa"/>
              <w:left w:w="120" w:type="dxa"/>
              <w:bottom w:w="80" w:type="dxa"/>
              <w:right w:w="120" w:type="dxa"/>
            </w:tcMar>
            <w:vAlign w:val="center"/>
          </w:tcPr>
          <w:p w14:paraId="0A260ED0">
            <w:pPr>
              <w:jc w:val="left"/>
              <w:rPr>
                <w:color w:val="0D1F15"/>
              </w:rPr>
            </w:pPr>
            <w:r>
              <w:rPr>
                <w:rFonts w:ascii="Arial" w:hAnsi="Arial" w:eastAsia="Arial" w:cs="Arial"/>
                <w:b w:val="0"/>
                <w:bCs w:val="0"/>
                <w:color w:val="0D1F15"/>
                <w:sz w:val="19"/>
                <w:szCs w:val="19"/>
              </w:rPr>
              <w:t>Sign a non-binding Memorandum of Understanding (MOU) formalising Tier 1 partnership terms including SFL integration commitment</w:t>
            </w:r>
          </w:p>
        </w:tc>
        <w:tc>
          <w:tcPr>
            <w:tcW w:w="2400" w:type="dxa"/>
            <w:tcBorders>
              <w:top w:val="nil"/>
              <w:left w:val="nil"/>
              <w:bottom w:val="nil"/>
              <w:right w:val="nil"/>
            </w:tcBorders>
            <w:shd w:val="clear" w:color="auto" w:fill="D4EFE0"/>
            <w:tcMar>
              <w:top w:w="80" w:type="dxa"/>
              <w:left w:w="120" w:type="dxa"/>
              <w:bottom w:w="80" w:type="dxa"/>
              <w:right w:w="120" w:type="dxa"/>
            </w:tcMar>
            <w:vAlign w:val="center"/>
          </w:tcPr>
          <w:p w14:paraId="2A2A46ED">
            <w:pPr>
              <w:jc w:val="left"/>
              <w:rPr>
                <w:color w:val="0D1F15"/>
              </w:rPr>
            </w:pPr>
            <w:r>
              <w:rPr>
                <w:rFonts w:ascii="Arial" w:hAnsi="Arial" w:eastAsia="Arial" w:cs="Arial"/>
                <w:b w:val="0"/>
                <w:bCs w:val="0"/>
                <w:color w:val="0D1F15"/>
                <w:sz w:val="19"/>
                <w:szCs w:val="19"/>
              </w:rPr>
              <w:t>Week 6–10</w:t>
            </w:r>
          </w:p>
        </w:tc>
      </w:tr>
      <w:tr w14:paraId="7B7DD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nil"/>
              <w:left w:val="nil"/>
              <w:bottom w:val="nil"/>
              <w:right w:val="nil"/>
            </w:tcBorders>
            <w:shd w:val="clear" w:color="auto" w:fill="FFFFFF"/>
            <w:tcMar>
              <w:top w:w="80" w:type="dxa"/>
              <w:left w:w="120" w:type="dxa"/>
              <w:bottom w:w="80" w:type="dxa"/>
              <w:right w:w="120" w:type="dxa"/>
            </w:tcMar>
            <w:vAlign w:val="center"/>
          </w:tcPr>
          <w:p w14:paraId="084E9FF5">
            <w:pPr>
              <w:jc w:val="left"/>
              <w:rPr>
                <w:color w:val="0D1F15"/>
              </w:rPr>
            </w:pPr>
            <w:r>
              <w:rPr>
                <w:rFonts w:ascii="Arial" w:hAnsi="Arial" w:eastAsia="Arial" w:cs="Arial"/>
                <w:b/>
                <w:bCs/>
                <w:color w:val="0D1F15"/>
                <w:sz w:val="19"/>
                <w:szCs w:val="19"/>
              </w:rPr>
              <w:t>7</w:t>
            </w:r>
          </w:p>
        </w:tc>
        <w:tc>
          <w:tcPr>
            <w:tcW w:w="6480" w:type="dxa"/>
            <w:tcBorders>
              <w:top w:val="nil"/>
              <w:left w:val="nil"/>
              <w:bottom w:val="nil"/>
              <w:right w:val="nil"/>
            </w:tcBorders>
            <w:shd w:val="clear" w:color="auto" w:fill="FFFFFF"/>
            <w:tcMar>
              <w:top w:w="80" w:type="dxa"/>
              <w:left w:w="120" w:type="dxa"/>
              <w:bottom w:w="80" w:type="dxa"/>
              <w:right w:w="120" w:type="dxa"/>
            </w:tcMar>
            <w:vAlign w:val="center"/>
          </w:tcPr>
          <w:p w14:paraId="7051C793">
            <w:pPr>
              <w:jc w:val="left"/>
              <w:rPr>
                <w:color w:val="0D1F15"/>
              </w:rPr>
            </w:pPr>
            <w:r>
              <w:rPr>
                <w:rFonts w:ascii="Arial" w:hAnsi="Arial" w:eastAsia="Arial" w:cs="Arial"/>
                <w:b w:val="0"/>
                <w:bCs w:val="0"/>
                <w:color w:val="0D1F15"/>
                <w:sz w:val="19"/>
                <w:szCs w:val="19"/>
              </w:rPr>
              <w:t>Beta platform launch with NSSF co-brand, auto-enrollment live, SmartLife Flexi prompt live, and first 3 asset listings</w:t>
            </w:r>
          </w:p>
        </w:tc>
        <w:tc>
          <w:tcPr>
            <w:tcW w:w="2400" w:type="dxa"/>
            <w:tcBorders>
              <w:top w:val="nil"/>
              <w:left w:val="nil"/>
              <w:bottom w:val="nil"/>
              <w:right w:val="nil"/>
            </w:tcBorders>
            <w:shd w:val="clear" w:color="auto" w:fill="FFFFFF"/>
            <w:tcMar>
              <w:top w:w="80" w:type="dxa"/>
              <w:left w:w="120" w:type="dxa"/>
              <w:bottom w:w="80" w:type="dxa"/>
              <w:right w:w="120" w:type="dxa"/>
            </w:tcMar>
            <w:vAlign w:val="center"/>
          </w:tcPr>
          <w:p w14:paraId="0D2116B3">
            <w:pPr>
              <w:jc w:val="left"/>
              <w:rPr>
                <w:color w:val="0D1F15"/>
              </w:rPr>
            </w:pPr>
            <w:r>
              <w:rPr>
                <w:rFonts w:ascii="Arial" w:hAnsi="Arial" w:eastAsia="Arial" w:cs="Arial"/>
                <w:b w:val="0"/>
                <w:bCs w:val="0"/>
                <w:color w:val="0D1F15"/>
                <w:sz w:val="19"/>
                <w:szCs w:val="19"/>
              </w:rPr>
              <w:t>Month 4–6</w:t>
            </w:r>
          </w:p>
        </w:tc>
      </w:tr>
    </w:tbl>
    <w:p w14:paraId="109B1945">
      <w:pPr>
        <w:spacing w:before="120" w:after="0"/>
      </w:pPr>
    </w:p>
    <w:p w14:paraId="03FC7C04">
      <w:pPr>
        <w:pBdr>
          <w:top w:val="single" w:color="1A7A45" w:sz="6" w:space="8"/>
        </w:pBdr>
        <w:spacing w:before="80" w:after="40"/>
        <w:jc w:val="center"/>
        <w:rPr>
          <w:color w:val="0D1F15"/>
        </w:rPr>
      </w:pPr>
      <w:r>
        <w:rPr>
          <w:rFonts w:ascii="Arial" w:hAnsi="Arial" w:eastAsia="Arial" w:cs="Arial"/>
          <w:b/>
          <w:bCs/>
          <w:color w:val="1A7A45"/>
          <w:sz w:val="26"/>
          <w:szCs w:val="26"/>
        </w:rPr>
        <w:t>OwnIt Uganda Ltd.</w:t>
      </w:r>
    </w:p>
    <w:p w14:paraId="6AE18BDD">
      <w:pPr>
        <w:spacing w:before="0" w:after="40"/>
        <w:jc w:val="center"/>
        <w:rPr>
          <w:color w:val="0D1F15"/>
        </w:rPr>
      </w:pPr>
      <w:r>
        <w:rPr>
          <w:rFonts w:ascii="Arial" w:hAnsi="Arial" w:eastAsia="Arial" w:cs="Arial"/>
          <w:color w:val="5A6B5E"/>
          <w:sz w:val="19"/>
          <w:szCs w:val="19"/>
        </w:rPr>
        <w:t>Kampala, Uganda  |  info@ownituganda.com  |  +256 700 000 000  |  www.ownituganda.com</w:t>
      </w:r>
    </w:p>
    <w:p w14:paraId="4C0B68AB">
      <w:pPr>
        <w:spacing w:before="0" w:after="0"/>
        <w:jc w:val="center"/>
        <w:rPr>
          <w:color w:val="0D1F15"/>
        </w:rPr>
      </w:pPr>
      <w:r>
        <w:rPr>
          <w:rFonts w:ascii="Arial" w:hAnsi="Arial" w:eastAsia="Arial" w:cs="Arial"/>
          <w:color w:val="5A6B5E"/>
          <w:sz w:val="17"/>
          <w:szCs w:val="17"/>
        </w:rPr>
        <w:t>This document is strictly confidential and prepared solely for review by NSSF Uganda leadership. It may not be reproduced or distributed without the written consent of OwnIt Uganda Ltd.</w:t>
      </w:r>
    </w:p>
    <w:p w14:paraId="2859F07F">
      <w:pPr>
        <w:spacing w:before="0" w:after="0"/>
        <w:jc w:val="center"/>
      </w:pPr>
    </w:p>
    <w:p w14:paraId="256501BD">
      <w:pPr>
        <w:pStyle w:val="16"/>
        <w:numPr>
          <w:numId w:val="0"/>
        </w:numPr>
        <w:spacing w:before="40" w:after="40" w:line="240" w:lineRule="exact"/>
        <w:rPr>
          <w:rFonts w:ascii="Arial" w:hAnsi="Arial"/>
          <w:b w:val="0"/>
          <w:color w:val="0D1F15"/>
          <w:sz w:val="21"/>
        </w:rPr>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301E6">
    <w:pPr>
      <w:pBdr>
        <w:top w:val="single" w:color="1A7A45" w:sz="6" w:space="1"/>
      </w:pBdr>
      <w:spacing w:before="60"/>
    </w:pPr>
    <w:r>
      <w:rPr>
        <w:rFonts w:ascii="Arial" w:hAnsi="Arial" w:eastAsia="Arial" w:cs="Arial"/>
        <w:color w:val="5A6B5E"/>
        <w:sz w:val="18"/>
        <w:szCs w:val="18"/>
      </w:rPr>
      <w:t>OwnIt Uganda Ltd. © 2026  |  Kampala, Uganda  |  CONFIDENTIAL  |  For NSSF Review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CD8F8">
    <w:pPr>
      <w:pBdr>
        <w:bottom w:val="single" w:color="1A7A45" w:sz="6" w:space="1"/>
      </w:pBdr>
      <w:spacing w:before="0" w:after="0"/>
    </w:pPr>
    <w:r>
      <w:rPr>
        <w:rFonts w:ascii="Arial" w:hAnsi="Arial" w:eastAsia="Arial" w:cs="Arial"/>
        <w:color w:val="5A6B5E"/>
        <w:sz w:val="18"/>
        <w:szCs w:val="18"/>
      </w:rPr>
      <w:t>OwnIt Uganda  |  Multi-Asset Crowd-Investment Platform  |  NSSF Partnership Proposal v4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56643B"/>
    <w:rsid w:val="00BF3CC9"/>
    <w:rsid w:val="014C2C0D"/>
    <w:rsid w:val="01827C00"/>
    <w:rsid w:val="01D427F1"/>
    <w:rsid w:val="01F462C4"/>
    <w:rsid w:val="02582385"/>
    <w:rsid w:val="025A5C68"/>
    <w:rsid w:val="026E270A"/>
    <w:rsid w:val="026E5982"/>
    <w:rsid w:val="033546D2"/>
    <w:rsid w:val="04180F6C"/>
    <w:rsid w:val="043210F1"/>
    <w:rsid w:val="04647AA5"/>
    <w:rsid w:val="05536C4A"/>
    <w:rsid w:val="0560795C"/>
    <w:rsid w:val="05B2322F"/>
    <w:rsid w:val="05E873CF"/>
    <w:rsid w:val="06A665F7"/>
    <w:rsid w:val="06E728E4"/>
    <w:rsid w:val="089437FC"/>
    <w:rsid w:val="092E279E"/>
    <w:rsid w:val="09E55D94"/>
    <w:rsid w:val="09F4161E"/>
    <w:rsid w:val="0A5F3177"/>
    <w:rsid w:val="0AB55A9D"/>
    <w:rsid w:val="0B4C4C98"/>
    <w:rsid w:val="0F6B1367"/>
    <w:rsid w:val="0F9F02F4"/>
    <w:rsid w:val="10E62DCA"/>
    <w:rsid w:val="11A16A45"/>
    <w:rsid w:val="12DC5802"/>
    <w:rsid w:val="13170F81"/>
    <w:rsid w:val="138F31C3"/>
    <w:rsid w:val="13E3112D"/>
    <w:rsid w:val="1403071A"/>
    <w:rsid w:val="14111FFD"/>
    <w:rsid w:val="143513C8"/>
    <w:rsid w:val="144E65DE"/>
    <w:rsid w:val="14B14FFE"/>
    <w:rsid w:val="15C3367C"/>
    <w:rsid w:val="15D64DE0"/>
    <w:rsid w:val="15E66812"/>
    <w:rsid w:val="186B609E"/>
    <w:rsid w:val="18A516FB"/>
    <w:rsid w:val="191E6E17"/>
    <w:rsid w:val="193B264E"/>
    <w:rsid w:val="19C72B95"/>
    <w:rsid w:val="1A466C29"/>
    <w:rsid w:val="1A917EC3"/>
    <w:rsid w:val="1B27179A"/>
    <w:rsid w:val="1B290E40"/>
    <w:rsid w:val="1BC34E9C"/>
    <w:rsid w:val="1BDD7740"/>
    <w:rsid w:val="1C243262"/>
    <w:rsid w:val="1C92426F"/>
    <w:rsid w:val="1CDE176A"/>
    <w:rsid w:val="1D2D7EB7"/>
    <w:rsid w:val="1D441B15"/>
    <w:rsid w:val="1E192DF2"/>
    <w:rsid w:val="1E1A1CE9"/>
    <w:rsid w:val="1E2B5570"/>
    <w:rsid w:val="1EE2283A"/>
    <w:rsid w:val="1F1E2D88"/>
    <w:rsid w:val="1F9D516C"/>
    <w:rsid w:val="1FB96161"/>
    <w:rsid w:val="20E93740"/>
    <w:rsid w:val="229F7FF9"/>
    <w:rsid w:val="22DB483E"/>
    <w:rsid w:val="23156A1D"/>
    <w:rsid w:val="232721BA"/>
    <w:rsid w:val="232A313F"/>
    <w:rsid w:val="23AB6474"/>
    <w:rsid w:val="24364576"/>
    <w:rsid w:val="248420F6"/>
    <w:rsid w:val="24A86E33"/>
    <w:rsid w:val="25C323AD"/>
    <w:rsid w:val="261F1E98"/>
    <w:rsid w:val="2671641F"/>
    <w:rsid w:val="27187EB1"/>
    <w:rsid w:val="277B675F"/>
    <w:rsid w:val="285C37FC"/>
    <w:rsid w:val="289C41D2"/>
    <w:rsid w:val="28A52B3B"/>
    <w:rsid w:val="290A1B0D"/>
    <w:rsid w:val="2956295F"/>
    <w:rsid w:val="2A23039B"/>
    <w:rsid w:val="2A8555CF"/>
    <w:rsid w:val="2C370819"/>
    <w:rsid w:val="2C5C4149"/>
    <w:rsid w:val="2C6B46C4"/>
    <w:rsid w:val="2CB904B4"/>
    <w:rsid w:val="2DB3100A"/>
    <w:rsid w:val="2E0E55C2"/>
    <w:rsid w:val="2EEE3AD5"/>
    <w:rsid w:val="2F3C69B2"/>
    <w:rsid w:val="31627191"/>
    <w:rsid w:val="329E499A"/>
    <w:rsid w:val="333A261A"/>
    <w:rsid w:val="34355D35"/>
    <w:rsid w:val="347F34D1"/>
    <w:rsid w:val="354E4284"/>
    <w:rsid w:val="3783149C"/>
    <w:rsid w:val="3789535A"/>
    <w:rsid w:val="39B71976"/>
    <w:rsid w:val="3A923414"/>
    <w:rsid w:val="3BA35D81"/>
    <w:rsid w:val="3BBD009B"/>
    <w:rsid w:val="3BD52AC5"/>
    <w:rsid w:val="3C361818"/>
    <w:rsid w:val="3C6F7834"/>
    <w:rsid w:val="3DD15261"/>
    <w:rsid w:val="3F094F7A"/>
    <w:rsid w:val="408B28C5"/>
    <w:rsid w:val="40A744CB"/>
    <w:rsid w:val="41517B50"/>
    <w:rsid w:val="41DD1D33"/>
    <w:rsid w:val="435D4F14"/>
    <w:rsid w:val="436B3C9C"/>
    <w:rsid w:val="43B70AA5"/>
    <w:rsid w:val="447050CA"/>
    <w:rsid w:val="44A32206"/>
    <w:rsid w:val="459B1F40"/>
    <w:rsid w:val="45CD2933"/>
    <w:rsid w:val="45EA3344"/>
    <w:rsid w:val="464F2F5F"/>
    <w:rsid w:val="47EE159A"/>
    <w:rsid w:val="493C3013"/>
    <w:rsid w:val="49DE7F41"/>
    <w:rsid w:val="49E35145"/>
    <w:rsid w:val="4A77693B"/>
    <w:rsid w:val="4B2C483A"/>
    <w:rsid w:val="4C200E1C"/>
    <w:rsid w:val="4CE53BA4"/>
    <w:rsid w:val="4D3764BE"/>
    <w:rsid w:val="4D7D2CBA"/>
    <w:rsid w:val="4E15647E"/>
    <w:rsid w:val="4E2658AF"/>
    <w:rsid w:val="4E433DA4"/>
    <w:rsid w:val="4E4F4B24"/>
    <w:rsid w:val="50C564DA"/>
    <w:rsid w:val="50EC1DD2"/>
    <w:rsid w:val="514F6709"/>
    <w:rsid w:val="516F5466"/>
    <w:rsid w:val="518C3EDA"/>
    <w:rsid w:val="51935A63"/>
    <w:rsid w:val="530E2837"/>
    <w:rsid w:val="531A3896"/>
    <w:rsid w:val="53776EFD"/>
    <w:rsid w:val="53920DAC"/>
    <w:rsid w:val="54241096"/>
    <w:rsid w:val="552072B9"/>
    <w:rsid w:val="55762246"/>
    <w:rsid w:val="55A44E1A"/>
    <w:rsid w:val="55FA4A1E"/>
    <w:rsid w:val="566673AD"/>
    <w:rsid w:val="56DF1D8E"/>
    <w:rsid w:val="5779291C"/>
    <w:rsid w:val="597B60A6"/>
    <w:rsid w:val="59EC1BCF"/>
    <w:rsid w:val="5AB94067"/>
    <w:rsid w:val="5B130FC6"/>
    <w:rsid w:val="5B75221C"/>
    <w:rsid w:val="5C43241C"/>
    <w:rsid w:val="5DF20031"/>
    <w:rsid w:val="5E4A1D02"/>
    <w:rsid w:val="5F0C69C6"/>
    <w:rsid w:val="5FAB1581"/>
    <w:rsid w:val="61193532"/>
    <w:rsid w:val="61EE40B9"/>
    <w:rsid w:val="621B30FC"/>
    <w:rsid w:val="62F245C8"/>
    <w:rsid w:val="630C687B"/>
    <w:rsid w:val="6430766A"/>
    <w:rsid w:val="64D77000"/>
    <w:rsid w:val="64EC410B"/>
    <w:rsid w:val="667002F2"/>
    <w:rsid w:val="6833104A"/>
    <w:rsid w:val="697020C8"/>
    <w:rsid w:val="69A94AF3"/>
    <w:rsid w:val="69DD483F"/>
    <w:rsid w:val="6A5451DB"/>
    <w:rsid w:val="6BF825B0"/>
    <w:rsid w:val="6DBB26F5"/>
    <w:rsid w:val="6E5F4023"/>
    <w:rsid w:val="6E846C45"/>
    <w:rsid w:val="6E977A01"/>
    <w:rsid w:val="6FAA4F3F"/>
    <w:rsid w:val="7393582A"/>
    <w:rsid w:val="73977AB3"/>
    <w:rsid w:val="73A56DC9"/>
    <w:rsid w:val="73F77C36"/>
    <w:rsid w:val="76543908"/>
    <w:rsid w:val="76896CB5"/>
    <w:rsid w:val="76F31A34"/>
    <w:rsid w:val="7733029F"/>
    <w:rsid w:val="779F7866"/>
    <w:rsid w:val="786A5D9D"/>
    <w:rsid w:val="7874674C"/>
    <w:rsid w:val="787B6037"/>
    <w:rsid w:val="79173937"/>
    <w:rsid w:val="7A057D3D"/>
    <w:rsid w:val="7A3C5E76"/>
    <w:rsid w:val="7CC047F9"/>
    <w:rsid w:val="7D53799F"/>
    <w:rsid w:val="7E2C5F0E"/>
    <w:rsid w:val="7ED83E28"/>
    <w:rsid w:val="7F525C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1A7A45"/>
      <w:sz w:val="32"/>
      <w:szCs w:val="32"/>
    </w:rPr>
  </w:style>
  <w:style w:type="paragraph" w:styleId="3">
    <w:name w:val="heading 2"/>
    <w:next w:val="1"/>
    <w:qFormat/>
    <w:uiPriority w:val="0"/>
    <w:pPr>
      <w:spacing w:before="240" w:after="80"/>
      <w:outlineLvl w:val="1"/>
    </w:pPr>
    <w:rPr>
      <w:rFonts w:ascii="Arial" w:hAnsi="Arial" w:eastAsia="Arial" w:cs="Arial"/>
      <w:b/>
      <w:bCs/>
      <w:color w:val="0D1F1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501</Words>
  <Characters>2776</Characters>
  <TotalTime>0</TotalTime>
  <ScaleCrop>false</ScaleCrop>
  <LinksUpToDate>false</LinksUpToDate>
  <CharactersWithSpaces>3224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2026-05-27T10:09:00Z</dcterms:created>
  <dc:creator>Un-named</dc:creator>
  <cp:lastModifiedBy>HP</cp:lastModifiedBy>
  <dcterms:modified xsi:type="dcterms:W3CDTF">2026-06-27T14:04:16Z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eyJoZGlkIjoiZWI4MWVjODNhMGY0ZDYxNDI1MmVlZjZmNzdkODlhMWQifQ==</vt:lpwstr>
  </property>
  <property fmtid="{D5CDD505-2E9C-101B-9397-08002B2CF9AE}" pid="3" name="KSOProductBuildVer">
    <vt:lpwstr>1033-12.1.0.26880</vt:lpwstr>
  </property>
  <property fmtid="{D5CDD505-2E9C-101B-9397-08002B2CF9AE}" pid="4" name="ICV">
    <vt:lpwstr>EE4368783E9D4EDC9A315299CAA637FE_12</vt:lpwstr>
  </property>
</Properties>
</file>