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pPr>
      <w:r>
        <w:t xml:space="preserve"/>
      </w:r>
    </w:p>
    <w:p>
      <w:pPr>
        <w:jc w:val="center"/>
      </w:pPr>
      <w:r>
        <w:rPr>
          <w:rFonts w:ascii="Arial" w:cs="Arial" w:eastAsia="Arial" w:hAnsi="Arial"/>
          <w:b/>
          <w:bCs/>
          <w:color w:val="1B4F8A"/>
          <w:sz w:val="52"/>
          <w:szCs w:val="52"/>
        </w:rPr>
        <w:t xml:space="preserve">ETUDE D'ARCHITECTURE</w:t>
      </w:r>
    </w:p>
    <w:p>
      <w:pPr>
        <w:spacing w:after="80" w:before="160"/>
        <w:jc w:val="center"/>
      </w:pPr>
      <w:r>
        <w:rPr>
          <w:rFonts w:ascii="Arial" w:cs="Arial" w:eastAsia="Arial" w:hAnsi="Arial"/>
          <w:color w:val="2E86C1"/>
          <w:sz w:val="36"/>
          <w:szCs w:val="36"/>
        </w:rPr>
        <w:t xml:space="preserve">Migration vers un SaaS Multi-Tenant</w:t>
      </w:r>
    </w:p>
    <w:p>
      <w:pPr>
        <w:pBdr>
          <w:bottom w:val="single" w:color="1B4F8A" w:sz="6" w:space="1"/>
        </w:pBdr>
        <w:spacing w:after="120" w:before="120"/>
      </w:pPr>
      <w:r>
        <w:t xml:space="preserve"/>
      </w:r>
    </w:p>
    <w:p>
      <w:pPr>
        <w:spacing w:after="80" w:before="160"/>
      </w:pPr>
      <w:r>
        <w:t xml:space="preserve"/>
      </w:r>
    </w:p>
    <w:p>
      <w:pPr>
        <w:jc w:val="center"/>
      </w:pPr>
      <w:r>
        <w:rPr>
          <w:rFonts w:ascii="Arial" w:cs="Arial" w:eastAsia="Arial" w:hAnsi="Arial"/>
          <w:color w:val="7F8C8D"/>
          <w:sz w:val="26"/>
          <w:szCs w:val="26"/>
        </w:rPr>
        <w:t xml:space="preserve">Plateforme IA pour l'Elevage Porcin au Burkina Faso</w:t>
      </w:r>
    </w:p>
    <w:p>
      <w:pPr>
        <w:spacing w:after="200" w:before="6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Projet</w:t>
            </w:r>
          </w:p>
        </w:tc>
        <w:tc>
          <w:tcPr>
            <w:tcW w:type="dxa" w:w="44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Gestion Parc Backend - Spring Boot / Kotlin / PostgreSQL</w:t>
            </w:r>
          </w:p>
        </w:tc>
      </w:tr>
      <w:tr>
        <w:tc>
          <w:tcPr>
            <w:tcW w:type="dxa" w:w="2800"/>
            <w:tcBorders>
              <w:top w:val="single" w:color="AED6F1" w:sz="4"/>
              <w:left w:val="single" w:color="AED6F1" w:sz="4"/>
              <w:bottom w:val="single" w:color="AED6F1" w:sz="4"/>
              <w:right w:val="single" w:color="AED6F1" w:sz="4"/>
            </w:tcBorders>
            <w:shd w:fill="2E86C1"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Type document</w:t>
            </w:r>
          </w:p>
        </w:tc>
        <w:tc>
          <w:tcPr>
            <w:tcW w:type="dxa" w:w="44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Etude d'architecture - Sans implementation</w:t>
            </w:r>
          </w:p>
        </w:tc>
      </w:tr>
      <w:tr>
        <w:tc>
          <w:tcPr>
            <w:tcW w:type="dxa" w:w="28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Auteur</w:t>
            </w:r>
          </w:p>
        </w:tc>
        <w:tc>
          <w:tcPr>
            <w:tcW w:type="dxa" w:w="44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Patrick Louahikbe</w:t>
            </w:r>
          </w:p>
        </w:tc>
      </w:tr>
      <w:tr>
        <w:tc>
          <w:tcPr>
            <w:tcW w:type="dxa" w:w="2800"/>
            <w:tcBorders>
              <w:top w:val="single" w:color="AED6F1" w:sz="4"/>
              <w:left w:val="single" w:color="AED6F1" w:sz="4"/>
              <w:bottom w:val="single" w:color="AED6F1" w:sz="4"/>
              <w:right w:val="single" w:color="AED6F1" w:sz="4"/>
            </w:tcBorders>
            <w:shd w:fill="2E86C1"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Date</w:t>
            </w:r>
          </w:p>
        </w:tc>
        <w:tc>
          <w:tcPr>
            <w:tcW w:type="dxa" w:w="44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Juin 2026</w:t>
            </w:r>
          </w:p>
        </w:tc>
      </w:tr>
      <w:tr>
        <w:tc>
          <w:tcPr>
            <w:tcW w:type="dxa" w:w="28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Contexte</w:t>
            </w:r>
          </w:p>
        </w:tc>
        <w:tc>
          <w:tcPr>
            <w:tcW w:type="dxa" w:w="44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Memoire de Master 2026 - Elevage de precision BF</w:t>
            </w:r>
          </w:p>
        </w:tc>
      </w:tr>
    </w:tbl>
    <w:p>
      <w:pPr>
        <w:spacing w:after="160" w:before="400"/>
      </w:pPr>
      <w:r>
        <w:t xml:space="preserve"/>
      </w:r>
    </w:p>
    <w:p>
      <w:r>
        <w:br w:type="page"/>
      </w:r>
    </w:p>
    <w:p>
      <w:pPr>
        <w:pStyle w:val="Heading1"/>
        <w:spacing w:after="200" w:before="400"/>
      </w:pPr>
      <w:r>
        <w:rPr>
          <w:rFonts w:ascii="Arial" w:cs="Arial" w:eastAsia="Arial" w:hAnsi="Arial"/>
          <w:b/>
          <w:bCs/>
          <w:color w:val="1B4F8A"/>
          <w:sz w:val="36"/>
          <w:szCs w:val="36"/>
        </w:rPr>
        <w:t xml:space="preserve">1.  Etat de l'art : Architecture actuelle</w:t>
      </w:r>
    </w:p>
    <w:p>
      <w:pPr>
        <w:pBdr>
          <w:bottom w:val="single" w:color="2E86C1" w:sz="6" w:space="1"/>
        </w:pBdr>
        <w:spacing w:after="120" w:before="120"/>
      </w:pPr>
      <w:r>
        <w:t xml:space="preserve"/>
      </w:r>
    </w:p>
    <w:p>
      <w:pPr>
        <w:spacing w:after="160" w:before="80"/>
      </w:pPr>
      <w:r>
        <w:rPr>
          <w:rFonts w:ascii="Arial" w:cs="Arial" w:eastAsia="Arial" w:hAnsi="Arial"/>
          <w:b w:val="false"/>
          <w:bCs w:val="false"/>
          <w:color w:val="1C2833"/>
          <w:sz w:val="22"/>
          <w:szCs w:val="22"/>
        </w:rPr>
        <w:t xml:space="preserve">Avant de proposer une evolution, il est indispensable de radiographier l'existant. L'analyse du code source du projet gestion-parc-backend revele une architecture mono-tenant solide, conçue pour une seule ferme a la fois.</w:t>
      </w:r>
    </w:p>
    <w:p>
      <w:pPr>
        <w:spacing w:after="160" w:before="80"/>
      </w:pPr>
      <w:r>
        <w:t xml:space="preserve"/>
      </w:r>
    </w:p>
    <w:p>
      <w:pPr>
        <w:pStyle w:val="Heading2"/>
        <w:spacing w:after="160" w:before="320"/>
      </w:pPr>
      <w:r>
        <w:rPr>
          <w:rFonts w:ascii="Arial" w:cs="Arial" w:eastAsia="Arial" w:hAnsi="Arial"/>
          <w:b/>
          <w:bCs/>
          <w:color w:val="2E86C1"/>
          <w:sz w:val="28"/>
          <w:szCs w:val="28"/>
        </w:rPr>
        <w:t xml:space="preserve">1.1  Stack technique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Composant</w:t>
            </w:r>
          </w:p>
        </w:tc>
        <w:tc>
          <w:tcPr>
            <w:tcW w:type="dxa" w:w="646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Detail</w:t>
            </w:r>
          </w:p>
        </w:tc>
      </w:tr>
      <w:tr>
        <w:tc>
          <w:tcPr>
            <w:tcW w:type="dxa" w:w="28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Langage / Framework</w:t>
            </w:r>
          </w:p>
        </w:tc>
        <w:tc>
          <w:tcPr>
            <w:tcW w:type="dxa" w:w="646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Kotlin + Spring Boot 3 (JPA/Hibernate)</w:t>
            </w:r>
          </w:p>
        </w:tc>
      </w:tr>
      <w:tr>
        <w:tc>
          <w:tcPr>
            <w:tcW w:type="dxa" w:w="28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Persistance</w:t>
            </w:r>
          </w:p>
        </w:tc>
        <w:tc>
          <w:tcPr>
            <w:tcW w:type="dxa" w:w="64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JPA / Hibernate  -  ddl-auto: update</w:t>
            </w:r>
          </w:p>
        </w:tc>
      </w:tr>
      <w:tr>
        <w:tc>
          <w:tcPr>
            <w:tcW w:type="dxa" w:w="28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Base de donnees</w:t>
            </w:r>
          </w:p>
        </w:tc>
        <w:tc>
          <w:tcPr>
            <w:tcW w:type="dxa" w:w="646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PostgreSQL - une seule base : snackboost_db</w:t>
            </w:r>
          </w:p>
        </w:tc>
      </w:tr>
      <w:tr>
        <w:tc>
          <w:tcPr>
            <w:tcW w:type="dxa" w:w="28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Authentification</w:t>
            </w:r>
          </w:p>
        </w:tc>
        <w:tc>
          <w:tcPr>
            <w:tcW w:type="dxa" w:w="64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JWT Bearer Token - JwtAuthenticationFilter (OncePerRequestFilter)</w:t>
            </w:r>
          </w:p>
        </w:tc>
      </w:tr>
      <w:tr>
        <w:tc>
          <w:tcPr>
            <w:tcW w:type="dxa" w:w="28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Autorisation</w:t>
            </w:r>
          </w:p>
        </w:tc>
        <w:tc>
          <w:tcPr>
            <w:tcW w:type="dxa" w:w="646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Enum Permission + RolePermissions statique (4 roles hierarchiques)</w:t>
            </w:r>
          </w:p>
        </w:tc>
      </w:tr>
      <w:tr>
        <w:tc>
          <w:tcPr>
            <w:tcW w:type="dxa" w:w="28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Deploiement</w:t>
            </w:r>
          </w:p>
        </w:tc>
        <w:tc>
          <w:tcPr>
            <w:tcW w:type="dxa" w:w="64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Docker + Render (variables DB_HOST, DB_PORT, DB_NAME injectees)</w:t>
            </w:r>
          </w:p>
        </w:tc>
      </w:tr>
      <w:tr>
        <w:tc>
          <w:tcPr>
            <w:tcW w:type="dxa" w:w="28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Upload fichiers</w:t>
            </w:r>
          </w:p>
        </w:tc>
        <w:tc>
          <w:tcPr>
            <w:tcW w:type="dxa" w:w="646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/app/uploads/logos et /app/uploads/animaux (volume Docker)</w:t>
            </w:r>
          </w:p>
        </w:tc>
      </w:tr>
    </w:tbl>
    <w:p>
      <w:pPr>
        <w:spacing w:after="160" w:before="120"/>
      </w:pPr>
      <w:r>
        <w:t xml:space="preserve"/>
      </w:r>
    </w:p>
    <w:p>
      <w:pPr>
        <w:pStyle w:val="Heading2"/>
        <w:spacing w:after="160" w:before="320"/>
      </w:pPr>
      <w:r>
        <w:rPr>
          <w:rFonts w:ascii="Arial" w:cs="Arial" w:eastAsia="Arial" w:hAnsi="Arial"/>
          <w:b/>
          <w:bCs/>
          <w:color w:val="2E86C1"/>
          <w:sz w:val="28"/>
          <w:szCs w:val="28"/>
        </w:rPr>
        <w:t xml:space="preserve">1.2  Points de controle critiques pour la migration</w:t>
      </w:r>
    </w:p>
    <w:p>
      <w:pPr>
        <w:spacing w:after="160" w:before="80"/>
      </w:pPr>
      <w:r>
        <w:rPr>
          <w:rFonts w:ascii="Arial" w:cs="Arial" w:eastAsia="Arial" w:hAnsi="Arial"/>
          <w:b w:val="false"/>
          <w:bCs w:val="false"/>
          <w:color w:val="1C2833"/>
          <w:sz w:val="22"/>
          <w:szCs w:val="22"/>
        </w:rPr>
        <w:t xml:space="preserve">Trois elements du code actuel auront un impact direct sur la strategie de migration :</w:t>
      </w:r>
    </w:p>
    <w:p>
      <w:pPr>
        <w:pStyle w:val="ListParagraph"/>
        <w:numPr>
          <w:ilvl w:val="0"/>
          <w:numId w:val="2"/>
        </w:numPr>
        <w:spacing w:after="60" w:before="60"/>
      </w:pPr>
      <w:r>
        <w:rPr>
          <w:rFonts w:ascii="Arial" w:cs="Arial" w:eastAsia="Arial" w:hAnsi="Arial"/>
          <w:color w:val="1C2833"/>
          <w:sz w:val="22"/>
          <w:szCs w:val="22"/>
        </w:rPr>
        <w:t xml:space="preserve">AppSettings (table app_settings) : singleton absolu - 1 enregistrement = 1 ferme. En SaaS, chaque client doit avoir ses propres parametres (nom ferme, logo, contact).</w:t>
      </w:r>
    </w:p>
    <w:p>
      <w:pPr>
        <w:pStyle w:val="ListParagraph"/>
        <w:numPr>
          <w:ilvl w:val="0"/>
          <w:numId w:val="2"/>
        </w:numPr>
        <w:spacing w:after="60" w:before="60"/>
      </w:pPr>
      <w:r>
        <w:rPr>
          <w:rFonts w:ascii="Arial" w:cs="Arial" w:eastAsia="Arial" w:hAnsi="Arial"/>
          <w:color w:val="1C2833"/>
          <w:sz w:val="22"/>
          <w:szCs w:val="22"/>
        </w:rPr>
        <w:t xml:space="preserve">ParametresEleveur : identique. Les seuils (nee vivants, occupation box) sont uniques par instance.</w:t>
      </w:r>
    </w:p>
    <w:p>
      <w:pPr>
        <w:pStyle w:val="ListParagraph"/>
        <w:numPr>
          <w:ilvl w:val="0"/>
          <w:numId w:val="2"/>
        </w:numPr>
        <w:spacing w:after="60" w:before="60"/>
      </w:pPr>
      <w:r>
        <w:rPr>
          <w:rFonts w:ascii="Arial" w:cs="Arial" w:eastAsia="Arial" w:hAnsi="Arial"/>
          <w:color w:val="1C2833"/>
          <w:sz w:val="22"/>
          <w:szCs w:val="22"/>
        </w:rPr>
        <w:t xml:space="preserve">Utilisateur : aucun lien avec une ferme. En multi-tenant, chaque utilisateur doit appartenir a un client specifique.</w:t>
      </w:r>
    </w:p>
    <w:p>
      <w:pPr>
        <w:pStyle w:val="ListParagraph"/>
        <w:numPr>
          <w:ilvl w:val="0"/>
          <w:numId w:val="2"/>
        </w:numPr>
        <w:spacing w:after="60" w:before="60"/>
      </w:pPr>
      <w:r>
        <w:rPr>
          <w:rFonts w:ascii="Arial" w:cs="Arial" w:eastAsia="Arial" w:hAnsi="Arial"/>
          <w:color w:val="1C2833"/>
          <w:sz w:val="22"/>
          <w:szCs w:val="22"/>
        </w:rPr>
        <w:t xml:space="preserve">DataInitializer : cree les roles et un administrateur en dur au demarrage. Devra devenir par-tenant.</w:t>
      </w:r>
    </w:p>
    <w:p>
      <w:pPr>
        <w:pStyle w:val="ListParagraph"/>
        <w:numPr>
          <w:ilvl w:val="0"/>
          <w:numId w:val="2"/>
        </w:numPr>
        <w:spacing w:after="60" w:before="60"/>
      </w:pPr>
      <w:r>
        <w:rPr>
          <w:rFonts w:ascii="Arial" w:cs="Arial" w:eastAsia="Arial" w:hAnsi="Arial"/>
          <w:color w:val="1C2833"/>
          <w:sz w:val="22"/>
          <w:szCs w:val="22"/>
        </w:rPr>
        <w:t xml:space="preserve">RolePermissions (objet statique) : compatible multi-tenant - les permissions restent globales, leur attribution devient par-client.</w:t>
      </w:r>
    </w:p>
    <w:p>
      <w:pPr>
        <w:spacing w:after="160" w:before="160"/>
      </w:pPr>
      <w:r>
        <w:t xml:space="preserve"/>
      </w:r>
    </w:p>
    <w:p>
      <w:r>
        <w:br w:type="page"/>
      </w:r>
    </w:p>
    <w:p>
      <w:pPr>
        <w:pStyle w:val="Heading1"/>
        <w:spacing w:after="200" w:before="400"/>
      </w:pPr>
      <w:r>
        <w:rPr>
          <w:rFonts w:ascii="Arial" w:cs="Arial" w:eastAsia="Arial" w:hAnsi="Arial"/>
          <w:b/>
          <w:bCs/>
          <w:color w:val="1B4F8A"/>
          <w:sz w:val="36"/>
          <w:szCs w:val="36"/>
        </w:rPr>
        <w:t xml:space="preserve">2.  Les quatre strategies multi-tenant : vue comparative</w:t>
      </w:r>
    </w:p>
    <w:p>
      <w:pPr>
        <w:pBdr>
          <w:bottom w:val="single" w:color="2E86C1" w:sz="6" w:space="1"/>
        </w:pBdr>
        <w:spacing w:after="120" w:before="120"/>
      </w:pPr>
      <w:r>
        <w:t xml:space="preserve"/>
      </w:r>
    </w:p>
    <w:p>
      <w:pPr>
        <w:spacing w:after="160" w:before="80"/>
      </w:pPr>
      <w:r>
        <w:rPr>
          <w:rFonts w:ascii="Arial" w:cs="Arial" w:eastAsia="Arial" w:hAnsi="Arial"/>
          <w:b w:val="false"/>
          <w:bCs w:val="false"/>
          <w:color w:val="1C2833"/>
          <w:sz w:val="22"/>
          <w:szCs w:val="22"/>
        </w:rPr>
        <w:t xml:space="preserve">Quatre grandes architectures existent pour implementer le multi-tenancy. Voici leur comparaison sur les criteres qui comptent pour ce projet.</w:t>
      </w:r>
    </w:p>
    <w:p>
      <w:pPr>
        <w:spacing w:after="160" w:before="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1640"/>
        <w:gridCol w:w="1640"/>
        <w:gridCol w:w="1700"/>
        <w:gridCol w:w="1780"/>
      </w:tblGrid>
      <w:tr>
        <w:trPr>
          <w:tblHeader/>
        </w:trPr>
        <w:tc>
          <w:tcPr>
            <w:tcW w:type="dxa" w:w="25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Critere</w:t>
            </w:r>
          </w:p>
        </w:tc>
        <w:tc>
          <w:tcPr>
            <w:tcW w:type="dxa" w:w="164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A - tenant_id</w:t>
            </w:r>
          </w:p>
        </w:tc>
        <w:tc>
          <w:tcPr>
            <w:tcW w:type="dxa" w:w="164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B - Schema</w:t>
            </w:r>
          </w:p>
        </w:tc>
        <w:tc>
          <w:tcPr>
            <w:tcW w:type="dxa" w:w="17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 - DB dédiée</w:t>
            </w:r>
          </w:p>
        </w:tc>
        <w:tc>
          <w:tcPr>
            <w:tcW w:type="dxa" w:w="178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D - Préfixe table</w:t>
            </w:r>
          </w:p>
        </w:tc>
      </w:tr>
      <w:tr>
        <w:tc>
          <w:tcPr>
            <w:tcW w:type="dxa" w:w="25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Isolation des données</w:t>
            </w:r>
          </w:p>
        </w:tc>
        <w:tc>
          <w:tcPr>
            <w:tcW w:type="dxa" w:w="164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Faible</w:t>
            </w:r>
          </w:p>
        </w:tc>
        <w:tc>
          <w:tcPr>
            <w:tcW w:type="dxa" w:w="164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Forte</w:t>
            </w:r>
          </w:p>
        </w:tc>
        <w:tc>
          <w:tcPr>
            <w:tcW w:type="dxa" w:w="170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Totale</w:t>
            </w:r>
          </w:p>
        </w:tc>
        <w:tc>
          <w:tcPr>
            <w:tcW w:type="dxa" w:w="178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Faible</w:t>
            </w:r>
          </w:p>
        </w:tc>
      </w:tr>
      <w:tr>
        <w:tc>
          <w:tcPr>
            <w:tcW w:type="dxa" w:w="25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Risque fuite cross-tenant</w:t>
            </w:r>
          </w:p>
        </w:tc>
        <w:tc>
          <w:tcPr>
            <w:tcW w:type="dxa" w:w="164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bCs/>
                <w:color w:val="922B21"/>
                <w:sz w:val="20"/>
                <w:szCs w:val="20"/>
              </w:rPr>
              <w:t xml:space="preserve">RISQUE SQL</w:t>
            </w:r>
          </w:p>
        </w:tc>
        <w:tc>
          <w:tcPr>
            <w:tcW w:type="dxa" w:w="164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Faible</w:t>
            </w:r>
          </w:p>
        </w:tc>
        <w:tc>
          <w:tcPr>
            <w:tcW w:type="dxa" w:w="170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Nul</w:t>
            </w:r>
          </w:p>
        </w:tc>
        <w:tc>
          <w:tcPr>
            <w:tcW w:type="dxa" w:w="178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bCs/>
                <w:color w:val="922B21"/>
                <w:sz w:val="20"/>
                <w:szCs w:val="20"/>
              </w:rPr>
              <w:t xml:space="preserve">RISQUE SQL</w:t>
            </w:r>
          </w:p>
        </w:tc>
      </w:tr>
      <w:tr>
        <w:tc>
          <w:tcPr>
            <w:tcW w:type="dxa" w:w="25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Complexite implementation</w:t>
            </w:r>
          </w:p>
        </w:tc>
        <w:tc>
          <w:tcPr>
            <w:tcW w:type="dxa" w:w="164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Faible</w:t>
            </w:r>
          </w:p>
        </w:tc>
        <w:tc>
          <w:tcPr>
            <w:tcW w:type="dxa" w:w="164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Moderee</w:t>
            </w:r>
          </w:p>
        </w:tc>
        <w:tc>
          <w:tcPr>
            <w:tcW w:type="dxa" w:w="17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Elevee</w:t>
            </w:r>
          </w:p>
        </w:tc>
        <w:tc>
          <w:tcPr>
            <w:tcW w:type="dxa" w:w="178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Elevee</w:t>
            </w:r>
          </w:p>
        </w:tc>
      </w:tr>
      <w:tr>
        <w:tc>
          <w:tcPr>
            <w:tcW w:type="dxa" w:w="25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Cout infra (100 clients)</w:t>
            </w:r>
          </w:p>
        </w:tc>
        <w:tc>
          <w:tcPr>
            <w:tcW w:type="dxa" w:w="164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Tres bas</w:t>
            </w:r>
          </w:p>
        </w:tc>
        <w:tc>
          <w:tcPr>
            <w:tcW w:type="dxa" w:w="164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Bas</w:t>
            </w:r>
          </w:p>
        </w:tc>
        <w:tc>
          <w:tcPr>
            <w:tcW w:type="dxa" w:w="17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Tres eleve</w:t>
            </w:r>
          </w:p>
        </w:tc>
        <w:tc>
          <w:tcPr>
            <w:tcW w:type="dxa" w:w="178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Tres bas</w:t>
            </w:r>
          </w:p>
        </w:tc>
      </w:tr>
      <w:tr>
        <w:tc>
          <w:tcPr>
            <w:tcW w:type="dxa" w:w="25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Performance grande echelle</w:t>
            </w:r>
          </w:p>
        </w:tc>
        <w:tc>
          <w:tcPr>
            <w:tcW w:type="dxa" w:w="164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Moyen</w:t>
            </w:r>
          </w:p>
        </w:tc>
        <w:tc>
          <w:tcPr>
            <w:tcW w:type="dxa" w:w="164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Bonne</w:t>
            </w:r>
          </w:p>
        </w:tc>
        <w:tc>
          <w:tcPr>
            <w:tcW w:type="dxa" w:w="170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Excellente</w:t>
            </w:r>
          </w:p>
        </w:tc>
        <w:tc>
          <w:tcPr>
            <w:tcW w:type="dxa" w:w="178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Moyen</w:t>
            </w:r>
          </w:p>
        </w:tc>
      </w:tr>
      <w:tr>
        <w:tc>
          <w:tcPr>
            <w:tcW w:type="dxa" w:w="25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Sauvegarde par client</w:t>
            </w:r>
          </w:p>
        </w:tc>
        <w:tc>
          <w:tcPr>
            <w:tcW w:type="dxa" w:w="164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Complexe</w:t>
            </w:r>
          </w:p>
        </w:tc>
        <w:tc>
          <w:tcPr>
            <w:tcW w:type="dxa" w:w="164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Facile</w:t>
            </w:r>
          </w:p>
        </w:tc>
        <w:tc>
          <w:tcPr>
            <w:tcW w:type="dxa" w:w="170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Triviale</w:t>
            </w:r>
          </w:p>
        </w:tc>
        <w:tc>
          <w:tcPr>
            <w:tcW w:type="dxa" w:w="178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Complexe</w:t>
            </w:r>
          </w:p>
        </w:tc>
      </w:tr>
      <w:tr>
        <w:tc>
          <w:tcPr>
            <w:tcW w:type="dxa" w:w="25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Migration depuis existant</w:t>
            </w:r>
          </w:p>
        </w:tc>
        <w:tc>
          <w:tcPr>
            <w:tcW w:type="dxa" w:w="164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Faible</w:t>
            </w:r>
          </w:p>
        </w:tc>
        <w:tc>
          <w:tcPr>
            <w:tcW w:type="dxa" w:w="164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Moderee</w:t>
            </w:r>
          </w:p>
        </w:tc>
        <w:tc>
          <w:tcPr>
            <w:tcW w:type="dxa" w:w="17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Lourde</w:t>
            </w:r>
          </w:p>
        </w:tc>
        <w:tc>
          <w:tcPr>
            <w:tcW w:type="dxa" w:w="178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Tres lourde</w:t>
            </w:r>
          </w:p>
        </w:tc>
      </w:tr>
      <w:tr>
        <w:tc>
          <w:tcPr>
            <w:tcW w:type="dxa" w:w="25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Compat. Hibernate/JPA</w:t>
            </w:r>
          </w:p>
        </w:tc>
        <w:tc>
          <w:tcPr>
            <w:tcW w:type="dxa" w:w="164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Excellente</w:t>
            </w:r>
          </w:p>
        </w:tc>
        <w:tc>
          <w:tcPr>
            <w:tcW w:type="dxa" w:w="164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Bonne</w:t>
            </w:r>
          </w:p>
        </w:tc>
        <w:tc>
          <w:tcPr>
            <w:tcW w:type="dxa" w:w="170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Excellente</w:t>
            </w:r>
          </w:p>
        </w:tc>
        <w:tc>
          <w:tcPr>
            <w:tcW w:type="dxa" w:w="178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Mauvaise</w:t>
            </w:r>
          </w:p>
        </w:tc>
      </w:tr>
      <w:tr>
        <w:tc>
          <w:tcPr>
            <w:tcW w:type="dxa" w:w="25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Schemas / entites JPA</w:t>
            </w:r>
          </w:p>
        </w:tc>
        <w:tc>
          <w:tcPr>
            <w:tcW w:type="dxa" w:w="164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Modif. requises</w:t>
            </w:r>
          </w:p>
        </w:tc>
        <w:tc>
          <w:tcPr>
            <w:tcW w:type="dxa" w:w="164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bCs/>
                <w:color w:val="1A5276"/>
                <w:sz w:val="20"/>
                <w:szCs w:val="20"/>
              </w:rPr>
              <w:t xml:space="preserve">AUCUNE</w:t>
            </w:r>
          </w:p>
        </w:tc>
        <w:tc>
          <w:tcPr>
            <w:tcW w:type="dxa" w:w="17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Aucune</w:t>
            </w:r>
          </w:p>
        </w:tc>
        <w:tc>
          <w:tcPr>
            <w:tcW w:type="dxa" w:w="178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Modif. lourdes</w:t>
            </w:r>
          </w:p>
        </w:tc>
      </w:tr>
      <w:tr>
        <w:tc>
          <w:tcPr>
            <w:tcW w:type="dxa" w:w="25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Verdict</w:t>
            </w:r>
          </w:p>
        </w:tc>
        <w:tc>
          <w:tcPr>
            <w:tcW w:type="dxa" w:w="164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Acceptable</w:t>
            </w:r>
          </w:p>
        </w:tc>
        <w:tc>
          <w:tcPr>
            <w:tcW w:type="dxa" w:w="164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bCs/>
                <w:color w:val="1A5276"/>
                <w:sz w:val="20"/>
                <w:szCs w:val="20"/>
              </w:rPr>
              <w:t xml:space="preserve">RECOMMANDE</w:t>
            </w:r>
          </w:p>
        </w:tc>
        <w:tc>
          <w:tcPr>
            <w:tcW w:type="dxa" w:w="17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Enterprise</w:t>
            </w:r>
          </w:p>
        </w:tc>
        <w:tc>
          <w:tcPr>
            <w:tcW w:type="dxa" w:w="178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bCs/>
                <w:color w:val="922B21"/>
                <w:sz w:val="20"/>
                <w:szCs w:val="20"/>
              </w:rPr>
              <w:t xml:space="preserve">DECONSEILLE</w:t>
            </w:r>
          </w:p>
        </w:tc>
      </w:tr>
    </w:tbl>
    <w:p>
      <w:pPr>
        <w:spacing w:after="160" w:before="200"/>
      </w:pPr>
      <w:r>
        <w:t xml:space="preserve"/>
      </w:r>
    </w:p>
    <w:p>
      <w:r>
        <w:br w:type="page"/>
      </w:r>
    </w:p>
    <w:p>
      <w:pPr>
        <w:pStyle w:val="Heading1"/>
        <w:spacing w:after="200" w:before="400"/>
      </w:pPr>
      <w:r>
        <w:rPr>
          <w:rFonts w:ascii="Arial" w:cs="Arial" w:eastAsia="Arial" w:hAnsi="Arial"/>
          <w:b/>
          <w:bCs/>
          <w:color w:val="1B4F8A"/>
          <w:sz w:val="36"/>
          <w:szCs w:val="36"/>
        </w:rPr>
        <w:t xml:space="preserve">3.  Solution 1 (Recommandee) : Schema PostgreSQL par tenant</w:t>
      </w:r>
    </w:p>
    <w:p>
      <w:pPr>
        <w:pBdr>
          <w:bottom w:val="single" w:color="2E86C1" w:sz="6" w:space="1"/>
        </w:pBdr>
        <w:spacing w:after="120" w:before="120"/>
      </w:pPr>
      <w:r>
        <w:t xml:space="preserve"/>
      </w:r>
    </w:p>
    <w:p>
      <w:pPr>
        <w:spacing w:after="160" w:before="80"/>
      </w:pPr>
      <w:r>
        <w:rPr>
          <w:rFonts w:ascii="Arial" w:cs="Arial" w:eastAsia="Arial" w:hAnsi="Arial"/>
          <w:b w:val="false"/>
          <w:bCs w:val="false"/>
          <w:color w:val="1C2833"/>
          <w:sz w:val="22"/>
          <w:szCs w:val="22"/>
        </w:rPr>
        <w:t xml:space="preserve">Chaque client obtient son propre schema PostgreSQL au sein de la meme base de donnees. Les tables gardent exactement leur nom actuel. Hibernate charge le bon schema dynamiquement via un CurrentTenantIdentifierResolver.</w:t>
      </w:r>
    </w:p>
    <w:p>
      <w:pPr>
        <w:spacing w:after="160" w:before="100"/>
      </w:pPr>
      <w:r>
        <w:t xml:space="preserve"/>
      </w:r>
    </w:p>
    <w:p>
      <w:pPr>
        <w:pStyle w:val="Heading2"/>
        <w:spacing w:after="160" w:before="320"/>
      </w:pPr>
      <w:r>
        <w:rPr>
          <w:rFonts w:ascii="Arial" w:cs="Arial" w:eastAsia="Arial" w:hAnsi="Arial"/>
          <w:b/>
          <w:bCs/>
          <w:color w:val="2E86C1"/>
          <w:sz w:val="28"/>
          <w:szCs w:val="28"/>
        </w:rPr>
        <w:t xml:space="preserve">3.1  Principe de fonctionnement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8660"/>
      </w:tblGrid>
      <w:tr>
        <w:tc>
          <w:tcPr>
            <w:tcW w:type="dxa" w:w="6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1</w:t>
            </w:r>
          </w:p>
        </w:tc>
        <w:tc>
          <w:tcPr>
            <w:tcW w:type="dxa" w:w="86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A l'inscription d'un client : CREATE SCHEMA ferme_bf_001 — toutes les tables JPA sont creees dans ce schema par Flyway.</w:t>
            </w:r>
          </w:p>
        </w:tc>
      </w:tr>
      <w:tr>
        <w:tc>
          <w:tcPr>
            <w:tcW w:type="dxa" w:w="600"/>
            <w:tcBorders>
              <w:top w:val="single" w:color="AED6F1" w:sz="4"/>
              <w:left w:val="single" w:color="AED6F1" w:sz="4"/>
              <w:bottom w:val="single" w:color="AED6F1" w:sz="4"/>
              <w:right w:val="single" w:color="AED6F1" w:sz="4"/>
            </w:tcBorders>
            <w:shd w:fill="2E86C1"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2</w:t>
            </w:r>
          </w:p>
        </w:tc>
        <w:tc>
          <w:tcPr>
            <w:tcW w:type="dxa" w:w="866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Le JWT embarque le champ tenantId (ex. : ferme_bf_001).</w:t>
            </w:r>
          </w:p>
        </w:tc>
      </w:tr>
      <w:tr>
        <w:tc>
          <w:tcPr>
            <w:tcW w:type="dxa" w:w="6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3</w:t>
            </w:r>
          </w:p>
        </w:tc>
        <w:tc>
          <w:tcPr>
            <w:tcW w:type="dxa" w:w="86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JwtAuthenticationFilter extrait le tenantId et le stocke dans TenantContext (ThreadLocal).</w:t>
            </w:r>
          </w:p>
        </w:tc>
      </w:tr>
      <w:tr>
        <w:tc>
          <w:tcPr>
            <w:tcW w:type="dxa" w:w="600"/>
            <w:tcBorders>
              <w:top w:val="single" w:color="AED6F1" w:sz="4"/>
              <w:left w:val="single" w:color="AED6F1" w:sz="4"/>
              <w:bottom w:val="single" w:color="AED6F1" w:sz="4"/>
              <w:right w:val="single" w:color="AED6F1" w:sz="4"/>
            </w:tcBorders>
            <w:shd w:fill="2E86C1"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4</w:t>
            </w:r>
          </w:p>
        </w:tc>
        <w:tc>
          <w:tcPr>
            <w:tcW w:type="dxa" w:w="866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MultiTenantConnectionProvider execute SET search_path TO ferme_bf_001 avant chaque requete SQL.</w:t>
            </w:r>
          </w:p>
        </w:tc>
      </w:tr>
      <w:tr>
        <w:tc>
          <w:tcPr>
            <w:tcW w:type="dxa" w:w="6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5</w:t>
            </w:r>
          </w:p>
        </w:tc>
        <w:tc>
          <w:tcPr>
            <w:tcW w:type="dxa" w:w="86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Hibernate ne voit que les tables du bon schema - zero risque de cross-tenant, aucune modification des entites.</w:t>
            </w:r>
          </w:p>
        </w:tc>
      </w:tr>
    </w:tbl>
    <w:p>
      <w:pPr>
        <w:spacing w:after="160" w:before="120"/>
      </w:pPr>
      <w:r>
        <w:t xml:space="preserve"/>
      </w:r>
    </w:p>
    <w:p>
      <w:pPr>
        <w:pStyle w:val="Heading2"/>
        <w:spacing w:after="160" w:before="320"/>
      </w:pPr>
      <w:r>
        <w:rPr>
          <w:rFonts w:ascii="Arial" w:cs="Arial" w:eastAsia="Arial" w:hAnsi="Arial"/>
          <w:b/>
          <w:bCs/>
          <w:color w:val="2E86C1"/>
          <w:sz w:val="28"/>
          <w:szCs w:val="28"/>
        </w:rPr>
        <w:t xml:space="preserve">3.2  Avantages</w:t>
      </w:r>
    </w:p>
    <w:p>
      <w:pPr>
        <w:pStyle w:val="ListParagraph"/>
        <w:numPr>
          <w:ilvl w:val="0"/>
          <w:numId w:val="2"/>
        </w:numPr>
        <w:spacing w:after="60" w:before="60"/>
      </w:pPr>
      <w:r>
        <w:rPr>
          <w:rFonts w:ascii="Arial" w:cs="Arial" w:eastAsia="Arial" w:hAnsi="Arial"/>
          <w:color w:val="1C2833"/>
          <w:sz w:val="22"/>
          <w:szCs w:val="22"/>
        </w:rPr>
        <w:t xml:space="preserve">Isolation forte : impossible pour un tenant d'acceder aux donnees d'un autre par erreur SQL ou JPQL.</w:t>
      </w:r>
    </w:p>
    <w:p>
      <w:pPr>
        <w:pStyle w:val="ListParagraph"/>
        <w:numPr>
          <w:ilvl w:val="0"/>
          <w:numId w:val="2"/>
        </w:numPr>
        <w:spacing w:after="60" w:before="60"/>
      </w:pPr>
      <w:r>
        <w:rPr>
          <w:rFonts w:ascii="Arial" w:cs="Arial" w:eastAsia="Arial" w:hAnsi="Arial"/>
          <w:color w:val="1C2833"/>
          <w:sz w:val="22"/>
          <w:szCs w:val="22"/>
        </w:rPr>
        <w:t xml:space="preserve">Code metier inchange : les entites JPA (Animal, AppSettings, Utilisateur, Batiment...) ne changent pas d'une ligne.</w:t>
      </w:r>
    </w:p>
    <w:p>
      <w:pPr>
        <w:pStyle w:val="ListParagraph"/>
        <w:numPr>
          <w:ilvl w:val="0"/>
          <w:numId w:val="2"/>
        </w:numPr>
        <w:spacing w:after="60" w:before="60"/>
      </w:pPr>
      <w:r>
        <w:rPr>
          <w:rFonts w:ascii="Arial" w:cs="Arial" w:eastAsia="Arial" w:hAnsi="Arial"/>
          <w:color w:val="1C2833"/>
          <w:sz w:val="22"/>
          <w:szCs w:val="22"/>
        </w:rPr>
        <w:t xml:space="preserve">Sauvegarde simple et propre : pg_dump --schema=ferme_bf_001 restaure un seul client sans aucun impact sur les autres.</w:t>
      </w:r>
    </w:p>
    <w:p>
      <w:pPr>
        <w:pStyle w:val="ListParagraph"/>
        <w:numPr>
          <w:ilvl w:val="0"/>
          <w:numId w:val="2"/>
        </w:numPr>
        <w:spacing w:after="60" w:before="60"/>
      </w:pPr>
      <w:r>
        <w:rPr>
          <w:rFonts w:ascii="Arial" w:cs="Arial" w:eastAsia="Arial" w:hAnsi="Arial"/>
          <w:color w:val="1C2833"/>
          <w:sz w:val="22"/>
          <w:szCs w:val="22"/>
        </w:rPr>
        <w:t xml:space="preserve">Migration depuis l'existant : le schema public devient simplement le schema du premier client (ferme_default ou ferme_bf_001).</w:t>
      </w:r>
    </w:p>
    <w:p>
      <w:pPr>
        <w:pStyle w:val="ListParagraph"/>
        <w:numPr>
          <w:ilvl w:val="0"/>
          <w:numId w:val="2"/>
        </w:numPr>
        <w:spacing w:after="60" w:before="60"/>
      </w:pPr>
      <w:r>
        <w:rPr>
          <w:rFonts w:ascii="Arial" w:cs="Arial" w:eastAsia="Arial" w:hAnsi="Arial"/>
          <w:color w:val="1C2833"/>
          <w:sz w:val="22"/>
          <w:szCs w:val="22"/>
        </w:rPr>
        <w:t xml:space="preserve">Cout infra negligeable : une seule instance PostgreSQL, un seul container Docker, un seul deploiement Render.</w:t>
      </w:r>
    </w:p>
    <w:p>
      <w:pPr>
        <w:pStyle w:val="ListParagraph"/>
        <w:numPr>
          <w:ilvl w:val="0"/>
          <w:numId w:val="2"/>
        </w:numPr>
        <w:spacing w:after="60" w:before="60"/>
      </w:pPr>
      <w:r>
        <w:rPr>
          <w:rFonts w:ascii="Arial" w:cs="Arial" w:eastAsia="Arial" w:hAnsi="Arial"/>
          <w:color w:val="1C2833"/>
          <w:sz w:val="22"/>
          <w:szCs w:val="22"/>
        </w:rPr>
        <w:t xml:space="preserve">Support Hibernate natif via MultiTenancyStrategy.SCHEMA - fonctionnalite stable et documentee.</w:t>
      </w:r>
    </w:p>
    <w:p>
      <w:pPr>
        <w:pStyle w:val="ListParagraph"/>
        <w:numPr>
          <w:ilvl w:val="0"/>
          <w:numId w:val="2"/>
        </w:numPr>
        <w:spacing w:after="60" w:before="60"/>
      </w:pPr>
      <w:r>
        <w:rPr>
          <w:rFonts w:ascii="Arial" w:cs="Arial" w:eastAsia="Arial" w:hAnsi="Arial"/>
          <w:color w:val="1C2833"/>
          <w:sz w:val="22"/>
          <w:szCs w:val="22"/>
        </w:rPr>
        <w:t xml:space="preserve">Conformite RGPD facilitee : suppression d'un client = DROP SCHEMA ferme_xxx CASCADE - complet et propre.</w:t>
      </w:r>
    </w:p>
    <w:p>
      <w:pPr>
        <w:spacing w:after="160" w:before="80"/>
      </w:pPr>
      <w:r>
        <w:t xml:space="preserve"/>
      </w:r>
    </w:p>
    <w:p>
      <w:pPr>
        <w:pStyle w:val="Heading2"/>
        <w:spacing w:after="160" w:before="320"/>
      </w:pPr>
      <w:r>
        <w:rPr>
          <w:rFonts w:ascii="Arial" w:cs="Arial" w:eastAsia="Arial" w:hAnsi="Arial"/>
          <w:b/>
          <w:bCs/>
          <w:color w:val="2E86C1"/>
          <w:sz w:val="28"/>
          <w:szCs w:val="28"/>
        </w:rPr>
        <w:t xml:space="preserve">3.3  Inconvenients</w:t>
      </w:r>
    </w:p>
    <w:p>
      <w:pPr>
        <w:pStyle w:val="ListParagraph"/>
        <w:numPr>
          <w:ilvl w:val="0"/>
          <w:numId w:val="2"/>
        </w:numPr>
        <w:spacing w:after="60" w:before="60"/>
      </w:pPr>
      <w:r>
        <w:rPr>
          <w:rFonts w:ascii="Arial" w:cs="Arial" w:eastAsia="Arial" w:hAnsi="Arial"/>
          <w:color w:val="1C2833"/>
          <w:sz w:val="22"/>
          <w:szCs w:val="22"/>
        </w:rPr>
        <w:t xml:space="preserve">Ajout de 3 a 4 classes Kotlin : TenantContext, CurrentTenantIdentifierResolver, MultiTenantConnectionProvider, TenantService.</w:t>
      </w:r>
    </w:p>
    <w:p>
      <w:pPr>
        <w:pStyle w:val="ListParagraph"/>
        <w:numPr>
          <w:ilvl w:val="0"/>
          <w:numId w:val="2"/>
        </w:numPr>
        <w:spacing w:after="60" w:before="60"/>
      </w:pPr>
      <w:r>
        <w:rPr>
          <w:rFonts w:ascii="Arial" w:cs="Arial" w:eastAsia="Arial" w:hAnsi="Arial"/>
          <w:color w:val="1C2833"/>
          <w:sz w:val="22"/>
          <w:szCs w:val="22"/>
        </w:rPr>
        <w:t xml:space="preserve">Migrations Flyway doivent s'appliquer a chaque schema (automatisable, mais a concevoir).</w:t>
      </w:r>
    </w:p>
    <w:p>
      <w:pPr>
        <w:pStyle w:val="ListParagraph"/>
        <w:numPr>
          <w:ilvl w:val="0"/>
          <w:numId w:val="2"/>
        </w:numPr>
        <w:spacing w:after="60" w:before="60"/>
      </w:pPr>
      <w:r>
        <w:rPr>
          <w:rFonts w:ascii="Arial" w:cs="Arial" w:eastAsia="Arial" w:hAnsi="Arial"/>
          <w:color w:val="1C2833"/>
          <w:sz w:val="22"/>
          <w:szCs w:val="22"/>
        </w:rPr>
        <w:t xml:space="preserve">Limite theorique : quelques milliers de schemas par instance PostgreSQL (largement suffisant pour ce projet).</w:t>
      </w:r>
    </w:p>
    <w:p>
      <w:pPr>
        <w:spacing w:after="160" w:before="80"/>
      </w:pPr>
      <w:r>
        <w:t xml:space="preserve"/>
      </w:r>
    </w:p>
    <w:p>
      <w:pPr>
        <w:pStyle w:val="Heading2"/>
        <w:spacing w:after="160" w:before="320"/>
      </w:pPr>
      <w:r>
        <w:rPr>
          <w:rFonts w:ascii="Arial" w:cs="Arial" w:eastAsia="Arial" w:hAnsi="Arial"/>
          <w:b/>
          <w:bCs/>
          <w:color w:val="2E86C1"/>
          <w:sz w:val="28"/>
          <w:szCs w:val="28"/>
        </w:rPr>
        <w:t xml:space="preserve">3.4  Effort d'implementation par composant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460"/>
      </w:tblGrid>
      <w:tr>
        <w:trPr>
          <w:tblHeader/>
        </w:trPr>
        <w:tc>
          <w:tcPr>
            <w:tcW w:type="dxa" w:w="40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Element a modifier ou creer</w:t>
            </w:r>
          </w:p>
        </w:tc>
        <w:tc>
          <w:tcPr>
            <w:tcW w:type="dxa" w:w="18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Effort</w:t>
            </w:r>
          </w:p>
        </w:tc>
        <w:tc>
          <w:tcPr>
            <w:tcW w:type="dxa" w:w="346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Commentaire</w:t>
            </w:r>
          </w:p>
        </w:tc>
      </w:tr>
      <w:tr>
        <w:tc>
          <w:tcPr>
            <w:tcW w:type="dxa" w:w="40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Entites JPA (Animal, AppSettings, Utilisateur...)</w:t>
            </w:r>
          </w:p>
        </w:tc>
        <w:tc>
          <w:tcPr>
            <w:tcW w:type="dxa" w:w="180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Aucun</w:t>
            </w:r>
          </w:p>
        </w:tc>
        <w:tc>
          <w:tcPr>
            <w:tcW w:type="dxa" w:w="346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7F8C8D"/>
                <w:sz w:val="20"/>
                <w:szCs w:val="20"/>
              </w:rPr>
              <w:t xml:space="preserve">Zero modification requise</w:t>
            </w:r>
          </w:p>
        </w:tc>
      </w:tr>
      <w:tr>
        <w:tc>
          <w:tcPr>
            <w:tcW w:type="dxa" w:w="40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JwtUtil + filtre JWT</w:t>
            </w:r>
          </w:p>
        </w:tc>
        <w:tc>
          <w:tcPr>
            <w:tcW w:type="dxa" w:w="1800"/>
            <w:tcBorders>
              <w:top w:val="single" w:color="AED6F1" w:sz="4"/>
              <w:left w:val="single" w:color="AED6F1" w:sz="4"/>
              <w:bottom w:val="single" w:color="AED6F1" w:sz="4"/>
              <w:right w:val="single" w:color="AED6F1" w:sz="4"/>
            </w:tcBorders>
            <w:shd w:fill="FEF9E7"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Faible</w:t>
            </w:r>
          </w:p>
        </w:tc>
        <w:tc>
          <w:tcPr>
            <w:tcW w:type="dxa" w:w="34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7F8C8D"/>
                <w:sz w:val="20"/>
                <w:szCs w:val="20"/>
              </w:rPr>
              <w:t xml:space="preserve">Ajouter extraction tenantId</w:t>
            </w:r>
          </w:p>
        </w:tc>
      </w:tr>
      <w:tr>
        <w:tc>
          <w:tcPr>
            <w:tcW w:type="dxa" w:w="40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TenantContext (ThreadLocal)</w:t>
            </w:r>
          </w:p>
        </w:tc>
        <w:tc>
          <w:tcPr>
            <w:tcW w:type="dxa" w:w="1800"/>
            <w:tcBorders>
              <w:top w:val="single" w:color="AED6F1" w:sz="4"/>
              <w:left w:val="single" w:color="AED6F1" w:sz="4"/>
              <w:bottom w:val="single" w:color="AED6F1" w:sz="4"/>
              <w:right w:val="single" w:color="AED6F1" w:sz="4"/>
            </w:tcBorders>
            <w:shd w:fill="FEF9E7"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Faible</w:t>
            </w:r>
          </w:p>
        </w:tc>
        <w:tc>
          <w:tcPr>
            <w:tcW w:type="dxa" w:w="346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7F8C8D"/>
                <w:sz w:val="20"/>
                <w:szCs w:val="20"/>
              </w:rPr>
              <w:t xml:space="preserve">Nouvelle classe, ~20 lignes</w:t>
            </w:r>
          </w:p>
        </w:tc>
      </w:tr>
      <w:tr>
        <w:tc>
          <w:tcPr>
            <w:tcW w:type="dxa" w:w="40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CurrentTenantIdentifierResolver</w:t>
            </w:r>
          </w:p>
        </w:tc>
        <w:tc>
          <w:tcPr>
            <w:tcW w:type="dxa" w:w="1800"/>
            <w:tcBorders>
              <w:top w:val="single" w:color="AED6F1" w:sz="4"/>
              <w:left w:val="single" w:color="AED6F1" w:sz="4"/>
              <w:bottom w:val="single" w:color="AED6F1" w:sz="4"/>
              <w:right w:val="single" w:color="AED6F1" w:sz="4"/>
            </w:tcBorders>
            <w:shd w:fill="FEF9E7"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Faible</w:t>
            </w:r>
          </w:p>
        </w:tc>
        <w:tc>
          <w:tcPr>
            <w:tcW w:type="dxa" w:w="34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7F8C8D"/>
                <w:sz w:val="20"/>
                <w:szCs w:val="20"/>
              </w:rPr>
              <w:t xml:space="preserve">Interface Hibernate, ~15 lignes</w:t>
            </w:r>
          </w:p>
        </w:tc>
      </w:tr>
      <w:tr>
        <w:tc>
          <w:tcPr>
            <w:tcW w:type="dxa" w:w="40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MultiTenantConnectionProvider</w:t>
            </w:r>
          </w:p>
        </w:tc>
        <w:tc>
          <w:tcPr>
            <w:tcW w:type="dxa" w:w="180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Moyen</w:t>
            </w:r>
          </w:p>
        </w:tc>
        <w:tc>
          <w:tcPr>
            <w:tcW w:type="dxa" w:w="346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7F8C8D"/>
                <w:sz w:val="20"/>
                <w:szCs w:val="20"/>
              </w:rPr>
              <w:t xml:space="preserve">Gere le search_path dynamique</w:t>
            </w:r>
          </w:p>
        </w:tc>
      </w:tr>
      <w:tr>
        <w:tc>
          <w:tcPr>
            <w:tcW w:type="dxa" w:w="40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TenantService (creation, liste, suppression)</w:t>
            </w:r>
          </w:p>
        </w:tc>
        <w:tc>
          <w:tcPr>
            <w:tcW w:type="dxa" w:w="180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Moyen</w:t>
            </w:r>
          </w:p>
        </w:tc>
        <w:tc>
          <w:tcPr>
            <w:tcW w:type="dxa" w:w="34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7F8C8D"/>
                <w:sz w:val="20"/>
                <w:szCs w:val="20"/>
              </w:rPr>
              <w:t xml:space="preserve">Couche metier tenant</w:t>
            </w:r>
          </w:p>
        </w:tc>
      </w:tr>
      <w:tr>
        <w:tc>
          <w:tcPr>
            <w:tcW w:type="dxa" w:w="40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API onboarding client (Super Admin)</w:t>
            </w:r>
          </w:p>
        </w:tc>
        <w:tc>
          <w:tcPr>
            <w:tcW w:type="dxa" w:w="180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Moyen</w:t>
            </w:r>
          </w:p>
        </w:tc>
        <w:tc>
          <w:tcPr>
            <w:tcW w:type="dxa" w:w="346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7F8C8D"/>
                <w:sz w:val="20"/>
                <w:szCs w:val="20"/>
              </w:rPr>
              <w:t xml:space="preserve">Endpoint creation/gestion tenant</w:t>
            </w:r>
          </w:p>
        </w:tc>
      </w:tr>
      <w:tr>
        <w:tc>
          <w:tcPr>
            <w:tcW w:type="dxa" w:w="40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DataInitializer adapte par-tenant</w:t>
            </w:r>
          </w:p>
        </w:tc>
        <w:tc>
          <w:tcPr>
            <w:tcW w:type="dxa" w:w="1800"/>
            <w:tcBorders>
              <w:top w:val="single" w:color="AED6F1" w:sz="4"/>
              <w:left w:val="single" w:color="AED6F1" w:sz="4"/>
              <w:bottom w:val="single" w:color="AED6F1" w:sz="4"/>
              <w:right w:val="single" w:color="AED6F1" w:sz="4"/>
            </w:tcBorders>
            <w:shd w:fill="FEF9E7"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Faible</w:t>
            </w:r>
          </w:p>
        </w:tc>
        <w:tc>
          <w:tcPr>
            <w:tcW w:type="dxa" w:w="34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7F8C8D"/>
                <w:sz w:val="20"/>
                <w:szCs w:val="20"/>
              </w:rPr>
              <w:t xml:space="preserve">Adapter l'existant</w:t>
            </w:r>
          </w:p>
        </w:tc>
      </w:tr>
      <w:tr>
        <w:tc>
          <w:tcPr>
            <w:tcW w:type="dxa" w:w="40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Flyway multi-schema</w:t>
            </w:r>
          </w:p>
        </w:tc>
        <w:tc>
          <w:tcPr>
            <w:tcW w:type="dxa" w:w="180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Moyen</w:t>
            </w:r>
          </w:p>
        </w:tc>
        <w:tc>
          <w:tcPr>
            <w:tcW w:type="dxa" w:w="346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7F8C8D"/>
                <w:sz w:val="20"/>
                <w:szCs w:val="20"/>
              </w:rPr>
              <w:t xml:space="preserve">Migration appliquee a chaque schema</w:t>
            </w:r>
          </w:p>
        </w:tc>
      </w:tr>
    </w:tbl>
    <w:p>
      <w:pPr>
        <w:spacing w:after="160" w:before="200"/>
      </w:pPr>
      <w:r>
        <w:t xml:space="preserve"/>
      </w:r>
    </w:p>
    <w:p>
      <w:r>
        <w:br w:type="page"/>
      </w:r>
    </w:p>
    <w:p>
      <w:pPr>
        <w:pStyle w:val="Heading1"/>
        <w:spacing w:after="200" w:before="400"/>
      </w:pPr>
      <w:r>
        <w:rPr>
          <w:rFonts w:ascii="Arial" w:cs="Arial" w:eastAsia="Arial" w:hAnsi="Arial"/>
          <w:b/>
          <w:bCs/>
          <w:color w:val="1B4F8A"/>
          <w:sz w:val="36"/>
          <w:szCs w:val="36"/>
        </w:rPr>
        <w:t xml:space="preserve">4.  Solution 2 (Alternative) : Colonne tenant_id</w:t>
      </w:r>
    </w:p>
    <w:p>
      <w:pPr>
        <w:pBdr>
          <w:bottom w:val="single" w:color="2E86C1" w:sz="6" w:space="1"/>
        </w:pBdr>
        <w:spacing w:after="120" w:before="120"/>
      </w:pPr>
      <w:r>
        <w:t xml:space="preserve"/>
      </w:r>
    </w:p>
    <w:p>
      <w:pPr>
        <w:spacing w:after="160" w:before="80"/>
      </w:pPr>
      <w:r>
        <w:rPr>
          <w:rFonts w:ascii="Arial" w:cs="Arial" w:eastAsia="Arial" w:hAnsi="Arial"/>
          <w:b w:val="false"/>
          <w:bCs w:val="false"/>
          <w:color w:val="1C2833"/>
          <w:sz w:val="22"/>
          <w:szCs w:val="22"/>
        </w:rPr>
        <w:t xml:space="preserve">Une colonne tenant_id (UUID) est ajoutee a chaque table metier. Toutes les requetes sont filtrees automatiquement via un @Filter Hibernate ou un intercepteur global. Un seul schema, une seule base, toutes les fermes cohabitent dans les memes tables.</w:t>
      </w:r>
    </w:p>
    <w:p>
      <w:pPr>
        <w:spacing w:after="160" w:before="100"/>
      </w:pPr>
      <w:r>
        <w:t xml:space="preserve"/>
      </w:r>
    </w:p>
    <w:p>
      <w:pPr>
        <w:pStyle w:val="Heading2"/>
        <w:spacing w:after="160" w:before="320"/>
      </w:pPr>
      <w:r>
        <w:rPr>
          <w:rFonts w:ascii="Arial" w:cs="Arial" w:eastAsia="Arial" w:hAnsi="Arial"/>
          <w:b/>
          <w:bCs/>
          <w:color w:val="2E86C1"/>
          <w:sz w:val="28"/>
          <w:szCs w:val="28"/>
        </w:rPr>
        <w:t xml:space="preserve">4.1  Principe de fonctionnement</w:t>
      </w:r>
    </w:p>
    <w:p>
      <w:pPr>
        <w:spacing w:after="160" w:before="80"/>
      </w:pPr>
      <w:r>
        <w:rPr>
          <w:rFonts w:ascii="Arial" w:cs="Arial" w:eastAsia="Arial" w:hAnsi="Arial"/>
          <w:b w:val="false"/>
          <w:bCs w:val="false"/>
          <w:color w:val="1C2833"/>
          <w:sz w:val="22"/>
          <w:szCs w:val="22"/>
        </w:rPr>
        <w:t xml:space="preserve">A chaque requete, Spring recupere le tenantId du JWT et l'injecte automatiquement dans toutes les operations JPA. La table Tenant (id, nom, prefixe_slug, actif, date_creation) est la table pivot. Hibernate peut filtrer via @Filter (active dans chaque @Entity) ou via un intercepteur global qui modifie chaque requete JPQL.</w:t>
      </w:r>
    </w:p>
    <w:p>
      <w:pPr>
        <w:spacing w:after="160" w:before="80"/>
      </w:pPr>
      <w:r>
        <w:t xml:space="preserve"/>
      </w:r>
    </w:p>
    <w:p>
      <w:pPr>
        <w:pStyle w:val="Heading2"/>
        <w:spacing w:after="160" w:before="320"/>
      </w:pPr>
      <w:r>
        <w:rPr>
          <w:rFonts w:ascii="Arial" w:cs="Arial" w:eastAsia="Arial" w:hAnsi="Arial"/>
          <w:b/>
          <w:bCs/>
          <w:color w:val="2E86C1"/>
          <w:sz w:val="28"/>
          <w:szCs w:val="28"/>
        </w:rPr>
        <w:t xml:space="preserve">4.2  Avantages</w:t>
      </w:r>
    </w:p>
    <w:p>
      <w:pPr>
        <w:pStyle w:val="ListParagraph"/>
        <w:numPr>
          <w:ilvl w:val="0"/>
          <w:numId w:val="2"/>
        </w:numPr>
        <w:spacing w:after="60" w:before="60"/>
      </w:pPr>
      <w:r>
        <w:rPr>
          <w:rFonts w:ascii="Arial" w:cs="Arial" w:eastAsia="Arial" w:hAnsi="Arial"/>
          <w:color w:val="1C2833"/>
          <w:sz w:val="22"/>
          <w:szCs w:val="22"/>
        </w:rPr>
        <w:t xml:space="preserve">Simplicite architecturale : pas de configuration Hibernate avancee (pas de MultiTenantConnectionProvider).</w:t>
      </w:r>
    </w:p>
    <w:p>
      <w:pPr>
        <w:pStyle w:val="ListParagraph"/>
        <w:numPr>
          <w:ilvl w:val="0"/>
          <w:numId w:val="2"/>
        </w:numPr>
        <w:spacing w:after="60" w:before="60"/>
      </w:pPr>
      <w:r>
        <w:rPr>
          <w:rFonts w:ascii="Arial" w:cs="Arial" w:eastAsia="Arial" w:hAnsi="Arial"/>
          <w:color w:val="1C2833"/>
          <w:sz w:val="22"/>
          <w:szCs w:val="22"/>
        </w:rPr>
        <w:t xml:space="preserve">Analytics transversaux faciles : une seule requete SQL peut couvrir tous les clients (utile pour un tableau de bord plateforme ou pour le module IA compare des performances entre fermes).</w:t>
      </w:r>
    </w:p>
    <w:p>
      <w:pPr>
        <w:pStyle w:val="ListParagraph"/>
        <w:numPr>
          <w:ilvl w:val="0"/>
          <w:numId w:val="2"/>
        </w:numPr>
        <w:spacing w:after="60" w:before="60"/>
      </w:pPr>
      <w:r>
        <w:rPr>
          <w:rFonts w:ascii="Arial" w:cs="Arial" w:eastAsia="Arial" w:hAnsi="Arial"/>
          <w:color w:val="1C2833"/>
          <w:sz w:val="22"/>
          <w:szCs w:val="22"/>
        </w:rPr>
        <w:t xml:space="preserve">Referentiels partages : TypeAnimal, TypeAliment, Traitement peuvent etre globaux (sans tenant_id) ou par-client selon le besoin.</w:t>
      </w:r>
    </w:p>
    <w:p>
      <w:pPr>
        <w:pStyle w:val="ListParagraph"/>
        <w:numPr>
          <w:ilvl w:val="0"/>
          <w:numId w:val="2"/>
        </w:numPr>
        <w:spacing w:after="60" w:before="60"/>
      </w:pPr>
      <w:r>
        <w:rPr>
          <w:rFonts w:ascii="Arial" w:cs="Arial" w:eastAsia="Arial" w:hAnsi="Arial"/>
          <w:color w:val="1C2833"/>
          <w:sz w:val="22"/>
          <w:szCs w:val="22"/>
        </w:rPr>
        <w:t xml:space="preserve">Migration Flyway unique pour tous les clients simultanément.</w:t>
      </w:r>
    </w:p>
    <w:p>
      <w:pPr>
        <w:spacing w:after="160" w:before="80"/>
      </w:pPr>
      <w:r>
        <w:t xml:space="preserve"/>
      </w:r>
    </w:p>
    <w:p>
      <w:pPr>
        <w:pStyle w:val="Heading2"/>
        <w:spacing w:after="160" w:before="320"/>
      </w:pPr>
      <w:r>
        <w:rPr>
          <w:rFonts w:ascii="Arial" w:cs="Arial" w:eastAsia="Arial" w:hAnsi="Arial"/>
          <w:b/>
          <w:bCs/>
          <w:color w:val="2E86C1"/>
          <w:sz w:val="28"/>
          <w:szCs w:val="28"/>
        </w:rPr>
        <w:t xml:space="preserve">4.3  Inconvenients</w:t>
      </w:r>
    </w:p>
    <w:p>
      <w:pPr>
        <w:pStyle w:val="ListParagraph"/>
        <w:numPr>
          <w:ilvl w:val="0"/>
          <w:numId w:val="2"/>
        </w:numPr>
        <w:spacing w:after="60" w:before="60"/>
      </w:pPr>
      <w:r>
        <w:rPr>
          <w:rFonts w:ascii="Arial" w:cs="Arial" w:eastAsia="Arial" w:hAnsi="Arial"/>
          <w:color w:val="1C2833"/>
          <w:sz w:val="22"/>
          <w:szCs w:val="22"/>
        </w:rPr>
        <w:t xml:space="preserve">Risque de fuite de donnees : un oubli du filtre WHERE tenant_id = ? dans une requete JPQL expose les donnees de TOUS les clients.</w:t>
      </w:r>
    </w:p>
    <w:p>
      <w:pPr>
        <w:pStyle w:val="ListParagraph"/>
        <w:numPr>
          <w:ilvl w:val="0"/>
          <w:numId w:val="2"/>
        </w:numPr>
        <w:spacing w:after="60" w:before="60"/>
      </w:pPr>
      <w:r>
        <w:rPr>
          <w:rFonts w:ascii="Arial" w:cs="Arial" w:eastAsia="Arial" w:hAnsi="Arial"/>
          <w:color w:val="1C2833"/>
          <w:sz w:val="22"/>
          <w:szCs w:val="22"/>
        </w:rPr>
        <w:t xml:space="preserve">Impact code important : chaque entite doit recevoir le champ tenantId + annotation @Filter ou logique @PrePersist.</w:t>
      </w:r>
    </w:p>
    <w:p>
      <w:pPr>
        <w:pStyle w:val="ListParagraph"/>
        <w:numPr>
          <w:ilvl w:val="0"/>
          <w:numId w:val="2"/>
        </w:numPr>
        <w:spacing w:after="60" w:before="60"/>
      </w:pPr>
      <w:r>
        <w:rPr>
          <w:rFonts w:ascii="Arial" w:cs="Arial" w:eastAsia="Arial" w:hAnsi="Arial"/>
          <w:color w:val="1C2833"/>
          <w:sz w:val="22"/>
          <w:szCs w:val="22"/>
        </w:rPr>
        <w:t xml:space="preserve">Index composites requis partout : (tenant_id, id) sur toutes les tables pour des performances acceptables.</w:t>
      </w:r>
    </w:p>
    <w:p>
      <w:pPr>
        <w:pStyle w:val="ListParagraph"/>
        <w:numPr>
          <w:ilvl w:val="0"/>
          <w:numId w:val="2"/>
        </w:numPr>
        <w:spacing w:after="60" w:before="60"/>
      </w:pPr>
      <w:r>
        <w:rPr>
          <w:rFonts w:ascii="Arial" w:cs="Arial" w:eastAsia="Arial" w:hAnsi="Arial"/>
          <w:color w:val="1C2833"/>
          <w:sz w:val="22"/>
          <w:szCs w:val="22"/>
        </w:rPr>
        <w:t xml:space="preserve">Sauvegarde par client : pg_dump partiel complexe, risque d'erreur et difficile a automatiser.</w:t>
      </w:r>
    </w:p>
    <w:p>
      <w:pPr>
        <w:pStyle w:val="ListParagraph"/>
        <w:numPr>
          <w:ilvl w:val="0"/>
          <w:numId w:val="2"/>
        </w:numPr>
        <w:spacing w:after="60" w:before="60"/>
      </w:pPr>
      <w:r>
        <w:rPr>
          <w:rFonts w:ascii="Arial" w:cs="Arial" w:eastAsia="Arial" w:hAnsi="Arial"/>
          <w:color w:val="1C2833"/>
          <w:sz w:val="22"/>
          <w:szCs w:val="22"/>
        </w:rPr>
        <w:t xml:space="preserve">Conformite RGPD : la suppression des donnees d'un client necessite des DELETE en cascade sur toutes les tables - operation risquee.</w:t>
      </w:r>
    </w:p>
    <w:p>
      <w:pPr>
        <w:spacing w:after="160" w:before="80"/>
      </w:pPr>
      <w:r>
        <w:t xml:space="preserve"/>
      </w:r>
    </w:p>
    <w:p>
      <w:pPr>
        <w:pStyle w:val="Heading2"/>
        <w:spacing w:after="160" w:before="320"/>
      </w:pPr>
      <w:r>
        <w:rPr>
          <w:rFonts w:ascii="Arial" w:cs="Arial" w:eastAsia="Arial" w:hAnsi="Arial"/>
          <w:b/>
          <w:bCs/>
          <w:color w:val="2E86C1"/>
          <w:sz w:val="28"/>
          <w:szCs w:val="28"/>
        </w:rPr>
        <w:t xml:space="preserve">4.4  Comparaison securite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400"/>
        <w:gridCol w:w="2930"/>
        <w:gridCol w:w="2930"/>
      </w:tblGrid>
      <w:tr>
        <w:trPr>
          <w:tblHeader/>
        </w:trPr>
        <w:tc>
          <w:tcPr>
            <w:tcW w:type="dxa" w:w="34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Scenario de risque</w:t>
            </w:r>
          </w:p>
        </w:tc>
        <w:tc>
          <w:tcPr>
            <w:tcW w:type="dxa" w:w="293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Sol. 2 (tenant_id)</w:t>
            </w:r>
          </w:p>
        </w:tc>
        <w:tc>
          <w:tcPr>
            <w:tcW w:type="dxa" w:w="293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Sol. 1 (schema)</w:t>
            </w:r>
          </w:p>
        </w:tc>
      </w:tr>
      <w:tr>
        <w:tc>
          <w:tcPr>
            <w:tcW w:type="dxa" w:w="34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Oubli filtre tenant dans une requete JPQL</w:t>
            </w:r>
          </w:p>
        </w:tc>
        <w:tc>
          <w:tcPr>
            <w:tcW w:type="dxa" w:w="293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ALERTE : tous les clients exposes</w:t>
            </w:r>
          </w:p>
        </w:tc>
        <w:tc>
          <w:tcPr>
            <w:tcW w:type="dxa" w:w="293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Impossible par design</w:t>
            </w:r>
          </w:p>
        </w:tc>
      </w:tr>
      <w:tr>
        <w:tc>
          <w:tcPr>
            <w:tcW w:type="dxa" w:w="34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Injection SQL contournant le filtre</w:t>
            </w:r>
          </w:p>
        </w:tc>
        <w:tc>
          <w:tcPr>
            <w:tcW w:type="dxa" w:w="293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Risque reel</w:t>
            </w:r>
          </w:p>
        </w:tc>
        <w:tc>
          <w:tcPr>
            <w:tcW w:type="dxa" w:w="2930"/>
            <w:tcBorders>
              <w:top w:val="single" w:color="AED6F1" w:sz="4"/>
              <w:left w:val="single" w:color="AED6F1" w:sz="4"/>
              <w:bottom w:val="single" w:color="AED6F1" w:sz="4"/>
              <w:right w:val="single" w:color="AED6F1" w:sz="4"/>
            </w:tcBorders>
            <w:shd w:fill="FEF9E7"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Isole par search_path</w:t>
            </w:r>
          </w:p>
        </w:tc>
      </w:tr>
      <w:tr>
        <w:tc>
          <w:tcPr>
            <w:tcW w:type="dxa" w:w="34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Restauration accidentelle d'un seul client</w:t>
            </w:r>
          </w:p>
        </w:tc>
        <w:tc>
          <w:tcPr>
            <w:tcW w:type="dxa" w:w="293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Complexe, risque de pollution</w:t>
            </w:r>
          </w:p>
        </w:tc>
        <w:tc>
          <w:tcPr>
            <w:tcW w:type="dxa" w:w="293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Facile, schema isole</w:t>
            </w:r>
          </w:p>
        </w:tc>
      </w:tr>
      <w:tr>
        <w:tc>
          <w:tcPr>
            <w:tcW w:type="dxa" w:w="34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Suppression RGPD complete d'un client</w:t>
            </w:r>
          </w:p>
        </w:tc>
        <w:tc>
          <w:tcPr>
            <w:tcW w:type="dxa" w:w="293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DELETE en cascade sur toutes tables</w:t>
            </w:r>
          </w:p>
        </w:tc>
        <w:tc>
          <w:tcPr>
            <w:tcW w:type="dxa" w:w="293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DROP SCHEMA - propre</w:t>
            </w:r>
          </w:p>
        </w:tc>
      </w:tr>
      <w:tr>
        <w:tc>
          <w:tcPr>
            <w:tcW w:type="dxa" w:w="34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Audit par client en production</w:t>
            </w:r>
          </w:p>
        </w:tc>
        <w:tc>
          <w:tcPr>
            <w:tcW w:type="dxa" w:w="2930"/>
            <w:tcBorders>
              <w:top w:val="single" w:color="AED6F1" w:sz="4"/>
              <w:left w:val="single" w:color="AED6F1" w:sz="4"/>
              <w:bottom w:val="single" w:color="AED6F1" w:sz="4"/>
              <w:right w:val="single" w:color="AED6F1" w:sz="4"/>
            </w:tcBorders>
            <w:shd w:fill="FDEDEC"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Filtre requis dans chaque requete</w:t>
            </w:r>
          </w:p>
        </w:tc>
        <w:tc>
          <w:tcPr>
            <w:tcW w:type="dxa" w:w="293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Naturel par schema</w:t>
            </w:r>
          </w:p>
        </w:tc>
      </w:tr>
    </w:tbl>
    <w:p>
      <w:pPr>
        <w:spacing w:after="160" w:before="200"/>
      </w:pPr>
      <w:r>
        <w:t xml:space="preserve"/>
      </w:r>
    </w:p>
    <w:p>
      <w:r>
        <w:br w:type="page"/>
      </w:r>
    </w:p>
    <w:p>
      <w:pPr>
        <w:pStyle w:val="Heading1"/>
        <w:spacing w:after="200" w:before="400"/>
      </w:pPr>
      <w:r>
        <w:rPr>
          <w:rFonts w:ascii="Arial" w:cs="Arial" w:eastAsia="Arial" w:hAnsi="Arial"/>
          <w:b/>
          <w:bCs/>
          <w:color w:val="1B4F8A"/>
          <w:sz w:val="36"/>
          <w:szCs w:val="36"/>
        </w:rPr>
        <w:t xml:space="preserve">5.  Gestion des utilisateurs et des roles en multi-tenant</w:t>
      </w:r>
    </w:p>
    <w:p>
      <w:pPr>
        <w:pBdr>
          <w:bottom w:val="single" w:color="2E86C1" w:sz="6" w:space="1"/>
        </w:pBdr>
        <w:spacing w:after="120" w:before="120"/>
      </w:pPr>
      <w:r>
        <w:t xml:space="preserve"/>
      </w:r>
    </w:p>
    <w:p>
      <w:pPr>
        <w:spacing w:after="160" w:before="80"/>
      </w:pPr>
      <w:r>
        <w:rPr>
          <w:rFonts w:ascii="Arial" w:cs="Arial" w:eastAsia="Arial" w:hAnsi="Arial"/>
          <w:b w:val="false"/>
          <w:bCs w:val="false"/>
          <w:color w:val="1C2833"/>
          <w:sz w:val="22"/>
          <w:szCs w:val="22"/>
        </w:rPr>
        <w:t xml:space="preserve">Le systeme de roles existant (ROLE_OUVRIER, ROLE_RESPONSABLE, ROLE_GERANT, ROLE_ADMINISTRATEUR) est bien conçu mais mono-tenant. Il doit evoluer vers un modele a deux niveaux.</w:t>
      </w:r>
    </w:p>
    <w:p>
      <w:pPr>
        <w:spacing w:after="160" w:before="100"/>
      </w:pPr>
      <w:r>
        <w:t xml:space="preserve"/>
      </w:r>
    </w:p>
    <w:p>
      <w:pPr>
        <w:pStyle w:val="Heading2"/>
        <w:spacing w:after="160" w:before="320"/>
      </w:pPr>
      <w:r>
        <w:rPr>
          <w:rFonts w:ascii="Arial" w:cs="Arial" w:eastAsia="Arial" w:hAnsi="Arial"/>
          <w:b/>
          <w:bCs/>
          <w:color w:val="2E86C1"/>
          <w:sz w:val="28"/>
          <w:szCs w:val="28"/>
        </w:rPr>
        <w:t xml:space="preserve">5.1  Deux niveaux d'administration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3330"/>
        <w:gridCol w:w="3330"/>
      </w:tblGrid>
      <w:tr>
        <w:trPr>
          <w:tblHeader/>
        </w:trPr>
        <w:tc>
          <w:tcPr>
            <w:tcW w:type="dxa" w:w="26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Niveau</w:t>
            </w:r>
          </w:p>
        </w:tc>
        <w:tc>
          <w:tcPr>
            <w:tcW w:type="dxa" w:w="333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Acteur</w:t>
            </w:r>
          </w:p>
        </w:tc>
        <w:tc>
          <w:tcPr>
            <w:tcW w:type="dxa" w:w="333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Perimetre</w:t>
            </w:r>
          </w:p>
        </w:tc>
      </w:tr>
      <w:tr>
        <w:tc>
          <w:tcPr>
            <w:tcW w:type="dxa" w:w="26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Super Admin (plateforme)</w:t>
            </w:r>
          </w:p>
        </w:tc>
        <w:tc>
          <w:tcPr>
            <w:tcW w:type="dxa" w:w="333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L'equipe qui gere le SaaS</w:t>
            </w:r>
          </w:p>
        </w:tc>
        <w:tc>
          <w:tcPr>
            <w:tcW w:type="dxa" w:w="333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Creation de tenants, facturation, monitoring global</w:t>
            </w:r>
          </w:p>
        </w:tc>
      </w:tr>
      <w:tr>
        <w:tc>
          <w:tcPr>
            <w:tcW w:type="dxa" w:w="2600"/>
            <w:tcBorders>
              <w:top w:val="single" w:color="AED6F1" w:sz="4"/>
              <w:left w:val="single" w:color="AED6F1" w:sz="4"/>
              <w:bottom w:val="single" w:color="AED6F1" w:sz="4"/>
              <w:right w:val="single" w:color="AED6F1" w:sz="4"/>
            </w:tcBorders>
            <w:shd w:fill="2E86C1"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Admin tenant (gerant ferme)</w:t>
            </w:r>
          </w:p>
        </w:tc>
        <w:tc>
          <w:tcPr>
            <w:tcW w:type="dxa" w:w="333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Le client lui-meme</w:t>
            </w:r>
          </w:p>
        </w:tc>
        <w:tc>
          <w:tcPr>
            <w:tcW w:type="dxa" w:w="333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Gere ses utilisateurs, ses parametres, ses donnees</w:t>
            </w:r>
          </w:p>
        </w:tc>
      </w:tr>
    </w:tbl>
    <w:p>
      <w:pPr>
        <w:spacing w:after="160" w:before="120"/>
      </w:pPr>
      <w:r>
        <w:t xml:space="preserve"/>
      </w:r>
    </w:p>
    <w:p>
      <w:pPr>
        <w:pStyle w:val="Heading2"/>
        <w:spacing w:after="160" w:before="320"/>
      </w:pPr>
      <w:r>
        <w:rPr>
          <w:rFonts w:ascii="Arial" w:cs="Arial" w:eastAsia="Arial" w:hAnsi="Arial"/>
          <w:b/>
          <w:bCs/>
          <w:color w:val="2E86C1"/>
          <w:sz w:val="28"/>
          <w:szCs w:val="28"/>
        </w:rPr>
        <w:t xml:space="preserve">5.2  Modifications du modele Utilisateur</w:t>
      </w:r>
    </w:p>
    <w:p>
      <w:pPr>
        <w:pStyle w:val="ListParagraph"/>
        <w:numPr>
          <w:ilvl w:val="0"/>
          <w:numId w:val="2"/>
        </w:numPr>
        <w:spacing w:after="60" w:before="60"/>
      </w:pPr>
      <w:r>
        <w:rPr>
          <w:rFonts w:ascii="Arial" w:cs="Arial" w:eastAsia="Arial" w:hAnsi="Arial"/>
          <w:color w:val="1C2833"/>
          <w:sz w:val="22"/>
          <w:szCs w:val="22"/>
        </w:rPr>
        <w:t xml:space="preserve">Avec Solution 1 (schema) : la table utilisateurs est deja dans le schema du tenant - AUCUNE modification de l'entite JPA.</w:t>
      </w:r>
    </w:p>
    <w:p>
      <w:pPr>
        <w:pStyle w:val="ListParagraph"/>
        <w:numPr>
          <w:ilvl w:val="0"/>
          <w:numId w:val="2"/>
        </w:numPr>
        <w:spacing w:after="60" w:before="60"/>
      </w:pPr>
      <w:r>
        <w:rPr>
          <w:rFonts w:ascii="Arial" w:cs="Arial" w:eastAsia="Arial" w:hAnsi="Arial"/>
          <w:color w:val="1C2833"/>
          <w:sz w:val="22"/>
          <w:szCs w:val="22"/>
        </w:rPr>
        <w:t xml:space="preserve">Avec Solution 2 (tenant_id) : ajouter tenantId: UUID a l'entite Utilisateur + filtre.</w:t>
      </w:r>
    </w:p>
    <w:p>
      <w:pPr>
        <w:pStyle w:val="ListParagraph"/>
        <w:numPr>
          <w:ilvl w:val="0"/>
          <w:numId w:val="2"/>
        </w:numPr>
        <w:spacing w:after="60" w:before="60"/>
      </w:pPr>
      <w:r>
        <w:rPr>
          <w:rFonts w:ascii="Arial" w:cs="Arial" w:eastAsia="Arial" w:hAnsi="Arial"/>
          <w:color w:val="1C2833"/>
          <w:sz w:val="22"/>
          <w:szCs w:val="22"/>
        </w:rPr>
        <w:t xml:space="preserve">Le role ROLE_ADMINISTRATEUR du DataInitializer devient le super-admin de la plateforme.</w:t>
      </w:r>
    </w:p>
    <w:p>
      <w:pPr>
        <w:pStyle w:val="ListParagraph"/>
        <w:numPr>
          <w:ilvl w:val="0"/>
          <w:numId w:val="2"/>
        </w:numPr>
        <w:spacing w:after="60" w:before="60"/>
      </w:pPr>
      <w:r>
        <w:rPr>
          <w:rFonts w:ascii="Arial" w:cs="Arial" w:eastAsia="Arial" w:hAnsi="Arial"/>
          <w:color w:val="1C2833"/>
          <w:sz w:val="22"/>
          <w:szCs w:val="22"/>
        </w:rPr>
        <w:t xml:space="preserve">Le role ROLE_GERANT devient l'admin de son tenant - peut creer des utilisateurs dans son perimetre uniquement.</w:t>
      </w:r>
    </w:p>
    <w:p>
      <w:pPr>
        <w:pStyle w:val="ListParagraph"/>
        <w:numPr>
          <w:ilvl w:val="0"/>
          <w:numId w:val="2"/>
        </w:numPr>
        <w:spacing w:after="60" w:before="60"/>
      </w:pPr>
      <w:r>
        <w:rPr>
          <w:rFonts w:ascii="Arial" w:cs="Arial" w:eastAsia="Arial" w:hAnsi="Arial"/>
          <w:color w:val="1C2833"/>
          <w:sz w:val="22"/>
          <w:szCs w:val="22"/>
        </w:rPr>
        <w:t xml:space="preserve">Les permissions existantes (enum Permission) restent inchangees - deja granulaires et bien conçues.</w:t>
      </w:r>
    </w:p>
    <w:p>
      <w:pPr>
        <w:pStyle w:val="ListParagraph"/>
        <w:numPr>
          <w:ilvl w:val="0"/>
          <w:numId w:val="2"/>
        </w:numPr>
        <w:spacing w:after="60" w:before="60"/>
      </w:pPr>
      <w:r>
        <w:rPr>
          <w:rFonts w:ascii="Arial" w:cs="Arial" w:eastAsia="Arial" w:hAnsi="Arial"/>
          <w:color w:val="1C2833"/>
          <w:sz w:val="22"/>
          <w:szCs w:val="22"/>
        </w:rPr>
        <w:t xml:space="preserve">RolePermissions (objet statique) reste valide - il est simplement applique dans le contexte du tenant courant.</w:t>
      </w:r>
    </w:p>
    <w:p>
      <w:pPr>
        <w:spacing w:after="160" w:before="80"/>
      </w:pPr>
      <w:r>
        <w:t xml:space="preserve"/>
      </w:r>
    </w:p>
    <w:p>
      <w:pPr>
        <w:pStyle w:val="Heading2"/>
        <w:spacing w:after="160" w:before="320"/>
      </w:pPr>
      <w:r>
        <w:rPr>
          <w:rFonts w:ascii="Arial" w:cs="Arial" w:eastAsia="Arial" w:hAnsi="Arial"/>
          <w:b/>
          <w:bCs/>
          <w:color w:val="2E86C1"/>
          <w:sz w:val="28"/>
          <w:szCs w:val="28"/>
        </w:rPr>
        <w:t xml:space="preserve">5.3  Modifications du JWT</w:t>
      </w:r>
    </w:p>
    <w:p>
      <w:pPr>
        <w:spacing w:after="160" w:before="80"/>
      </w:pPr>
      <w:r>
        <w:rPr>
          <w:rFonts w:ascii="Arial" w:cs="Arial" w:eastAsia="Arial" w:hAnsi="Arial"/>
          <w:b w:val="false"/>
          <w:bCs w:val="false"/>
          <w:color w:val="1C2833"/>
          <w:sz w:val="22"/>
          <w:szCs w:val="22"/>
        </w:rPr>
        <w:t xml:space="preserve">Le payload JWT actuel (username, role) doit embarquer un champ supplementaire tenantId. Exemple de payload enrichi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444444" w:sz="4"/>
              <w:left w:val="single" w:color="444444" w:sz="4"/>
              <w:bottom w:val="single" w:color="444444" w:sz="4"/>
              <w:right w:val="single" w:color="444444" w:sz="4"/>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8FF78"/>
                <w:sz w:val="18"/>
                <w:szCs w:val="18"/>
              </w:rPr>
              <w:t xml:space="preserve">{ "sub": "ouvrier@ferme-diallo.bf",</w:t>
            </w:r>
          </w:p>
          <w:p>
            <w:pPr>
              <w:spacing w:after="20" w:before="20"/>
            </w:pPr>
            <w:r>
              <w:rPr>
                <w:rFonts w:ascii="Courier New" w:cs="Courier New" w:eastAsia="Courier New" w:hAnsi="Courier New"/>
                <w:color w:val="A8FF78"/>
                <w:sz w:val="18"/>
                <w:szCs w:val="18"/>
              </w:rPr>
              <w:t xml:space="preserve">  "role": "ROLE_OUVRIER",</w:t>
            </w:r>
          </w:p>
          <w:p>
            <w:pPr>
              <w:spacing w:after="20" w:before="20"/>
            </w:pPr>
            <w:r>
              <w:rPr>
                <w:rFonts w:ascii="Courier New" w:cs="Courier New" w:eastAsia="Courier New" w:hAnsi="Courier New"/>
                <w:color w:val="A8FF78"/>
                <w:sz w:val="18"/>
                <w:szCs w:val="18"/>
              </w:rPr>
              <w:t xml:space="preserve">  "tenantId": "ferme_bf_001",</w:t>
            </w:r>
          </w:p>
          <w:p>
            <w:pPr>
              <w:spacing w:after="20" w:before="20"/>
            </w:pPr>
            <w:r>
              <w:rPr>
                <w:rFonts w:ascii="Courier New" w:cs="Courier New" w:eastAsia="Courier New" w:hAnsi="Courier New"/>
                <w:color w:val="A8FF78"/>
                <w:sz w:val="18"/>
                <w:szCs w:val="18"/>
              </w:rPr>
              <w:t xml:space="preserve">  "iat": 1718000000,</w:t>
            </w:r>
          </w:p>
          <w:p>
            <w:pPr>
              <w:spacing w:after="20" w:before="20"/>
            </w:pPr>
            <w:r>
              <w:rPr>
                <w:rFonts w:ascii="Courier New" w:cs="Courier New" w:eastAsia="Courier New" w:hAnsi="Courier New"/>
                <w:color w:val="A8FF78"/>
                <w:sz w:val="18"/>
                <w:szCs w:val="18"/>
              </w:rPr>
              <w:t xml:space="preserve">  "exp": 1718086400 }</w:t>
            </w:r>
          </w:p>
        </w:tc>
      </w:tr>
    </w:tbl>
    <w:p>
      <w:pPr>
        <w:spacing w:after="160" w:before="200"/>
      </w:pPr>
      <w:r>
        <w:t xml:space="preserve"/>
      </w:r>
    </w:p>
    <w:p>
      <w:r>
        <w:br w:type="page"/>
      </w:r>
    </w:p>
    <w:p>
      <w:pPr>
        <w:pStyle w:val="Heading1"/>
        <w:spacing w:after="200" w:before="400"/>
      </w:pPr>
      <w:r>
        <w:rPr>
          <w:rFonts w:ascii="Arial" w:cs="Arial" w:eastAsia="Arial" w:hAnsi="Arial"/>
          <w:b/>
          <w:bCs/>
          <w:color w:val="1B4F8A"/>
          <w:sz w:val="36"/>
          <w:szCs w:val="36"/>
        </w:rPr>
        <w:t xml:space="preserve">6.  Plan de migration vers le SaaS</w:t>
      </w:r>
    </w:p>
    <w:p>
      <w:pPr>
        <w:pBdr>
          <w:bottom w:val="single" w:color="2E86C1" w:sz="6" w:space="1"/>
        </w:pBdr>
        <w:spacing w:after="120" w:before="120"/>
      </w:pPr>
      <w:r>
        <w:t xml:space="preserve"/>
      </w:r>
    </w:p>
    <w:p>
      <w:pPr>
        <w:spacing w:after="160" w:before="80"/>
      </w:pPr>
      <w:r>
        <w:rPr>
          <w:rFonts w:ascii="Arial" w:cs="Arial" w:eastAsia="Arial" w:hAnsi="Arial"/>
          <w:b w:val="false"/>
          <w:bCs w:val="false"/>
          <w:color w:val="1C2833"/>
          <w:sz w:val="22"/>
          <w:szCs w:val="22"/>
        </w:rPr>
        <w:t xml:space="preserve">La migration est decoupee en 4 phases progressives. L'application reste deployable et utilisable a chaque etape - aucune interruption de service.</w:t>
      </w:r>
    </w:p>
    <w:p>
      <w:pPr>
        <w:spacing w:after="160" w:before="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260"/>
      </w:tblGrid>
      <w:tr>
        <w:trPr>
          <w:tblHeader/>
        </w:trPr>
        <w:tc>
          <w:tcPr>
            <w:tcW w:type="dxa" w:w="12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Phase</w:t>
            </w:r>
          </w:p>
        </w:tc>
        <w:tc>
          <w:tcPr>
            <w:tcW w:type="dxa" w:w="28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Nom</w:t>
            </w:r>
          </w:p>
        </w:tc>
        <w:tc>
          <w:tcPr>
            <w:tcW w:type="dxa" w:w="526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Livraisons cles</w:t>
            </w:r>
          </w:p>
        </w:tc>
      </w:tr>
      <w:tr>
        <w:tc>
          <w:tcPr>
            <w:tcW w:type="dxa" w:w="12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1</w:t>
            </w:r>
          </w:p>
        </w:tc>
        <w:tc>
          <w:tcPr>
            <w:tcW w:type="dxa" w:w="280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Preparation (sans impact utilisateur)</w:t>
            </w:r>
          </w:p>
        </w:tc>
        <w:tc>
          <w:tcPr>
            <w:tcW w:type="dxa" w:w="526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 Table Tenant en base (id, nom, slug, actif, plan)</w:t>
            </w:r>
          </w:p>
          <w:p>
            <w:pPr>
              <w:spacing w:after="40" w:before="40"/>
            </w:pPr>
            <w:r>
              <w:rPr>
                <w:rFonts w:ascii="Arial" w:cs="Arial" w:eastAsia="Arial" w:hAnsi="Arial"/>
                <w:sz w:val="20"/>
                <w:szCs w:val="20"/>
              </w:rPr>
              <w:t xml:space="preserve">- Passer de ddl-auto:update a Flyway</w:t>
            </w:r>
          </w:p>
          <w:p>
            <w:pPr>
              <w:spacing w:after="40" w:before="40"/>
            </w:pPr>
            <w:r>
              <w:rPr>
                <w:rFonts w:ascii="Arial" w:cs="Arial" w:eastAsia="Arial" w:hAnsi="Arial"/>
                <w:sz w:val="20"/>
                <w:szCs w:val="20"/>
              </w:rPr>
              <w:t xml:space="preserve">- Ajouter tenantId au JWT (non valide encore)</w:t>
            </w:r>
          </w:p>
        </w:tc>
      </w:tr>
      <w:tr>
        <w:tc>
          <w:tcPr>
            <w:tcW w:type="dxa" w:w="1200"/>
            <w:tcBorders>
              <w:top w:val="single" w:color="AED6F1" w:sz="4"/>
              <w:left w:val="single" w:color="AED6F1" w:sz="4"/>
              <w:bottom w:val="single" w:color="AED6F1" w:sz="4"/>
              <w:right w:val="single" w:color="AED6F1" w:sz="4"/>
            </w:tcBorders>
            <w:shd w:fill="2E86C1"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2</w:t>
            </w:r>
          </w:p>
        </w:tc>
        <w:tc>
          <w:tcPr>
            <w:tcW w:type="dxa" w:w="28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Infrastructure multi-tenant</w:t>
            </w:r>
          </w:p>
        </w:tc>
        <w:tc>
          <w:tcPr>
            <w:tcW w:type="dxa" w:w="5260"/>
            <w:tcBorders>
              <w:top w:val="single" w:color="AED6F1" w:sz="4"/>
              <w:left w:val="single" w:color="AED6F1" w:sz="4"/>
              <w:bottom w:val="single" w:color="AED6F1" w:sz="4"/>
              <w:right w:val="single" w:color="AED6F1" w:sz="4"/>
            </w:tcBorders>
            <w:shd w:fill="E8F4FD" w:val="clear"/>
            <w:tcMar>
              <w:top w:type="dxa" w:w="80"/>
              <w:left w:type="dxa" w:w="140"/>
              <w:bottom w:type="dxa" w:w="80"/>
              <w:right w:type="dxa" w:w="140"/>
            </w:tcMar>
          </w:tcPr>
          <w:p>
            <w:pPr>
              <w:spacing w:after="40" w:before="40"/>
            </w:pPr>
            <w:r>
              <w:rPr>
                <w:rFonts w:ascii="Arial" w:cs="Arial" w:eastAsia="Arial" w:hAnsi="Arial"/>
                <w:sz w:val="20"/>
                <w:szCs w:val="20"/>
              </w:rPr>
              <w:t xml:space="preserve">- TenantContext + CurrentTenantIdentifierResolver</w:t>
            </w:r>
          </w:p>
          <w:p>
            <w:pPr>
              <w:spacing w:after="40" w:before="40"/>
            </w:pPr>
            <w:r>
              <w:rPr>
                <w:rFonts w:ascii="Arial" w:cs="Arial" w:eastAsia="Arial" w:hAnsi="Arial"/>
                <w:sz w:val="20"/>
                <w:szCs w:val="20"/>
              </w:rPr>
              <w:t xml:space="preserve">- MultiTenantConnectionProvider (search_path)</w:t>
            </w:r>
          </w:p>
          <w:p>
            <w:pPr>
              <w:spacing w:after="40" w:before="40"/>
            </w:pPr>
            <w:r>
              <w:rPr>
                <w:rFonts w:ascii="Arial" w:cs="Arial" w:eastAsia="Arial" w:hAnsi="Arial"/>
                <w:sz w:val="20"/>
                <w:szCs w:val="20"/>
              </w:rPr>
              <w:t xml:space="preserve">- Extension du JwtAuthenticationFilter</w:t>
            </w:r>
          </w:p>
          <w:p>
            <w:pPr>
              <w:spacing w:after="40" w:before="40"/>
            </w:pPr>
            <w:r>
              <w:rPr>
                <w:rFonts w:ascii="Arial" w:cs="Arial" w:eastAsia="Arial" w:hAnsi="Arial"/>
                <w:sz w:val="20"/>
                <w:szCs w:val="20"/>
              </w:rPr>
              <w:t xml:space="preserve">- API Super Admin (creation/liste/suppression tenant)</w:t>
            </w:r>
          </w:p>
        </w:tc>
      </w:tr>
      <w:tr>
        <w:tc>
          <w:tcPr>
            <w:tcW w:type="dxa" w:w="12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3</w:t>
            </w:r>
          </w:p>
        </w:tc>
        <w:tc>
          <w:tcPr>
            <w:tcW w:type="dxa" w:w="280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Onboarding et provisioning</w:t>
            </w:r>
          </w:p>
        </w:tc>
        <w:tc>
          <w:tcPr>
            <w:tcW w:type="dxa" w:w="526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 Flux inscription : formulaire -&gt; schema -&gt; Flyway -&gt; admin</w:t>
            </w:r>
          </w:p>
          <w:p>
            <w:pPr>
              <w:spacing w:after="40" w:before="40"/>
            </w:pPr>
            <w:r>
              <w:rPr>
                <w:rFonts w:ascii="Arial" w:cs="Arial" w:eastAsia="Arial" w:hAnsi="Arial"/>
                <w:sz w:val="20"/>
                <w:szCs w:val="20"/>
              </w:rPr>
              <w:t xml:space="preserve">- Generation automatique du slug tenant</w:t>
            </w:r>
          </w:p>
          <w:p>
            <w:pPr>
              <w:spacing w:after="40" w:before="40"/>
            </w:pPr>
            <w:r>
              <w:rPr>
                <w:rFonts w:ascii="Arial" w:cs="Arial" w:eastAsia="Arial" w:hAnsi="Arial"/>
                <w:sz w:val="20"/>
                <w:szCs w:val="20"/>
              </w:rPr>
              <w:t xml:space="preserve">- Suppression tenant : DROP SCHEMA ... CASCADE</w:t>
            </w:r>
          </w:p>
          <w:p>
            <w:pPr>
              <w:spacing w:after="40" w:before="40"/>
            </w:pPr>
            <w:r>
              <w:rPr>
                <w:rFonts w:ascii="Arial" w:cs="Arial" w:eastAsia="Arial" w:hAnsi="Arial"/>
                <w:sz w:val="20"/>
                <w:szCs w:val="20"/>
              </w:rPr>
              <w:t xml:space="preserve">- DataInitializer adapte par-tenant</w:t>
            </w:r>
          </w:p>
        </w:tc>
      </w:tr>
      <w:tr>
        <w:tc>
          <w:tcPr>
            <w:tcW w:type="dxa" w:w="1200"/>
            <w:tcBorders>
              <w:top w:val="single" w:color="AED6F1" w:sz="4"/>
              <w:left w:val="single" w:color="AED6F1" w:sz="4"/>
              <w:bottom w:val="single" w:color="AED6F1" w:sz="4"/>
              <w:right w:val="single" w:color="AED6F1" w:sz="4"/>
            </w:tcBorders>
            <w:shd w:fill="2E86C1"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4</w:t>
            </w:r>
          </w:p>
        </w:tc>
        <w:tc>
          <w:tcPr>
            <w:tcW w:type="dxa" w:w="28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Productivisation SaaS</w:t>
            </w:r>
          </w:p>
        </w:tc>
        <w:tc>
          <w:tcPr>
            <w:tcW w:type="dxa" w:w="5260"/>
            <w:tcBorders>
              <w:top w:val="single" w:color="AED6F1" w:sz="4"/>
              <w:left w:val="single" w:color="AED6F1" w:sz="4"/>
              <w:bottom w:val="single" w:color="AED6F1" w:sz="4"/>
              <w:right w:val="single" w:color="AED6F1" w:sz="4"/>
            </w:tcBorders>
            <w:shd w:fill="E8F4FD" w:val="clear"/>
            <w:tcMar>
              <w:top w:type="dxa" w:w="80"/>
              <w:left w:type="dxa" w:w="140"/>
              <w:bottom w:type="dxa" w:w="80"/>
              <w:right w:type="dxa" w:w="140"/>
            </w:tcMar>
          </w:tcPr>
          <w:p>
            <w:pPr>
              <w:spacing w:after="40" w:before="40"/>
            </w:pPr>
            <w:r>
              <w:rPr>
                <w:rFonts w:ascii="Arial" w:cs="Arial" w:eastAsia="Arial" w:hAnsi="Arial"/>
                <w:sz w:val="20"/>
                <w:szCs w:val="20"/>
              </w:rPr>
              <w:t xml:space="preserve">- Plans d'abonnement (table subscription)</w:t>
            </w:r>
          </w:p>
          <w:p>
            <w:pPr>
              <w:spacing w:after="40" w:before="40"/>
            </w:pPr>
            <w:r>
              <w:rPr>
                <w:rFonts w:ascii="Arial" w:cs="Arial" w:eastAsia="Arial" w:hAnsi="Arial"/>
                <w:sz w:val="20"/>
                <w:szCs w:val="20"/>
              </w:rPr>
              <w:t xml:space="preserve">- Sauvegarde automatisee par schema (pg_dump CRON -&gt; S3)</w:t>
            </w:r>
          </w:p>
          <w:p>
            <w:pPr>
              <w:spacing w:after="40" w:before="40"/>
            </w:pPr>
            <w:r>
              <w:rPr>
                <w:rFonts w:ascii="Arial" w:cs="Arial" w:eastAsia="Arial" w:hAnsi="Arial"/>
                <w:sz w:val="20"/>
                <w:szCs w:val="20"/>
              </w:rPr>
              <w:t xml:space="preserve">- Monitoring par tenant (MDC Logback + tenantId)</w:t>
            </w:r>
          </w:p>
          <w:p>
            <w:pPr>
              <w:spacing w:after="40" w:before="40"/>
            </w:pPr>
            <w:r>
              <w:rPr>
                <w:rFonts w:ascii="Arial" w:cs="Arial" w:eastAsia="Arial" w:hAnsi="Arial"/>
                <w:sz w:val="20"/>
                <w:szCs w:val="20"/>
              </w:rPr>
              <w:t xml:space="preserve">- Portail Super Admin : metriques d'usage, alertes</w:t>
            </w:r>
          </w:p>
        </w:tc>
      </w:tr>
    </w:tbl>
    <w:p>
      <w:pPr>
        <w:spacing w:after="160" w:before="200"/>
      </w:pPr>
      <w:r>
        <w:t xml:space="preserve"/>
      </w:r>
    </w:p>
    <w:p>
      <w:r>
        <w:br w:type="page"/>
      </w:r>
    </w:p>
    <w:p>
      <w:pPr>
        <w:pStyle w:val="Heading1"/>
        <w:spacing w:after="200" w:before="400"/>
      </w:pPr>
      <w:r>
        <w:rPr>
          <w:rFonts w:ascii="Arial" w:cs="Arial" w:eastAsia="Arial" w:hAnsi="Arial"/>
          <w:b/>
          <w:bCs/>
          <w:color w:val="1B4F8A"/>
          <w:sz w:val="36"/>
          <w:szCs w:val="36"/>
        </w:rPr>
        <w:t xml:space="preserve">7.  Impacts techniques a anticiper</w:t>
      </w:r>
    </w:p>
    <w:p>
      <w:pPr>
        <w:pBdr>
          <w:bottom w:val="single" w:color="2E86C1" w:sz="6" w:space="1"/>
        </w:pBdr>
        <w:spacing w:after="120" w:before="120"/>
      </w:pPr>
      <w:r>
        <w:t xml:space="preserve"/>
      </w:r>
    </w:p>
    <w:p>
      <w:pPr>
        <w:spacing w:after="160" w:before="80"/>
      </w:pPr>
      <w:r>
        <w:t xml:space="preserve"/>
      </w:r>
    </w:p>
    <w:p>
      <w:pPr>
        <w:pStyle w:val="Heading2"/>
        <w:spacing w:after="160" w:before="320"/>
      </w:pPr>
      <w:r>
        <w:rPr>
          <w:rFonts w:ascii="Arial" w:cs="Arial" w:eastAsia="Arial" w:hAnsi="Arial"/>
          <w:b/>
          <w:bCs/>
          <w:color w:val="2E86C1"/>
          <w:sz w:val="28"/>
          <w:szCs w:val="28"/>
        </w:rPr>
        <w:t xml:space="preserve">7.1  Uploads de fichiers</w:t>
      </w:r>
    </w:p>
    <w:p>
      <w:pPr>
        <w:spacing w:after="160" w:before="80"/>
      </w:pPr>
      <w:r>
        <w:rPr>
          <w:rFonts w:ascii="Arial" w:cs="Arial" w:eastAsia="Arial" w:hAnsi="Arial"/>
          <w:b w:val="false"/>
          <w:bCs w:val="false"/>
          <w:color w:val="1C2833"/>
          <w:sz w:val="22"/>
          <w:szCs w:val="22"/>
        </w:rPr>
        <w:t xml:space="preserve">Le projet utilise un repertoire local /app/uploads/logos et /app/uploads/animaux. En SaaS, les fichiers doivent etre isoles par tenant. Solution immediate : /uploads/{tenantId}/logos/ et /uploads/{tenantId}/animaux/. A moyen terme, migrer vers un stockage objet (MinIO, Supabase Storage, AWS S3) avec prefixe par tenant.</w:t>
      </w:r>
    </w:p>
    <w:p>
      <w:pPr>
        <w:spacing w:after="160" w:before="80"/>
      </w:pPr>
      <w:r>
        <w:t xml:space="preserve"/>
      </w:r>
    </w:p>
    <w:p>
      <w:pPr>
        <w:pStyle w:val="Heading2"/>
        <w:spacing w:after="160" w:before="320"/>
      </w:pPr>
      <w:r>
        <w:rPr>
          <w:rFonts w:ascii="Arial" w:cs="Arial" w:eastAsia="Arial" w:hAnsi="Arial"/>
          <w:b/>
          <w:bCs/>
          <w:color w:val="2E86C1"/>
          <w:sz w:val="28"/>
          <w:szCs w:val="28"/>
        </w:rPr>
        <w:t xml:space="preserve">7.2  Performances et indexation</w:t>
      </w:r>
    </w:p>
    <w:p>
      <w:pPr>
        <w:pStyle w:val="ListParagraph"/>
        <w:numPr>
          <w:ilvl w:val="0"/>
          <w:numId w:val="2"/>
        </w:numPr>
        <w:spacing w:after="60" w:before="60"/>
      </w:pPr>
      <w:r>
        <w:rPr>
          <w:rFonts w:ascii="Arial" w:cs="Arial" w:eastAsia="Arial" w:hAnsi="Arial"/>
          <w:color w:val="1C2833"/>
          <w:sz w:val="22"/>
          <w:szCs w:val="22"/>
        </w:rPr>
        <w:t xml:space="preserve">Solution 1 (schema) : les index existants sont deja optimaux - chaque schema a les siens, independants.</w:t>
      </w:r>
    </w:p>
    <w:p>
      <w:pPr>
        <w:pStyle w:val="ListParagraph"/>
        <w:numPr>
          <w:ilvl w:val="0"/>
          <w:numId w:val="2"/>
        </w:numPr>
        <w:spacing w:after="60" w:before="60"/>
      </w:pPr>
      <w:r>
        <w:rPr>
          <w:rFonts w:ascii="Arial" w:cs="Arial" w:eastAsia="Arial" w:hAnsi="Arial"/>
          <w:color w:val="1C2833"/>
          <w:sz w:val="22"/>
          <w:szCs w:val="22"/>
        </w:rPr>
        <w:t xml:space="preserve">Solution 2 (tenant_id) : index composite obligatoire (tenant_id, id) sur toutes les tables. Sans cela, les performances degradent exponentiellement avec le nombre de clients.</w:t>
      </w:r>
    </w:p>
    <w:p>
      <w:pPr>
        <w:pStyle w:val="ListParagraph"/>
        <w:numPr>
          <w:ilvl w:val="0"/>
          <w:numId w:val="2"/>
        </w:numPr>
        <w:spacing w:after="60" w:before="60"/>
      </w:pPr>
      <w:r>
        <w:rPr>
          <w:rFonts w:ascii="Arial" w:cs="Arial" w:eastAsia="Arial" w:hAnsi="Arial"/>
          <w:color w:val="1C2833"/>
          <w:sz w:val="22"/>
          <w:szCs w:val="22"/>
        </w:rPr>
        <w:t xml:space="preserve">Connection pooling : configurer HikariCP avec un pool suffisant pour les connexions multi-schema.</w:t>
      </w:r>
    </w:p>
    <w:p>
      <w:pPr>
        <w:spacing w:after="160" w:before="80"/>
      </w:pPr>
      <w:r>
        <w:t xml:space="preserve"/>
      </w:r>
    </w:p>
    <w:p>
      <w:pPr>
        <w:pStyle w:val="Heading2"/>
        <w:spacing w:after="160" w:before="320"/>
      </w:pPr>
      <w:r>
        <w:rPr>
          <w:rFonts w:ascii="Arial" w:cs="Arial" w:eastAsia="Arial" w:hAnsi="Arial"/>
          <w:b/>
          <w:bCs/>
          <w:color w:val="2E86C1"/>
          <w:sz w:val="28"/>
          <w:szCs w:val="28"/>
        </w:rPr>
        <w:t xml:space="preserve">7.3  Tests</w:t>
      </w:r>
    </w:p>
    <w:p>
      <w:pPr>
        <w:pStyle w:val="ListParagraph"/>
        <w:numPr>
          <w:ilvl w:val="0"/>
          <w:numId w:val="2"/>
        </w:numPr>
        <w:spacing w:after="60" w:before="60"/>
      </w:pPr>
      <w:r>
        <w:rPr>
          <w:rFonts w:ascii="Arial" w:cs="Arial" w:eastAsia="Arial" w:hAnsi="Arial"/>
          <w:color w:val="1C2833"/>
          <w:sz w:val="22"/>
          <w:szCs w:val="22"/>
        </w:rPr>
        <w:t xml:space="preserve">Ajouter un TenantTestContext : chaque test d'integration s'execute avec un tenantId fictif injecte dans TenantContext.</w:t>
      </w:r>
    </w:p>
    <w:p>
      <w:pPr>
        <w:pStyle w:val="ListParagraph"/>
        <w:numPr>
          <w:ilvl w:val="0"/>
          <w:numId w:val="2"/>
        </w:numPr>
        <w:spacing w:after="60" w:before="60"/>
      </w:pPr>
      <w:r>
        <w:rPr>
          <w:rFonts w:ascii="Arial" w:cs="Arial" w:eastAsia="Arial" w:hAnsi="Arial"/>
          <w:color w:val="1C2833"/>
          <w:sz w:val="22"/>
          <w:szCs w:val="22"/>
        </w:rPr>
        <w:t xml:space="preserve">Tester les fuites cross-tenant : une requete depuis tenant A ne doit jamais retourner de donnees du tenant B.</w:t>
      </w:r>
    </w:p>
    <w:p>
      <w:pPr>
        <w:pStyle w:val="ListParagraph"/>
        <w:numPr>
          <w:ilvl w:val="0"/>
          <w:numId w:val="2"/>
        </w:numPr>
        <w:spacing w:after="60" w:before="60"/>
      </w:pPr>
      <w:r>
        <w:rPr>
          <w:rFonts w:ascii="Arial" w:cs="Arial" w:eastAsia="Arial" w:hAnsi="Arial"/>
          <w:color w:val="1C2833"/>
          <w:sz w:val="22"/>
          <w:szCs w:val="22"/>
        </w:rPr>
        <w:t xml:space="preserve">Tester le provisioning complet (creation -&gt; Flyway apply -&gt; acces -&gt; suppression).</w:t>
      </w:r>
    </w:p>
    <w:p>
      <w:pPr>
        <w:spacing w:after="160" w:before="80"/>
      </w:pPr>
      <w:r>
        <w:t xml:space="preserve"/>
      </w:r>
    </w:p>
    <w:p>
      <w:pPr>
        <w:pStyle w:val="Heading2"/>
        <w:spacing w:after="160" w:before="320"/>
      </w:pPr>
      <w:r>
        <w:rPr>
          <w:rFonts w:ascii="Arial" w:cs="Arial" w:eastAsia="Arial" w:hAnsi="Arial"/>
          <w:b/>
          <w:bCs/>
          <w:color w:val="2E86C1"/>
          <w:sz w:val="28"/>
          <w:szCs w:val="28"/>
        </w:rPr>
        <w:t xml:space="preserve">7.4  DevOps et deploiement</w:t>
      </w:r>
    </w:p>
    <w:p>
      <w:pPr>
        <w:pStyle w:val="ListParagraph"/>
        <w:numPr>
          <w:ilvl w:val="0"/>
          <w:numId w:val="2"/>
        </w:numPr>
        <w:spacing w:after="60" w:before="60"/>
      </w:pPr>
      <w:r>
        <w:rPr>
          <w:rFonts w:ascii="Arial" w:cs="Arial" w:eastAsia="Arial" w:hAnsi="Arial"/>
          <w:color w:val="1C2833"/>
          <w:sz w:val="22"/>
          <w:szCs w:val="22"/>
        </w:rPr>
        <w:t xml:space="preserve">Le container Docker unique reste valide - aucun changement de Dockerfile.</w:t>
      </w:r>
    </w:p>
    <w:p>
      <w:pPr>
        <w:pStyle w:val="ListParagraph"/>
        <w:numPr>
          <w:ilvl w:val="0"/>
          <w:numId w:val="2"/>
        </w:numPr>
        <w:spacing w:after="60" w:before="60"/>
      </w:pPr>
      <w:r>
        <w:rPr>
          <w:rFonts w:ascii="Arial" w:cs="Arial" w:eastAsia="Arial" w:hAnsi="Arial"/>
          <w:color w:val="1C2833"/>
          <w:sz w:val="22"/>
          <w:szCs w:val="22"/>
        </w:rPr>
        <w:t xml:space="preserve">Render : une seule instance Spring Boot, une seule base PostgreSQL, multiples schemas.</w:t>
      </w:r>
    </w:p>
    <w:p>
      <w:pPr>
        <w:pStyle w:val="ListParagraph"/>
        <w:numPr>
          <w:ilvl w:val="0"/>
          <w:numId w:val="2"/>
        </w:numPr>
        <w:spacing w:after="60" w:before="60"/>
      </w:pPr>
      <w:r>
        <w:rPr>
          <w:rFonts w:ascii="Arial" w:cs="Arial" w:eastAsia="Arial" w:hAnsi="Arial"/>
          <w:color w:val="1C2833"/>
          <w:sz w:val="22"/>
          <w:szCs w:val="22"/>
        </w:rPr>
        <w:t xml:space="preserve">Variable d'environnement SUPER_ADMIN_EMAIL a ajouter pour le compte de gestion plateforme.</w:t>
      </w:r>
    </w:p>
    <w:p>
      <w:pPr>
        <w:pStyle w:val="ListParagraph"/>
        <w:numPr>
          <w:ilvl w:val="0"/>
          <w:numId w:val="2"/>
        </w:numPr>
        <w:spacing w:after="60" w:before="60"/>
      </w:pPr>
      <w:r>
        <w:rPr>
          <w:rFonts w:ascii="Arial" w:cs="Arial" w:eastAsia="Arial" w:hAnsi="Arial"/>
          <w:color w:val="1C2833"/>
          <w:sz w:val="22"/>
          <w:szCs w:val="22"/>
        </w:rPr>
        <w:t xml:space="preserve">Logs : Logback doit inclure le tenantId dans chaque ligne via MDC (Mapped Diagnostic Context).</w:t>
      </w:r>
    </w:p>
    <w:p>
      <w:pPr>
        <w:spacing w:after="160" w:before="200"/>
      </w:pPr>
      <w:r>
        <w:t xml:space="preserve"/>
      </w:r>
    </w:p>
    <w:p>
      <w:r>
        <w:br w:type="page"/>
      </w:r>
    </w:p>
    <w:p>
      <w:pPr>
        <w:pStyle w:val="Heading1"/>
        <w:spacing w:after="200" w:before="400"/>
      </w:pPr>
      <w:r>
        <w:rPr>
          <w:rFonts w:ascii="Arial" w:cs="Arial" w:eastAsia="Arial" w:hAnsi="Arial"/>
          <w:b/>
          <w:bCs/>
          <w:color w:val="1B4F8A"/>
          <w:sz w:val="36"/>
          <w:szCs w:val="36"/>
        </w:rPr>
        <w:t xml:space="preserve">8.  Recommandation finale</w:t>
      </w:r>
    </w:p>
    <w:p>
      <w:pPr>
        <w:pBdr>
          <w:bottom w:val="single" w:color="2E86C1" w:sz="6" w:space="1"/>
        </w:pBdr>
        <w:spacing w:after="120" w:before="120"/>
      </w:pPr>
      <w:r>
        <w:t xml:space="preserve"/>
      </w:r>
    </w:p>
    <w:p>
      <w:pPr>
        <w:spacing w:after="160" w:before="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1B4F8A" w:sz="12"/>
              <w:left w:val="single" w:color="1B4F8A" w:sz="24"/>
              <w:bottom w:val="single" w:color="1B4F8A" w:sz="12"/>
              <w:right w:val="single" w:color="AED6F1" w:sz="4"/>
            </w:tcBorders>
            <w:shd w:fill="EAF4FB" w:val="clear"/>
            <w:tcMar>
              <w:top w:type="dxa" w:w="200"/>
              <w:left w:type="dxa" w:w="280"/>
              <w:bottom w:type="dxa" w:w="200"/>
              <w:right w:type="dxa" w:w="200"/>
            </w:tcMar>
          </w:tcPr>
          <w:p>
            <w:pPr>
              <w:spacing w:after="80" w:before="80"/>
            </w:pPr>
            <w:r>
              <w:rPr>
                <w:rFonts w:ascii="Arial" w:cs="Arial" w:eastAsia="Arial" w:hAnsi="Arial"/>
                <w:b/>
                <w:bCs/>
                <w:color w:val="1B4F8A"/>
                <w:sz w:val="28"/>
                <w:szCs w:val="28"/>
              </w:rPr>
              <w:t xml:space="preserve">Recommandation : Schema PostgreSQL par tenant (Solution 1)</w:t>
            </w:r>
          </w:p>
          <w:p>
            <w:pPr>
              <w:spacing w:after="80" w:before="120"/>
            </w:pPr>
            <w:r>
              <w:rPr>
                <w:rFonts w:ascii="Arial" w:cs="Arial" w:eastAsia="Arial" w:hAnsi="Arial"/>
                <w:color w:val="1C2833"/>
                <w:sz w:val="22"/>
                <w:szCs w:val="22"/>
              </w:rPr>
              <w:t xml:space="preserve">Adoptez la Solution 1 (schema-per-tenant) comme strategie principale. Elle offre le meilleur compromis entre isolation des donnees, compatibilite avec votre stack actuel, et facilite de migration depuis l'existant. Elle est supportee nativement par Hibernate et ne necessite aucune modification des entites JPA.</w:t>
            </w:r>
          </w:p>
          <w:p>
            <w:pPr>
              <w:spacing w:after="80" w:before="80"/>
            </w:pPr>
            <w:r>
              <w:rPr>
                <w:rFonts w:ascii="Arial" w:cs="Arial" w:eastAsia="Arial" w:hAnsi="Arial"/>
                <w:color w:val="7F8C8D"/>
                <w:sz w:val="22"/>
                <w:szCs w:val="22"/>
              </w:rPr>
              <w:t xml:space="preserve">La Solution 2 (tenant_id) reste pertinente si le nombre de tenants depasse plusieurs milliers, ou si vous souhaitez proposer des analytics cross-tenants pour le module IA (comparaison de performances entre fermes). Elle peut coexister en solution hybride : schema par tenant pour les donnees operationnelles + tenant_id dans un data warehouse analytique.</w:t>
            </w:r>
          </w:p>
        </w:tc>
      </w:tr>
    </w:tbl>
    <w:p>
      <w:pPr>
        <w:spacing w:after="160" w:before="160"/>
      </w:pPr>
      <w:r>
        <w:t xml:space="preserve"/>
      </w:r>
    </w:p>
    <w:p>
      <w:pPr>
        <w:pStyle w:val="Heading2"/>
        <w:spacing w:after="160" w:before="320"/>
      </w:pPr>
      <w:r>
        <w:rPr>
          <w:rFonts w:ascii="Arial" w:cs="Arial" w:eastAsia="Arial" w:hAnsi="Arial"/>
          <w:b/>
          <w:bCs/>
          <w:color w:val="2E86C1"/>
          <w:sz w:val="28"/>
          <w:szCs w:val="28"/>
        </w:rPr>
        <w:t xml:space="preserve">8.1  Pourquoi ce choix pour ce projet specifique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200"/>
        <w:gridCol w:w="5060"/>
      </w:tblGrid>
      <w:tr>
        <w:trPr>
          <w:tblHeader/>
        </w:trPr>
        <w:tc>
          <w:tcPr>
            <w:tcW w:type="dxa" w:w="420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Contrainte du projet</w:t>
            </w:r>
          </w:p>
        </w:tc>
        <w:tc>
          <w:tcPr>
            <w:tcW w:type="dxa" w:w="5060"/>
            <w:tcBorders>
              <w:top w:val="single" w:color="AED6F1" w:sz="4"/>
              <w:left w:val="single" w:color="AED6F1" w:sz="4"/>
              <w:bottom w:val="single" w:color="AED6F1" w:sz="4"/>
              <w:right w:val="single" w:color="AED6F1" w:sz="4"/>
            </w:tcBorders>
            <w:shd w:fill="1B4F8A"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Avantage Solution 1</w:t>
            </w:r>
          </w:p>
        </w:tc>
      </w:tr>
      <w:tr>
        <w:tc>
          <w:tcPr>
            <w:tcW w:type="dxa" w:w="42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Code metier abouti (30+ entites JPA)</w:t>
            </w:r>
          </w:p>
        </w:tc>
        <w:tc>
          <w:tcPr>
            <w:tcW w:type="dxa" w:w="506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Zero modification des entites existantes</w:t>
            </w:r>
          </w:p>
        </w:tc>
      </w:tr>
      <w:tr>
        <w:tc>
          <w:tcPr>
            <w:tcW w:type="dxa" w:w="42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AppSettings et ParametresEleveur en singleton</w:t>
            </w:r>
          </w:p>
        </w:tc>
        <w:tc>
          <w:tcPr>
            <w:tcW w:type="dxa" w:w="50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Chaque schema a ses propres tables - deja isole</w:t>
            </w:r>
          </w:p>
        </w:tc>
      </w:tr>
      <w:tr>
        <w:tc>
          <w:tcPr>
            <w:tcW w:type="dxa" w:w="42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Systeme de roles et permissions complet</w:t>
            </w:r>
          </w:p>
        </w:tc>
        <w:tc>
          <w:tcPr>
            <w:tcW w:type="dxa" w:w="506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Reste inchange, applique dans le contexte du tenant</w:t>
            </w:r>
          </w:p>
        </w:tc>
      </w:tr>
      <w:tr>
        <w:tc>
          <w:tcPr>
            <w:tcW w:type="dxa" w:w="42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Deploiement Render + Docker</w:t>
            </w:r>
          </w:p>
        </w:tc>
        <w:tc>
          <w:tcPr>
            <w:tcW w:type="dxa" w:w="50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Un seul container, cout identique</w:t>
            </w:r>
          </w:p>
        </w:tc>
      </w:tr>
      <w:tr>
        <w:tc>
          <w:tcPr>
            <w:tcW w:type="dxa" w:w="42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PostgreSQL deja en production</w:t>
            </w:r>
          </w:p>
        </w:tc>
        <w:tc>
          <w:tcPr>
            <w:tcW w:type="dxa" w:w="506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pg_dump --schema natif et fiable</w:t>
            </w:r>
          </w:p>
        </w:tc>
      </w:tr>
      <w:tr>
        <w:tc>
          <w:tcPr>
            <w:tcW w:type="dxa" w:w="420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Contexte BF : peu de clients initialement</w:t>
            </w:r>
          </w:p>
        </w:tc>
        <w:tc>
          <w:tcPr>
            <w:tcW w:type="dxa" w:w="5060"/>
            <w:tcBorders>
              <w:top w:val="single" w:color="AED6F1" w:sz="4"/>
              <w:left w:val="single" w:color="AED6F1" w:sz="4"/>
              <w:bottom w:val="single" w:color="AED6F1" w:sz="4"/>
              <w:right w:val="single" w:color="AED6F1" w:sz="4"/>
            </w:tcBorders>
            <w:shd w:fill="E8F4FD"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Un schema par client, gestion simple et evolutive</w:t>
            </w:r>
          </w:p>
        </w:tc>
      </w:tr>
      <w:tr>
        <w:tc>
          <w:tcPr>
            <w:tcW w:type="dxa" w:w="4200"/>
            <w:tcBorders>
              <w:top w:val="single" w:color="AED6F1" w:sz="4"/>
              <w:left w:val="single" w:color="AED6F1" w:sz="4"/>
              <w:bottom w:val="single" w:color="AED6F1" w:sz="4"/>
              <w:right w:val="single" w:color="AED6F1" w:sz="4"/>
            </w:tcBorders>
            <w:shd w:fill="FFFFFF" w:val="clear"/>
            <w:tcMar>
              <w:top w:type="dxa" w:w="100"/>
              <w:left w:type="dxa" w:w="140"/>
              <w:bottom w:type="dxa" w:w="100"/>
              <w:right w:type="dxa" w:w="140"/>
            </w:tcMar>
            <w:vAlign w:val="top"/>
          </w:tcPr>
          <w:p>
            <w:pPr>
              <w:spacing w:after="40" w:before="40"/>
            </w:pPr>
            <w:r>
              <w:rPr>
                <w:rFonts w:ascii="Arial" w:cs="Arial" w:eastAsia="Arial" w:hAnsi="Arial"/>
                <w:b/>
                <w:bCs/>
                <w:color w:val="1C2833"/>
                <w:sz w:val="20"/>
                <w:szCs w:val="20"/>
              </w:rPr>
              <w:t xml:space="preserve">Donnees d'elevage sensibles (sante, finance)</w:t>
            </w:r>
          </w:p>
        </w:tc>
        <w:tc>
          <w:tcPr>
            <w:tcW w:type="dxa" w:w="5060"/>
            <w:tcBorders>
              <w:top w:val="single" w:color="AED6F1" w:sz="4"/>
              <w:left w:val="single" w:color="AED6F1" w:sz="4"/>
              <w:bottom w:val="single" w:color="AED6F1" w:sz="4"/>
              <w:right w:val="single" w:color="AED6F1" w:sz="4"/>
            </w:tcBorders>
            <w:shd w:fill="E9F7EF" w:val="clear"/>
            <w:tcMar>
              <w:top w:type="dxa" w:w="100"/>
              <w:left w:type="dxa" w:w="140"/>
              <w:bottom w:type="dxa" w:w="100"/>
              <w:right w:type="dxa" w:w="140"/>
            </w:tcMar>
            <w:vAlign w:val="top"/>
          </w:tcPr>
          <w:p>
            <w:pPr>
              <w:spacing w:after="40" w:before="40"/>
            </w:pPr>
            <w:r>
              <w:rPr>
                <w:rFonts w:ascii="Arial" w:cs="Arial" w:eastAsia="Arial" w:hAnsi="Arial"/>
                <w:b w:val="false"/>
                <w:bCs w:val="false"/>
                <w:color w:val="1C2833"/>
                <w:sz w:val="20"/>
                <w:szCs w:val="20"/>
              </w:rPr>
              <w:t xml:space="preserve">Isolation forte, conforme RGPD et bonnes pratiques</w:t>
            </w:r>
          </w:p>
        </w:tc>
      </w:tr>
    </w:tbl>
    <w:p>
      <w:pPr>
        <w:spacing w:after="160" w:before="200"/>
      </w:pPr>
      <w:r>
        <w:t xml:space="preserve"/>
      </w:r>
    </w:p>
    <w:p>
      <w:r>
        <w:br w:type="page"/>
      </w:r>
    </w:p>
    <w:p>
      <w:pPr>
        <w:pStyle w:val="Heading1"/>
        <w:spacing w:after="200" w:before="400"/>
      </w:pPr>
      <w:r>
        <w:rPr>
          <w:rFonts w:ascii="Arial" w:cs="Arial" w:eastAsia="Arial" w:hAnsi="Arial"/>
          <w:b/>
          <w:bCs/>
          <w:color w:val="1B4F8A"/>
          <w:sz w:val="36"/>
          <w:szCs w:val="36"/>
        </w:rPr>
        <w:t xml:space="preserve">Conclusion</w:t>
      </w:r>
    </w:p>
    <w:p>
      <w:pPr>
        <w:pBdr>
          <w:bottom w:val="single" w:color="2E86C1" w:sz="6" w:space="1"/>
        </w:pBdr>
        <w:spacing w:after="120" w:before="120"/>
      </w:pPr>
      <w:r>
        <w:t xml:space="preserve"/>
      </w:r>
    </w:p>
    <w:p>
      <w:pPr>
        <w:spacing w:after="160" w:before="80"/>
      </w:pPr>
      <w:r>
        <w:rPr>
          <w:rFonts w:ascii="Arial" w:cs="Arial" w:eastAsia="Arial" w:hAnsi="Arial"/>
          <w:b w:val="false"/>
          <w:bCs w:val="false"/>
          <w:color w:val="1C2833"/>
          <w:sz w:val="22"/>
          <w:szCs w:val="22"/>
        </w:rPr>
        <w:t xml:space="preserve">L'architecture actuelle du projet gestion-parc-backend est une base solide pour un passage au SaaS. La qualite du modele de permissions, la structure des entites JPA et le deploiement Docker sont des atouts reels qui simplifient la migration.</w:t>
      </w:r>
    </w:p>
    <w:p>
      <w:pPr>
        <w:spacing w:after="160" w:before="80"/>
      </w:pPr>
      <w:r>
        <w:t xml:space="preserve"/>
      </w:r>
    </w:p>
    <w:p>
      <w:pPr>
        <w:spacing w:after="160" w:before="80"/>
      </w:pPr>
      <w:r>
        <w:rPr>
          <w:rFonts w:ascii="Arial" w:cs="Arial" w:eastAsia="Arial" w:hAnsi="Arial"/>
          <w:b w:val="false"/>
          <w:bCs w:val="false"/>
          <w:color w:val="1C2833"/>
          <w:sz w:val="22"/>
          <w:szCs w:val="22"/>
        </w:rPr>
        <w:t xml:space="preserve">La migration vers le schema PostgreSQL par tenant est non-destructive : l'existant devient le premier schema, les entites ne changent pas, et le systeme de roles est immediatement reutilisable. Le principal travail porte sur l'infrastructure de routage des requetes (TenantContext, JWT enrichi, Hibernate Multi-Tenancy) et le flux d'onboarding d'un nouveau client.</w:t>
      </w:r>
    </w:p>
    <w:p>
      <w:pPr>
        <w:spacing w:after="160" w:before="80"/>
      </w:pPr>
      <w:r>
        <w:t xml:space="preserve"/>
      </w:r>
    </w:p>
    <w:p>
      <w:pPr>
        <w:spacing w:after="160" w:before="80"/>
      </w:pPr>
      <w:r>
        <w:rPr>
          <w:rFonts w:ascii="Arial" w:cs="Arial" w:eastAsia="Arial" w:hAnsi="Arial"/>
          <w:b w:val="false"/>
          <w:bCs w:val="false"/>
          <w:color w:val="1C2833"/>
          <w:sz w:val="22"/>
          <w:szCs w:val="22"/>
        </w:rPr>
        <w:t xml:space="preserve">La Phase 1 (preparation) peut etre demarree immediatement sans interrompre le service existant. Les phases suivantes sont livrees iterativement, en commencant par un tenant pilote representant le premier client reel de la plateforme.</w:t>
      </w:r>
    </w:p>
    <w:p>
      <w:pPr>
        <w:spacing w:after="160" w:before="200"/>
      </w:pPr>
      <w:r>
        <w:t xml:space="preserve"/>
      </w:r>
    </w:p>
    <w:p>
      <w:pPr>
        <w:pBdr>
          <w:bottom w:val="single" w:color="1B4F8A" w:sz="6" w:space="1"/>
        </w:pBdr>
        <w:spacing w:after="120" w:before="120"/>
      </w:pPr>
      <w:r>
        <w:t xml:space="preserve"/>
      </w:r>
    </w:p>
    <w:p>
      <w:pPr>
        <w:spacing w:before="120"/>
        <w:jc w:val="center"/>
      </w:pPr>
      <w:r>
        <w:rPr>
          <w:rFonts w:ascii="Arial" w:cs="Arial" w:eastAsia="Arial" w:hAnsi="Arial"/>
          <w:color w:val="7F8C8D"/>
          <w:sz w:val="18"/>
          <w:szCs w:val="18"/>
        </w:rPr>
        <w:t xml:space="preserve">Document redige dans le cadre du Memoire de Master 2026  |  Elevage de precision au Burkina Faso</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1"/>
      </w:pBdr>
      <w:tabs>
        <w:tab w:val="right" w:pos="9060"/>
      </w:tabs>
      <w:spacing w:before="100"/>
    </w:pPr>
    <w:r>
      <w:rPr>
        <w:rFonts w:ascii="Arial" w:cs="Arial" w:eastAsia="Arial" w:hAnsi="Arial"/>
        <w:color w:val="7F8C8D"/>
        <w:sz w:val="16"/>
        <w:szCs w:val="16"/>
      </w:rPr>
      <w:t xml:space="preserve">Confidentiel - louahikbepatrick@gmail.com</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1"/>
      </w:pBdr>
      <w:spacing w:after="120" w:before="0"/>
    </w:pPr>
    <w:r>
      <w:rPr>
        <w:rFonts w:ascii="Arial" w:cs="Arial" w:eastAsia="Arial" w:hAnsi="Arial"/>
        <w:color w:val="7F8C8D"/>
        <w:sz w:val="18"/>
        <w:szCs w:val="18"/>
      </w:rPr>
      <w:t xml:space="preserve">Architecture SaaS Multi-Tenant  |  Plateforme IA Elevage Porcin  |  Master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o"/>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2026-06-13T13:29:05.619Z</dcterms:created>
  <dcterms:modified xsi:type="dcterms:W3CDTF">2026-06-13T13:29:05.619Z</dcterms:modified>
</cp:coreProperties>
</file>

<file path=docProps/custom.xml><?xml version="1.0" encoding="utf-8"?>
<Properties xmlns="http://schemas.openxmlformats.org/officeDocument/2006/custom-properties" xmlns:vt="http://schemas.openxmlformats.org/officeDocument/2006/docPropsVTypes"/>
</file>