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0BDE6" w14:textId="77777777" w:rsidR="003C0209" w:rsidRDefault="003C0209" w:rsidP="003C0209"/>
    <w:p w14:paraId="76C1FEF6" w14:textId="77777777" w:rsidR="003C0209" w:rsidRDefault="003C0209" w:rsidP="003C0209"/>
    <w:p w14:paraId="0B5F1E7A" w14:textId="77777777" w:rsidR="003C0209" w:rsidRDefault="003C0209" w:rsidP="003C0209"/>
    <w:p w14:paraId="5B20F294" w14:textId="77777777" w:rsidR="003C0209" w:rsidRDefault="003C0209" w:rsidP="003C0209">
      <w:pPr>
        <w:spacing w:after="200"/>
        <w:jc w:val="center"/>
      </w:pPr>
      <w:r>
        <w:rPr>
          <w:b/>
          <w:bCs/>
          <w:sz w:val="28"/>
          <w:szCs w:val="28"/>
        </w:rPr>
        <w:t>UNIVERSITÉ AUBE NOUVELLE</w:t>
      </w:r>
    </w:p>
    <w:p w14:paraId="1A0703D1" w14:textId="77777777" w:rsidR="003C0209" w:rsidRDefault="003C0209" w:rsidP="003C0209">
      <w:pPr>
        <w:spacing w:after="240"/>
        <w:jc w:val="center"/>
      </w:pPr>
      <w:r>
        <w:rPr>
          <w:noProof/>
        </w:rPr>
        <w:drawing>
          <wp:inline distT="0" distB="0" distL="0" distR="0" wp14:anchorId="16C7764C" wp14:editId="7D120258">
            <wp:extent cx="1381125" cy="119062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381125" cy="1190625"/>
                    </a:xfrm>
                    <a:prstGeom prst="rect">
                      <a:avLst/>
                    </a:prstGeom>
                  </pic:spPr>
                </pic:pic>
              </a:graphicData>
            </a:graphic>
          </wp:inline>
        </w:drawing>
      </w:r>
    </w:p>
    <w:p w14:paraId="1A2A198F" w14:textId="77777777" w:rsidR="003C0209" w:rsidRDefault="003C0209" w:rsidP="003C0209">
      <w:pPr>
        <w:spacing w:after="120"/>
        <w:jc w:val="center"/>
      </w:pPr>
      <w:r>
        <w:rPr>
          <w:b/>
          <w:bCs/>
          <w:sz w:val="26"/>
          <w:szCs w:val="26"/>
        </w:rPr>
        <w:t>INSTITUT SUPÉRIEUR D'INFORMATIQUE ET DE GESTION</w:t>
      </w:r>
    </w:p>
    <w:p w14:paraId="5C233201" w14:textId="77777777" w:rsidR="003C0209" w:rsidRDefault="003C0209" w:rsidP="003C0209">
      <w:pPr>
        <w:spacing w:after="400"/>
        <w:jc w:val="center"/>
      </w:pPr>
      <w:r>
        <w:rPr>
          <w:b/>
          <w:bCs/>
        </w:rPr>
        <w:t>DÉPARTEMENT HIGH-TECH</w:t>
      </w:r>
    </w:p>
    <w:p w14:paraId="4D422CE6" w14:textId="77777777" w:rsidR="003C0209" w:rsidRDefault="003C0209" w:rsidP="003C0209">
      <w:pPr>
        <w:spacing w:after="120"/>
        <w:jc w:val="center"/>
      </w:pPr>
      <w:r>
        <w:rPr>
          <w:b/>
          <w:bCs/>
        </w:rPr>
        <w:t>MÉMOIRE EN VUE DE L'OBTENTION DU MASTER</w:t>
      </w:r>
    </w:p>
    <w:p w14:paraId="7EC159E7" w14:textId="77777777" w:rsidR="003C0209" w:rsidRDefault="003C0209" w:rsidP="003C0209">
      <w:pPr>
        <w:spacing w:after="80"/>
        <w:jc w:val="center"/>
      </w:pPr>
      <w:r>
        <w:t>DOMAINE : Sciences et Technologies</w:t>
      </w:r>
    </w:p>
    <w:p w14:paraId="5AA2F7C4" w14:textId="77777777" w:rsidR="003C0209" w:rsidRDefault="003C0209" w:rsidP="003C0209">
      <w:pPr>
        <w:spacing w:after="600"/>
        <w:jc w:val="center"/>
      </w:pPr>
      <w:r>
        <w:t>OPTION : Management des Systèmes d'Information</w:t>
      </w:r>
    </w:p>
    <w:p w14:paraId="3907F5FE" w14:textId="77777777" w:rsidR="003C0209" w:rsidRPr="00684723" w:rsidRDefault="003C0209" w:rsidP="003C0209">
      <w:pPr>
        <w:pBdr>
          <w:top w:val="single" w:sz="4" w:space="1" w:color="1F3864"/>
          <w:bottom w:val="single" w:sz="4" w:space="1" w:color="1F3864"/>
        </w:pBdr>
        <w:spacing w:after="600"/>
        <w:rPr>
          <w:b/>
          <w:bCs/>
          <w:color w:val="323E4F" w:themeColor="text2" w:themeShade="BF"/>
        </w:rPr>
      </w:pPr>
      <w:r>
        <w:rPr>
          <w:b/>
          <w:bCs/>
          <w:color w:val="1F3864"/>
          <w:sz w:val="26"/>
          <w:szCs w:val="26"/>
        </w:rPr>
        <w:t xml:space="preserve">Titre : </w:t>
      </w:r>
      <w:r w:rsidRPr="00684723">
        <w:rPr>
          <w:b/>
          <w:bCs/>
          <w:color w:val="323E4F" w:themeColor="text2" w:themeShade="BF"/>
        </w:rPr>
        <w:t>Conception d'une plateforme SaaS multi-tenant intelligente pour la gestion décisionnelle des élevages porcins au Burkina Faso : analyse de données, alertes métier et recommandations par intelligence artificielle.</w:t>
      </w:r>
    </w:p>
    <w:p w14:paraId="0174D84F" w14:textId="77777777" w:rsidR="003C0209" w:rsidRDefault="003C0209" w:rsidP="003C0209"/>
    <w:p w14:paraId="7A9B09AA" w14:textId="77777777" w:rsidR="003C0209" w:rsidRDefault="003C0209" w:rsidP="003C0209">
      <w:pPr>
        <w:spacing w:after="80"/>
      </w:pPr>
      <w:r>
        <w:rPr>
          <w:b/>
          <w:bCs/>
        </w:rPr>
        <w:t>Présenté par : LOUAHIKBE SING-YABE Patrick</w:t>
      </w:r>
    </w:p>
    <w:p w14:paraId="28CEBD17" w14:textId="77777777" w:rsidR="003C0209" w:rsidRDefault="003C0209" w:rsidP="003C0209">
      <w:pPr>
        <w:spacing w:after="400"/>
      </w:pPr>
      <w:r>
        <w:t>Présenté le : ................................</w:t>
      </w:r>
    </w:p>
    <w:p w14:paraId="1E38E3D0" w14:textId="77777777" w:rsidR="003C0209" w:rsidRDefault="003C0209" w:rsidP="003C0209">
      <w:pPr>
        <w:spacing w:after="80"/>
      </w:pPr>
      <w:r>
        <w:rPr>
          <w:b/>
          <w:bCs/>
        </w:rPr>
        <w:t>Jury</w:t>
      </w:r>
    </w:p>
    <w:p w14:paraId="07886ED8" w14:textId="77777777" w:rsidR="003C0209" w:rsidRDefault="003C0209" w:rsidP="003C0209">
      <w:pPr>
        <w:spacing w:after="80"/>
      </w:pPr>
      <w:r>
        <w:t>Président : ................................</w:t>
      </w:r>
    </w:p>
    <w:p w14:paraId="18110480" w14:textId="77777777" w:rsidR="003C0209" w:rsidRDefault="003C0209" w:rsidP="003C0209">
      <w:pPr>
        <w:spacing w:after="80"/>
      </w:pPr>
      <w:r>
        <w:t>Membres :</w:t>
      </w:r>
    </w:p>
    <w:p w14:paraId="5FE66689" w14:textId="77777777" w:rsidR="003C0209" w:rsidRDefault="003C0209" w:rsidP="003C0209">
      <w:pPr>
        <w:spacing w:after="80"/>
      </w:pPr>
      <w:r>
        <w:t>1) ................................</w:t>
      </w:r>
    </w:p>
    <w:p w14:paraId="24F86CEA" w14:textId="77777777" w:rsidR="003C0209" w:rsidRDefault="003C0209" w:rsidP="003C0209">
      <w:pPr>
        <w:spacing w:after="200"/>
      </w:pPr>
      <w:r>
        <w:t>2) ................................</w:t>
      </w:r>
    </w:p>
    <w:p w14:paraId="697709FF" w14:textId="77777777" w:rsidR="003C0209" w:rsidRDefault="003C0209" w:rsidP="003C0209">
      <w:pPr>
        <w:spacing w:after="200"/>
      </w:pPr>
      <w:r>
        <w:rPr>
          <w:b/>
          <w:bCs/>
        </w:rPr>
        <w:t>Année académique : ......</w:t>
      </w:r>
    </w:p>
    <w:p w14:paraId="32671B83" w14:textId="77777777" w:rsidR="006A55DC" w:rsidRDefault="00000000">
      <w:r>
        <w:br w:type="page"/>
      </w:r>
    </w:p>
    <w:p w14:paraId="38973261" w14:textId="77777777" w:rsidR="006A55DC" w:rsidRDefault="00000000">
      <w:pPr>
        <w:pStyle w:val="Titre1"/>
      </w:pPr>
      <w:r>
        <w:lastRenderedPageBreak/>
        <w:t>Résumé</w:t>
      </w:r>
    </w:p>
    <w:p w14:paraId="1B747926" w14:textId="77777777" w:rsidR="006A55DC" w:rsidRDefault="00000000">
      <w:pPr>
        <w:spacing w:before="120" w:after="120"/>
        <w:ind w:firstLine="720"/>
        <w:jc w:val="both"/>
      </w:pPr>
      <w:r>
        <w:t>L'élevage porcin constitue un pilier de la sécurité alimentaire et de l'économie rurale au Burkina Faso. Avec un cheptel de 2 693 443 têtes en 2021 (FAOSTAT, 2023, cité dans Adesehinwa et al., 2024), en progression constante depuis les années 1990, ce secteur souffre néanmoins d'un déficit structurel d'outils numériques adaptés aux réalités locales : volatilité des prix, absence de suivi individuel des animaux et fracture numérique persistante. Ce mémoire présente la conception et le déploiement d'une plateforme numérique intelligente pour répondre à ces enjeux.</w:t>
      </w:r>
    </w:p>
    <w:p w14:paraId="5E586C56" w14:textId="77777777" w:rsidR="006A55DC" w:rsidRDefault="00000000">
      <w:pPr>
        <w:spacing w:before="120" w:after="120"/>
        <w:ind w:firstLine="720"/>
        <w:jc w:val="both"/>
      </w:pPr>
      <w:r>
        <w:t>La plateforme repose sur une architecture SaaS multi-tenant (Software as a Service), permettant à plusieurs exploitations porcines de bénéficier d'un système partagé tout en garantissant l'isolation stricte de leurs données, via une stratégie de schéma PostgreSQL par tenant. Le backend, développé en Kotlin/Spring Boot, couvre l'ensemble du cycle de gestion d'un élevage : gestion individuelle des animaux, recommandations alimentaires issues de référentiels locaux (DGPA/MRAH, ONG Thamani), suivi de la reproduction avec calcul de l'Intervalle Sevrage-Saillie Fécondante (ISSF), surveillance sanitaire via un Système d'Aide à la Décision (SAD), gestion des ventes avec facturation PDF automatique, et synthèse financière.</w:t>
      </w:r>
    </w:p>
    <w:p w14:paraId="01410EAA" w14:textId="77777777" w:rsidR="006A55DC" w:rsidRDefault="00000000">
      <w:pPr>
        <w:spacing w:before="120" w:after="120"/>
        <w:ind w:firstLine="720"/>
        <w:jc w:val="both"/>
      </w:pPr>
      <w:r>
        <w:t>La plateforme intègre également un modèle de monétisation par abonnement (plans STARTER, ELEVEUR PRO, FERME PREMIUM, ENTREPRISE), un pipeline de collecte de données via WhatsApp adapté à la fracture numérique, et une interface web mobile-first. Un pipeline de collecte de prix via WhatsApp constitue une base de données originale pour de futures analyses par apprentissage automatique. Une analyse comparative avec les solutions africaines existantes (AgriData IA, AgriHubX, Farm Tracker) confirme l'originalité de cette contribution.</w:t>
      </w:r>
    </w:p>
    <w:p w14:paraId="37DC470E" w14:textId="77777777" w:rsidR="006A55DC" w:rsidRDefault="006A55DC">
      <w:pPr>
        <w:spacing w:before="60" w:after="60"/>
      </w:pPr>
    </w:p>
    <w:p w14:paraId="189EBFE1" w14:textId="77777777" w:rsidR="006A55DC" w:rsidRDefault="00000000">
      <w:pPr>
        <w:spacing w:before="120" w:after="120"/>
      </w:pPr>
      <w:r>
        <w:rPr>
          <w:b/>
          <w:bCs/>
        </w:rPr>
        <w:t xml:space="preserve">Mots-clés : </w:t>
      </w:r>
      <w:r>
        <w:t>Élevage porcin · Burkina Faso · Intelligence Artificielle · SaaS multi-tenant · Système d'Aide à la Décision · SAD · ISSF · Fracture numérique · Spring Boot · Kotlin</w:t>
      </w:r>
    </w:p>
    <w:p w14:paraId="1D33C6E0" w14:textId="77777777" w:rsidR="006A55DC" w:rsidRDefault="00000000">
      <w:r>
        <w:br w:type="page"/>
      </w:r>
    </w:p>
    <w:p w14:paraId="66613253" w14:textId="77777777" w:rsidR="006A55DC" w:rsidRDefault="00000000">
      <w:pPr>
        <w:pStyle w:val="Titre1"/>
      </w:pPr>
      <w:r>
        <w:lastRenderedPageBreak/>
        <w:t>Abstract</w:t>
      </w:r>
    </w:p>
    <w:p w14:paraId="39D487C6" w14:textId="77777777" w:rsidR="006A55DC" w:rsidRDefault="00000000">
      <w:pPr>
        <w:spacing w:before="120" w:after="120"/>
        <w:ind w:firstLine="720"/>
        <w:jc w:val="both"/>
      </w:pPr>
      <w:r>
        <w:t>Pig farming is a cornerstone of food security and rural income in Burkina Faso. With a herd of 2,693,443 heads in 2021 (FAOSTAT, 2023, cited in Adesehinwa et al., 2024), consistently growing since the 1990s, the sector still struggles with price volatility, a lack of individual animal tracking tools, and a persistent digital divide. This thesis presents the design and deployment of an intelligent digital platform built to address these challenges.</w:t>
      </w:r>
    </w:p>
    <w:p w14:paraId="296986CE" w14:textId="77777777" w:rsidR="006A55DC" w:rsidRDefault="00000000">
      <w:pPr>
        <w:spacing w:before="120" w:after="120"/>
        <w:ind w:firstLine="720"/>
        <w:jc w:val="both"/>
      </w:pPr>
      <w:r>
        <w:t>The platform is built on a multi-tenant SaaS (Software as a Service) architecture, enabling multiple pig farms to share infrastructure while ensuring strict data isolation through a PostgreSQL schema-per-tenant strategy. The backend, developed in Kotlin/Spring Boot, covers the entire livestock management cycle: individual animal management, feeding recommendations based on local technical references (DGPA/MRAH, NGO Thamani), reproduction tracking with Weaning-to-Conception Interval (WCI) calculation, health monitoring via a Decision Support System (DSS), sales management with automatic PDF invoicing, and financial summaries.</w:t>
      </w:r>
    </w:p>
    <w:p w14:paraId="50655870" w14:textId="77777777" w:rsidR="006A55DC" w:rsidRDefault="00000000">
      <w:pPr>
        <w:spacing w:before="120" w:after="120"/>
        <w:ind w:firstLine="720"/>
        <w:jc w:val="both"/>
      </w:pPr>
      <w:r>
        <w:t>The platform also incorporates a subscription-based monetization model (STARTER, ELEVEUR PRO, FERME PREMIUM, and ENTREPRISE plans), a WhatsApp-based data collection pipeline adapted to the digital divide, and a mobile-first web interface. A price data collection pipeline via WhatsApp constitutes an original dataset for future machine learning analyses. A comparative analysis with existing African solutions (AgriData IA, AgriHubX, Farm Tracker) confirms the originality of this contribution.</w:t>
      </w:r>
    </w:p>
    <w:p w14:paraId="5AFEA517" w14:textId="77777777" w:rsidR="006A55DC" w:rsidRDefault="006A55DC">
      <w:pPr>
        <w:spacing w:before="60" w:after="60"/>
      </w:pPr>
    </w:p>
    <w:p w14:paraId="76104C7A" w14:textId="77777777" w:rsidR="006A55DC" w:rsidRDefault="00000000">
      <w:pPr>
        <w:spacing w:before="120" w:after="120"/>
      </w:pPr>
      <w:r>
        <w:rPr>
          <w:b/>
          <w:bCs/>
        </w:rPr>
        <w:t xml:space="preserve">Keywords: </w:t>
      </w:r>
      <w:r>
        <w:t>Pig farming · Burkina Faso · Artificial Intelligence · Multi-tenant SaaS · Decision Support System · WCI · Digital divide · Spring Boot · Kotlin</w:t>
      </w:r>
    </w:p>
    <w:p w14:paraId="6A52DE73" w14:textId="77777777" w:rsidR="006A55DC" w:rsidRDefault="00000000">
      <w:r>
        <w:br w:type="page"/>
      </w:r>
    </w:p>
    <w:p w14:paraId="082CE4D5" w14:textId="77777777" w:rsidR="006A55DC" w:rsidRDefault="00000000">
      <w:pPr>
        <w:pStyle w:val="Titre1"/>
      </w:pPr>
      <w:r>
        <w:lastRenderedPageBreak/>
        <w:t>Liste des Abréviations</w:t>
      </w:r>
    </w:p>
    <w:p w14:paraId="3D5366F1" w14:textId="77777777" w:rsidR="006A55DC" w:rsidRDefault="00000000">
      <w:pPr>
        <w:spacing w:before="80" w:after="80"/>
      </w:pPr>
      <w:r>
        <w:rPr>
          <w:b/>
          <w:bCs/>
        </w:rPr>
        <w:t>API</w:t>
      </w:r>
      <w:r>
        <w:t xml:space="preserve"> : Application Programming Interface</w:t>
      </w:r>
    </w:p>
    <w:p w14:paraId="43A101CB" w14:textId="77777777" w:rsidR="006A55DC" w:rsidRDefault="00000000">
      <w:pPr>
        <w:spacing w:before="80" w:after="80"/>
      </w:pPr>
      <w:r>
        <w:rPr>
          <w:b/>
          <w:bCs/>
        </w:rPr>
        <w:t>DSS / SAD</w:t>
      </w:r>
      <w:r>
        <w:t xml:space="preserve"> : Decision Support System / Système d'Aide à la Décision</w:t>
      </w:r>
    </w:p>
    <w:p w14:paraId="12CEA536" w14:textId="77777777" w:rsidR="006A55DC" w:rsidRDefault="00000000">
      <w:pPr>
        <w:spacing w:before="80" w:after="80"/>
      </w:pPr>
      <w:r>
        <w:rPr>
          <w:b/>
          <w:bCs/>
        </w:rPr>
        <w:t>DGPA/MRAH</w:t>
      </w:r>
      <w:r>
        <w:t xml:space="preserve"> : Direction Générale des Productions Animales / Ministère des Ressources Animales et Halieutiques</w:t>
      </w:r>
    </w:p>
    <w:p w14:paraId="1CA4C1A4" w14:textId="77777777" w:rsidR="006A55DC" w:rsidRDefault="00000000">
      <w:pPr>
        <w:spacing w:before="80" w:after="80"/>
      </w:pPr>
      <w:r>
        <w:rPr>
          <w:b/>
          <w:bCs/>
        </w:rPr>
        <w:t>ISSF / WCI</w:t>
      </w:r>
      <w:r>
        <w:t xml:space="preserve"> : Intervalle Sevrage-Saillie Fécondante / Weaning-to-Conception Interval</w:t>
      </w:r>
    </w:p>
    <w:p w14:paraId="77A56CD1" w14:textId="77777777" w:rsidR="006A55DC" w:rsidRDefault="00000000">
      <w:pPr>
        <w:spacing w:before="80" w:after="80"/>
      </w:pPr>
      <w:r>
        <w:rPr>
          <w:b/>
          <w:bCs/>
        </w:rPr>
        <w:t>JWT</w:t>
      </w:r>
      <w:r>
        <w:t xml:space="preserve"> : JSON Web Token</w:t>
      </w:r>
    </w:p>
    <w:p w14:paraId="204C8FA1" w14:textId="77777777" w:rsidR="006A55DC" w:rsidRDefault="00000000">
      <w:pPr>
        <w:spacing w:before="80" w:after="80"/>
      </w:pPr>
      <w:r>
        <w:rPr>
          <w:b/>
          <w:bCs/>
        </w:rPr>
        <w:t>LLM</w:t>
      </w:r>
      <w:r>
        <w:t xml:space="preserve"> : Large Language Model (Grand Modèle de Langage)</w:t>
      </w:r>
    </w:p>
    <w:p w14:paraId="342ED726" w14:textId="77777777" w:rsidR="006A55DC" w:rsidRDefault="00000000">
      <w:pPr>
        <w:spacing w:before="80" w:after="80"/>
      </w:pPr>
      <w:r>
        <w:rPr>
          <w:b/>
          <w:bCs/>
        </w:rPr>
        <w:t>ML</w:t>
      </w:r>
      <w:r>
        <w:t xml:space="preserve"> : Machine Learning (Apprentissage Automatique)</w:t>
      </w:r>
    </w:p>
    <w:p w14:paraId="0400A779" w14:textId="77777777" w:rsidR="006A55DC" w:rsidRDefault="00000000">
      <w:pPr>
        <w:spacing w:before="80" w:after="80"/>
      </w:pPr>
      <w:r>
        <w:rPr>
          <w:b/>
          <w:bCs/>
        </w:rPr>
        <w:t>PLF</w:t>
      </w:r>
      <w:r>
        <w:t xml:space="preserve"> : Precision Livestock Farming (Élevage de Précision)</w:t>
      </w:r>
    </w:p>
    <w:p w14:paraId="28257831" w14:textId="77777777" w:rsidR="006A55DC" w:rsidRDefault="00000000">
      <w:pPr>
        <w:spacing w:before="80" w:after="80"/>
      </w:pPr>
      <w:r>
        <w:rPr>
          <w:b/>
          <w:bCs/>
        </w:rPr>
        <w:t>PPA</w:t>
      </w:r>
      <w:r>
        <w:t xml:space="preserve"> : Peste Porcine Africaine</w:t>
      </w:r>
    </w:p>
    <w:p w14:paraId="4080C239" w14:textId="77777777" w:rsidR="006A55DC" w:rsidRDefault="00000000">
      <w:pPr>
        <w:spacing w:before="80" w:after="80"/>
      </w:pPr>
      <w:r>
        <w:rPr>
          <w:b/>
          <w:bCs/>
        </w:rPr>
        <w:t>REST</w:t>
      </w:r>
      <w:r>
        <w:t xml:space="preserve"> : Representational State Transfer</w:t>
      </w:r>
    </w:p>
    <w:p w14:paraId="26A7D70E" w14:textId="77777777" w:rsidR="006A55DC" w:rsidRDefault="00000000">
      <w:pPr>
        <w:spacing w:before="80" w:after="80"/>
      </w:pPr>
      <w:r>
        <w:rPr>
          <w:b/>
          <w:bCs/>
        </w:rPr>
        <w:t>SaaS</w:t>
      </w:r>
      <w:r>
        <w:t xml:space="preserve"> : Software as a Service (Logiciel en tant que Service)</w:t>
      </w:r>
    </w:p>
    <w:p w14:paraId="0FF1FF78" w14:textId="77777777" w:rsidR="006A55DC" w:rsidRDefault="00000000">
      <w:pPr>
        <w:spacing w:before="80" w:after="80"/>
      </w:pPr>
      <w:r>
        <w:rPr>
          <w:b/>
          <w:bCs/>
        </w:rPr>
        <w:t>SGBD</w:t>
      </w:r>
      <w:r>
        <w:t xml:space="preserve"> : Système de Gestion de Base de Données</w:t>
      </w:r>
    </w:p>
    <w:p w14:paraId="51E247BB" w14:textId="77777777" w:rsidR="006A55DC" w:rsidRDefault="00000000">
      <w:r>
        <w:br w:type="page"/>
      </w:r>
    </w:p>
    <w:p w14:paraId="70E6A00E" w14:textId="77777777" w:rsidR="006A55DC" w:rsidRDefault="00000000">
      <w:pPr>
        <w:pStyle w:val="Titre1"/>
      </w:pPr>
      <w:r>
        <w:lastRenderedPageBreak/>
        <w:t>Chapitre 1 : Introduction Générale</w:t>
      </w:r>
    </w:p>
    <w:p w14:paraId="5A973218" w14:textId="77777777" w:rsidR="006A55DC" w:rsidRDefault="00000000">
      <w:pPr>
        <w:pStyle w:val="Titre2"/>
      </w:pPr>
      <w:r>
        <w:t>1.1 Contexte et Justification</w:t>
      </w:r>
    </w:p>
    <w:p w14:paraId="7569AA0B" w14:textId="77777777" w:rsidR="006A55DC" w:rsidRDefault="00000000">
      <w:pPr>
        <w:spacing w:before="120" w:after="120"/>
        <w:ind w:firstLine="720"/>
        <w:jc w:val="both"/>
      </w:pPr>
      <w:r>
        <w:t>L'Afrique subsaharienne connaît une transformation agricole profonde, portée par une croissance démographique soutenue et une urbanisation rapide qui accélèrent la demande en protéines animales. Dans ce contexte, l'élevage porcin occupe une place stratégique au Burkina Faso : le porc, caractérisé par un cycle court, une forte prolificité et une capacité à valoriser les sous-produits agricoles, représente une source de revenus indispensable pour des milliers de ménages ruraux et périurbains.</w:t>
      </w:r>
    </w:p>
    <w:p w14:paraId="71AD5457" w14:textId="77777777" w:rsidR="006A55DC" w:rsidRDefault="00000000">
      <w:pPr>
        <w:spacing w:before="120" w:after="120"/>
        <w:ind w:firstLine="720"/>
        <w:jc w:val="both"/>
      </w:pPr>
      <w:r>
        <w:t>Les données récentes témoignent d'une croissance remarquable du secteur. FAOSTAT (2023), cité dans Adesehinwa et al. (2024), recense un cheptel porcin burkinabè de 2 693 443 têtes en 2021, pour une production de viande de 337 410 tonnes. À l'échelle du continent, la population porcine africaine atteignait 44 millions de têtes en 2020, soit une croissance de 101 % entre 2001 et 2021 (Adesehinwa et al., 2024). Avec une population africaine projetée à 2,5 milliards en 2050 (Statista, 2023), la demande en protéines animales, et notamment en viande porcine, est appelée à croître structurellement.</w:t>
      </w:r>
    </w:p>
    <w:p w14:paraId="21898079" w14:textId="77777777" w:rsidR="006A55DC" w:rsidRDefault="00000000">
      <w:pPr>
        <w:spacing w:before="120" w:after="120"/>
        <w:ind w:firstLine="720"/>
        <w:jc w:val="both"/>
      </w:pPr>
      <w:r>
        <w:t>L'Institut National de la Statistique et de la Démographie (INSD, 2023) confirme que l'élevage demeure un pilier des ménages agricoles burkinabè. Cette expansion s'accompagne cependant de défis persistants : la Peste Porcine Africaine (PPA), qui a causé la perte de 25 % du cheptel porcin mondial entre 2018 et 2019 (Adesehinwa et al., 2024), constitue une menace endémique pour la filière. Par ailleurs, la volatilité des prix de marché fragilise les marges bénéficiaires, et la quasi-totalité des éleveurs gèrent leurs exploitations sans outil numérique structuré.</w:t>
      </w:r>
    </w:p>
    <w:p w14:paraId="331266F8" w14:textId="77777777" w:rsidR="006A55DC" w:rsidRDefault="00000000">
      <w:pPr>
        <w:spacing w:before="120" w:after="120"/>
        <w:ind w:firstLine="720"/>
        <w:jc w:val="both"/>
      </w:pPr>
      <w:r>
        <w:t>À l'échelle mondiale, l'élevage de précision (Precision Livestock Farming, PLF) s'impose progressivement comme cadre de référence pour la modernisation des filières animales. Bernabucci et al. (2025), dans une revue systématique portant sur 710 publications, montrent que les principes fondamentaux du PLF — collecte structurée de données, calcul d'indicateurs, alertes automatiques — peuvent être déployés à moindre coût dans des contextes contraints, sans recours obligatoire à des dispositifs matériels coûteux.</w:t>
      </w:r>
    </w:p>
    <w:p w14:paraId="6404F6BB" w14:textId="77777777" w:rsidR="006A55DC" w:rsidRDefault="00000000">
      <w:pPr>
        <w:spacing w:before="120" w:after="120"/>
        <w:ind w:firstLine="720"/>
        <w:jc w:val="both"/>
      </w:pPr>
      <w:r>
        <w:t>La transposition de ces principes au Burkina Faso soulève une question fondamentale : comment concevoir un système intelligent réellement utilisable dans un environnement rural où la connectivité est dégradée, les équipements informatiques restent peu répandus, et les pratiques zootechniques sont ancrées dans des savoirs locaux spécifiques ? C'est précisément la question à laquelle ce mémoire apporte une réponse concrète.</w:t>
      </w:r>
    </w:p>
    <w:p w14:paraId="2D7A5E71" w14:textId="77777777" w:rsidR="006A55DC" w:rsidRDefault="00000000">
      <w:pPr>
        <w:pStyle w:val="Titre2"/>
      </w:pPr>
      <w:r>
        <w:t>1.2 Problématique</w:t>
      </w:r>
    </w:p>
    <w:p w14:paraId="4A85EE37" w14:textId="77777777" w:rsidR="006A55DC" w:rsidRDefault="00000000">
      <w:pPr>
        <w:spacing w:before="120" w:after="120"/>
        <w:ind w:firstLine="720"/>
        <w:jc w:val="both"/>
      </w:pPr>
      <w:r>
        <w:t>Les exploitations porcines au Burkina Faso génèrent d'importantes données relatives à la gestion zootechnique — alimentation, reproduction, santé animale — ainsi qu'aux activités économiques : charges d'exploitation, ventes et synthèse financière. Cependant, ces informations demeurent le plus souvent dispersées, consignées manuellement sur des supports fragmentés, et insuffisamment exploitées à des fins d'aide à la décision stratégique. L'absence d'outils numériques adaptés contraint les éleveurs à gérer leurs exploitations de manière empirique, sans indicateurs de performance objectifs, sans alertes préventives et sans visibilité sur la rentabilité réelle de leur activité.</w:t>
      </w:r>
    </w:p>
    <w:p w14:paraId="0F1093AB" w14:textId="77777777" w:rsidR="006A55DC" w:rsidRDefault="00000000">
      <w:pPr>
        <w:spacing w:before="120" w:after="120"/>
        <w:ind w:firstLine="720"/>
        <w:jc w:val="both"/>
      </w:pPr>
      <w:r>
        <w:lastRenderedPageBreak/>
        <w:t>Cette situation est aggravée par le manque d'expertise technique des petits exploitants. Adesehinwa et al. (2024) soulignent que le manque de connaissances en nutrition, en gestion sanitaire et en pratiques zootechniques modernes constitue l'un des principaux freins à la productivité de la filière porcine en Afrique subsaharienne — un constat directement applicable au Burkina Faso. Cette lacune justifie le recours à un Système d'Aide à la Décision (SAD) capable d'encoder des savoirs experts dans une interface accessible.</w:t>
      </w:r>
    </w:p>
    <w:p w14:paraId="09FDB8E1" w14:textId="77777777" w:rsidR="006A55DC" w:rsidRDefault="00000000">
      <w:pPr>
        <w:spacing w:before="120" w:after="120"/>
        <w:ind w:firstLine="720"/>
        <w:jc w:val="both"/>
      </w:pPr>
      <w:r>
        <w:t>La fracture numérique aggrave davantage la situation. Un Policy Brief relatif au Sénégal — pays présentant un profil numérique comparable au Burkina Faso — relève que seulement environ 20 % des ménages ruraux disposent d'un smartphone, et que la couverture 3G/4G est instable ou absente en zone pastorale. Par ailleurs, l'analyse des solutions numériques agricoles existantes en Afrique de l'Ouest (AgriData IA, AgriHubX, Farm Tracker) révèle qu'aucune ne propose de gestion individualisée et intégrée de l'élevage porcin, calibrée sur les référentiels burkinabè.</w:t>
      </w:r>
    </w:p>
    <w:p w14:paraId="65AA343A" w14:textId="77777777" w:rsidR="006A55DC" w:rsidRDefault="00000000">
      <w:pPr>
        <w:spacing w:before="120" w:after="120"/>
        <w:ind w:firstLine="720"/>
        <w:jc w:val="both"/>
      </w:pPr>
      <w:r>
        <w:t>Face à ce constat, la problématique centrale de ce mémoire est formulée comme suit :</w:t>
      </w:r>
    </w:p>
    <w:p w14:paraId="4DA28084" w14:textId="77777777" w:rsidR="006A55DC" w:rsidRDefault="00000000">
      <w:pPr>
        <w:spacing w:before="200" w:after="200"/>
        <w:ind w:left="720" w:right="720"/>
        <w:jc w:val="both"/>
      </w:pPr>
      <w:r>
        <w:rPr>
          <w:i/>
          <w:iCs/>
        </w:rPr>
        <w:t>Comment concevoir et déployer une plateforme numérique intelligente, architecturée selon un modèle SaaS multi-tenant, capable de centraliser et de structurer les données d'élevage porcin, de calculer automatiquement les indicateurs de performance zootechnique et économique, de générer des alertes métier pertinentes et d'offrir une aide à la décision fondée sur des règles expertes et l'intelligence artificielle, tout en restant adaptée aux contraintes socio-techniques et économiques des éleveurs burkinabè ?</w:t>
      </w:r>
    </w:p>
    <w:p w14:paraId="6E2933EC" w14:textId="77777777" w:rsidR="006A55DC" w:rsidRDefault="00000000">
      <w:pPr>
        <w:pStyle w:val="Titre2"/>
      </w:pPr>
      <w:r>
        <w:t>1.3 Objectifs</w:t>
      </w:r>
    </w:p>
    <w:p w14:paraId="3DB9DB1F" w14:textId="77777777" w:rsidR="006A55DC" w:rsidRDefault="00000000">
      <w:pPr>
        <w:spacing w:before="160" w:after="80"/>
      </w:pPr>
      <w:r>
        <w:rPr>
          <w:b/>
          <w:bCs/>
        </w:rPr>
        <w:t>Objectif général</w:t>
      </w:r>
    </w:p>
    <w:p w14:paraId="1E180DCE" w14:textId="77777777" w:rsidR="006A55DC" w:rsidRDefault="00000000">
      <w:pPr>
        <w:spacing w:before="120" w:after="120"/>
        <w:ind w:firstLine="720"/>
        <w:jc w:val="both"/>
      </w:pPr>
      <w:r>
        <w:t>Concevoir, développer et déployer une plateforme numérique intelligente de type SaaS multi-tenant pour la gestion décisionnelle des élevages porcins au Burkina Faso, intégrant un Système d'Aide à la Décision (SAD) fondé sur des règles zootechniques localement sourcées et des mécanismes d'intelligence artificielle adaptés aux réalités socio-techniques du contexte burkinabè.</w:t>
      </w:r>
    </w:p>
    <w:p w14:paraId="1BD64DA3" w14:textId="77777777" w:rsidR="006A55DC" w:rsidRDefault="006A55DC">
      <w:pPr>
        <w:spacing w:before="60" w:after="60"/>
      </w:pPr>
    </w:p>
    <w:p w14:paraId="076D29BB" w14:textId="77777777" w:rsidR="006A55DC" w:rsidRDefault="00000000">
      <w:pPr>
        <w:spacing w:before="160" w:after="80"/>
      </w:pPr>
      <w:r>
        <w:rPr>
          <w:b/>
          <w:bCs/>
        </w:rPr>
        <w:t>Objectifs spécifiques</w:t>
      </w:r>
    </w:p>
    <w:p w14:paraId="01E6914D" w14:textId="77777777" w:rsidR="006A55DC" w:rsidRDefault="00000000">
      <w:pPr>
        <w:pStyle w:val="Paragraphedeliste"/>
        <w:numPr>
          <w:ilvl w:val="0"/>
          <w:numId w:val="2"/>
        </w:numPr>
        <w:spacing w:before="60" w:after="60"/>
        <w:jc w:val="both"/>
      </w:pPr>
      <w:r>
        <w:t>Analyser l'état des pratiques d'élevage porcin au Burkina Faso et recenser les outils numériques agricoles disponibles en Afrique de l'Ouest afin d'identifier les lacunes existantes.</w:t>
      </w:r>
    </w:p>
    <w:p w14:paraId="0560EA74" w14:textId="77777777" w:rsidR="006A55DC" w:rsidRDefault="00000000">
      <w:pPr>
        <w:pStyle w:val="Paragraphedeliste"/>
        <w:numPr>
          <w:ilvl w:val="0"/>
          <w:numId w:val="2"/>
        </w:numPr>
        <w:spacing w:before="60" w:after="60"/>
        <w:jc w:val="both"/>
      </w:pPr>
      <w:r>
        <w:t>Concevoir une architecture logicielle SaaS multi-tenant garantissant l'isolation des données entre exploitations, la scalabilité du système et la mutualisation des coûts d'infrastructure.</w:t>
      </w:r>
    </w:p>
    <w:p w14:paraId="720F0F73" w14:textId="77777777" w:rsidR="006A55DC" w:rsidRDefault="00000000">
      <w:pPr>
        <w:pStyle w:val="Paragraphedeliste"/>
        <w:numPr>
          <w:ilvl w:val="0"/>
          <w:numId w:val="2"/>
        </w:numPr>
        <w:spacing w:before="60" w:after="60"/>
        <w:jc w:val="both"/>
      </w:pPr>
      <w:r>
        <w:t>Développer un backend REST sécurisé (Kotlin/Spring Boot) couvrant les modules de gestion individuelle des animaux, d'alimentation, de reproduction, de santé et de synthèse financière.</w:t>
      </w:r>
    </w:p>
    <w:p w14:paraId="46D09F2A" w14:textId="77777777" w:rsidR="006A55DC" w:rsidRDefault="00000000">
      <w:pPr>
        <w:pStyle w:val="Paragraphedeliste"/>
        <w:numPr>
          <w:ilvl w:val="0"/>
          <w:numId w:val="2"/>
        </w:numPr>
        <w:spacing w:before="60" w:after="60"/>
        <w:jc w:val="both"/>
      </w:pPr>
      <w:r>
        <w:t>Implémenter un Système d'Aide à la Décision (SAD) basé sur des règles zootechniques expertes localement sourcées (DGPA/MRAH Burkina Faso, ONG Thamani) pour les alertes sanitaires, reproductives et économiques.</w:t>
      </w:r>
    </w:p>
    <w:p w14:paraId="4C76F223" w14:textId="77777777" w:rsidR="006A55DC" w:rsidRDefault="00000000">
      <w:pPr>
        <w:pStyle w:val="Paragraphedeliste"/>
        <w:numPr>
          <w:ilvl w:val="0"/>
          <w:numId w:val="2"/>
        </w:numPr>
        <w:spacing w:before="60" w:after="60"/>
        <w:jc w:val="both"/>
      </w:pPr>
      <w:r>
        <w:lastRenderedPageBreak/>
        <w:t>Intégrer un assistant à base de modèles de langage (LLM) pour l'aide à la décision contextuelle, alimenté par la documentation zootechnique locale.</w:t>
      </w:r>
    </w:p>
    <w:p w14:paraId="0A34076E" w14:textId="77777777" w:rsidR="006A55DC" w:rsidRDefault="00000000">
      <w:pPr>
        <w:pStyle w:val="Paragraphedeliste"/>
        <w:numPr>
          <w:ilvl w:val="0"/>
          <w:numId w:val="2"/>
        </w:numPr>
        <w:spacing w:before="60" w:after="60"/>
        <w:jc w:val="both"/>
      </w:pPr>
      <w:r>
        <w:t>Concevoir un pipeline de collecte de données adapté aux outils déjà maîtrisés par les éleveurs (WhatsApp), constituant une base de données de prix en vue d'analyses futures par apprentissage automatique.</w:t>
      </w:r>
    </w:p>
    <w:p w14:paraId="090DAADB" w14:textId="77777777" w:rsidR="006A55DC" w:rsidRDefault="00000000">
      <w:pPr>
        <w:pStyle w:val="Paragraphedeliste"/>
        <w:numPr>
          <w:ilvl w:val="0"/>
          <w:numId w:val="2"/>
        </w:numPr>
        <w:spacing w:before="60" w:after="60"/>
        <w:jc w:val="both"/>
      </w:pPr>
      <w:r>
        <w:t>Mettre en œuvre un modèle de monétisation par abonnement adapté au contexte burkinabè, avec paiement via mobile money.</w:t>
      </w:r>
    </w:p>
    <w:p w14:paraId="6C604742" w14:textId="77777777" w:rsidR="006A55DC" w:rsidRDefault="00000000">
      <w:pPr>
        <w:pStyle w:val="Paragraphedeliste"/>
        <w:numPr>
          <w:ilvl w:val="0"/>
          <w:numId w:val="2"/>
        </w:numPr>
        <w:spacing w:before="60" w:after="60"/>
        <w:jc w:val="both"/>
      </w:pPr>
      <w:r>
        <w:t>Positionner la solution développée par rapport aux plateformes concurrentes identifiées en Afrique de l'Ouest.</w:t>
      </w:r>
    </w:p>
    <w:p w14:paraId="449A958E" w14:textId="77777777" w:rsidR="006A55DC" w:rsidRDefault="00000000">
      <w:pPr>
        <w:pStyle w:val="Titre2"/>
      </w:pPr>
      <w:r>
        <w:t>1.4 Organisation du Mémoire</w:t>
      </w:r>
    </w:p>
    <w:p w14:paraId="796835AF" w14:textId="77777777" w:rsidR="006A55DC" w:rsidRDefault="00000000">
      <w:pPr>
        <w:spacing w:before="120" w:after="120"/>
        <w:ind w:firstLine="720"/>
        <w:jc w:val="both"/>
      </w:pPr>
      <w:r>
        <w:t>Ce document est organisé en cinq chapitres. Le chapitre 1 pose le contexte, la problématique et les objectifs. Le chapitre 2 présente l'état de l'art. Le chapitre 3 expose la conception du système. Le chapitre 4 décrit l'implémentation. Le chapitre 5 présente les résultats, la discussion et les perspectives.</w:t>
      </w:r>
    </w:p>
    <w:p w14:paraId="2DE07742" w14:textId="77777777" w:rsidR="006A55DC" w:rsidRDefault="00000000">
      <w:r>
        <w:br w:type="page"/>
      </w:r>
    </w:p>
    <w:p w14:paraId="174BDC0C" w14:textId="77777777" w:rsidR="006A55DC" w:rsidRDefault="00000000">
      <w:pPr>
        <w:pStyle w:val="Titre1"/>
      </w:pPr>
      <w:r>
        <w:lastRenderedPageBreak/>
        <w:t>Chapitre 2 : État de l'Art</w:t>
      </w:r>
    </w:p>
    <w:p w14:paraId="54456D42" w14:textId="77777777" w:rsidR="006A55DC" w:rsidRDefault="00000000">
      <w:pPr>
        <w:pStyle w:val="Titre2"/>
      </w:pPr>
      <w:r>
        <w:t>2.1 L'Élevage Porcin en Afrique Subsaharienne et au Burkina Faso</w:t>
      </w:r>
    </w:p>
    <w:p w14:paraId="067D5FF6" w14:textId="77777777" w:rsidR="006A55DC" w:rsidRDefault="00000000">
      <w:pPr>
        <w:spacing w:before="120" w:after="120"/>
        <w:ind w:firstLine="720"/>
        <w:jc w:val="both"/>
      </w:pPr>
      <w:r>
        <w:t>La population porcine d'Afrique atteignait 44 millions de têtes en 2020, soit 4,6 % du cheptel porcin mondial (Adesehinwa et al., 2024 ; FAOSTAT, 2023). L'Afrique de l'Est concentre 38 % de ce cheptel, suivie de l'Afrique de l'Ouest (33 %), de l'Afrique centrale (17 %) et de l'Afrique australe (12 %). Entre 2001 et 2021, la population porcine africaine a connu une croissance de 101 %, portée par la croissance démographique et l'urbanisation qui génèrent une demande accrue en protéines animales abordables.</w:t>
      </w:r>
    </w:p>
    <w:p w14:paraId="12D711D3" w14:textId="77777777" w:rsidR="006A55DC" w:rsidRDefault="00000000">
      <w:pPr>
        <w:spacing w:before="120" w:after="120"/>
        <w:ind w:firstLine="720"/>
        <w:jc w:val="both"/>
      </w:pPr>
      <w:r>
        <w:t>Au Burkina Faso, FAOSTAT (2023), cité dans Adesehinwa et al. (2024), recense un cheptel de 2 693 443 têtes pour une production annuelle de 337 410 tonnes de viande en 2021. Ces données s'inscrivent dans la tendance continentale : la production porcine de l'Afrique de l'Ouest a progressé de 1 696 % entre 1961 et 2021, reflétant à la fois la croissance de la demande urbaine et la rapide prolificité de l'espèce. La FAO (2012) documente trois grands systèmes d'élevage pour le Burkina Faso : le système traditionnel extensif (divagation libre sans intrants), le système semi-intensif (petit troupeau en enclos, alimentation complémentaire) et le système intensif (bâtiments spécialisés, alimentation formulée). La quasi-totalité des éleveurs burkinabè opèrent dans les deux premiers systèmes.</w:t>
      </w:r>
    </w:p>
    <w:p w14:paraId="5FD37AA1" w14:textId="77777777" w:rsidR="006A55DC" w:rsidRDefault="00000000">
      <w:pPr>
        <w:spacing w:before="120" w:after="120"/>
        <w:ind w:firstLine="720"/>
        <w:jc w:val="both"/>
      </w:pPr>
      <w:r>
        <w:t>L'INSD (2023) confirme la dominance des petites exploitations familiales, où l'élevage porcin est souvent associé à la production végétale. Ces ménages disposent d'un accès très limité aux services de conseil zootechnique. Cette réalité est cohérente avec le constat d'Adesehinwa et al. (2024) à l'échelle continentale : plus de 70 % de la population porcine africaine est élevée dans des communautés rurales, souvent par de petits exploitants pratiquant un système de divagation libre.</w:t>
      </w:r>
    </w:p>
    <w:p w14:paraId="4F146E6B" w14:textId="77777777" w:rsidR="006A55DC" w:rsidRDefault="00000000">
      <w:pPr>
        <w:spacing w:before="120" w:after="120"/>
        <w:ind w:firstLine="720"/>
        <w:jc w:val="both"/>
      </w:pPr>
      <w:r>
        <w:t>La Peste Porcine Africaine (PPA) constitue la principale menace sanitaire pour la filière. Adesehinwa et al. (2024) rappellent que 25 % de la population porcine mondiale a été perdue lors de l'épizootie de 2018–2019, et que la maladie reste endémique en Afrique subsaharienne. En l'absence de vaccin commercialisé, la biosécurité et la surveillance sanitaire précoce demeurent les seuls remparts efficaces — justifiant pleinement l'intégration d'un module d'alerte sanitaire dans notre plateforme.</w:t>
      </w:r>
    </w:p>
    <w:p w14:paraId="5DDCE958" w14:textId="77777777" w:rsidR="006A55DC" w:rsidRDefault="00000000">
      <w:pPr>
        <w:spacing w:before="120" w:after="120"/>
        <w:ind w:firstLine="720"/>
        <w:jc w:val="both"/>
      </w:pPr>
      <w:r>
        <w:t>Parmi les défis structurels identifiés par Adesehinwa et al. (2024) dans la filière porcine africaine, plusieurs résonnent directement avec le contexte burkinabè : le coût élevé et instable des intrants alimentaires (notamment les ingrédients importés), l'accès limité aux races améliorées, l'insuffisance des services vétérinaires, et le manque de connaissances en formulation alimentaire chez les petits exploitants. Ce dernier point est particulièrement important : la même source souligne que de bons aliments commerciaux spécialisés pour les porcs sont rarement disponibles en Afrique subsaharienne, ce qui rend d'autant plus stratégique l'intégration de recommandations alimentaires basées sur les ressources locales dans notre plateforme.</w:t>
      </w:r>
    </w:p>
    <w:p w14:paraId="7EF0B313" w14:textId="77777777" w:rsidR="006A55DC" w:rsidRDefault="00000000">
      <w:pPr>
        <w:spacing w:before="120" w:after="120"/>
        <w:ind w:firstLine="720"/>
        <w:jc w:val="both"/>
      </w:pPr>
      <w:r>
        <w:t>Sur le plan économique, l'investissement dans la production porcine est documenté comme l'une des entreprises d'élevage présentant le meilleur rapport coût/bénéfice en Afrique (Adesehinwa et al., 2024 ; Mbuthia et al., 2015). La consommation de viande de porc par habitant en Afrique de l'Ouest s'établissait à 1,97 kg/an en 2021 — loin des 33,79 kg/an en Europe — indiquant un marché à fort potentiel de croissance à mesure que les revenus augmentent et que les barrières culturelles s'estompent.</w:t>
      </w:r>
    </w:p>
    <w:p w14:paraId="7312E57F" w14:textId="77777777" w:rsidR="006A55DC" w:rsidRDefault="00000000">
      <w:pPr>
        <w:pStyle w:val="Titre2"/>
      </w:pPr>
      <w:r>
        <w:lastRenderedPageBreak/>
        <w:t>2.2 Fracture Numérique et Adoption du Numérique en Milieu Rural Africain</w:t>
      </w:r>
    </w:p>
    <w:p w14:paraId="36FB343F" w14:textId="77777777" w:rsidR="006A55DC" w:rsidRDefault="00000000">
      <w:pPr>
        <w:spacing w:before="120" w:after="120"/>
        <w:ind w:firstLine="720"/>
        <w:jc w:val="both"/>
      </w:pPr>
      <w:r>
        <w:t>La fracture numérique en milieu rural africain constitue un déterminant majeur de la conception des solutions technologiques agricoles. Un Policy Brief relatif au Sénégal — pays dont le profil numérique rural est comparable au Burkina Faso — indique que si la téléphonie mobile atteint la quasi-totalité des ménages ruraux, seulement environ 20 % d'entre eux possèdent un smartphone. En zone pastorale et dans les zones d'élevage extensif, la couverture 3G/4G est souvent instable ou absente.</w:t>
      </w:r>
    </w:p>
    <w:p w14:paraId="5E101925" w14:textId="77777777" w:rsidR="006A55DC" w:rsidRDefault="00000000">
      <w:pPr>
        <w:spacing w:before="120" w:after="120"/>
        <w:ind w:firstLine="720"/>
        <w:jc w:val="both"/>
      </w:pPr>
      <w:r>
        <w:t>Cette réalité conditionne profondément les choix architecturaux d'une solution à vocation agricole. Elle explique la prépondérance de WhatsApp comme canal d'information agricole informel en Afrique de l'Ouest : des groupes de commerçants, d'éleveurs et de vétérinaires y échangent informations de prix et conseils techniques en temps réel. S'appuyer sur ces usages existants plutôt que d'imposer de nouveaux comportements constitue une stratégie d'adoption nettement plus réaliste (Policy Brief Fracture Numérique, s.d.). Le même Policy Brief souligne que les solutions les plus adoptées sont celles qui s'intègrent dans les outils déjà maîtrisés — SMS et messagerie instantanée en premier lieu.</w:t>
      </w:r>
    </w:p>
    <w:p w14:paraId="2AA18C7D" w14:textId="77777777" w:rsidR="006A55DC" w:rsidRDefault="00000000">
      <w:pPr>
        <w:pStyle w:val="Titre2"/>
      </w:pPr>
      <w:r>
        <w:t>2.3 L'Élevage de Précision (PLF) : Fondements Théoriques et Enjeux</w:t>
      </w:r>
    </w:p>
    <w:p w14:paraId="12976E68" w14:textId="77777777" w:rsidR="006A55DC" w:rsidRDefault="00000000">
      <w:pPr>
        <w:spacing w:before="120" w:after="120"/>
        <w:ind w:firstLine="720"/>
        <w:jc w:val="both"/>
      </w:pPr>
      <w:r>
        <w:t>Le concept d'élevage de précision (Precision Livestock Farming, PLF) désigne l'ensemble des approches technologiques visant à améliorer la gestion des exploitations animales par la collecte, le traitement et l'analyse de données zootechniques individualisées (Van Erp, 2016). L'objectif fondamental est de permettre à l'éleveur d'intervenir de manière ciblée sur chaque animal.</w:t>
      </w:r>
    </w:p>
    <w:p w14:paraId="56733AD6" w14:textId="77777777" w:rsidR="006A55DC" w:rsidRDefault="00000000">
      <w:pPr>
        <w:spacing w:before="120" w:after="120"/>
        <w:ind w:firstLine="720"/>
        <w:jc w:val="both"/>
      </w:pPr>
      <w:r>
        <w:t>Bernabucci et al. (2025), dans une revue systématique portant sur 710 publications scientifiques, montrent que si les implémentations les plus avancées reposent sur des dispositifs IoT coûteux, les principes fondamentaux du PLF — collecte structurée de données individuelles, calcul automatique d'indicateurs, génération d'alertes — peuvent être déployés progressivement, à travers des approches logicielles accessibles, y compris dans des contextes à ressources limitées. L'EPRS (2025) confirme que l'application des technologies intelligentes à l'élevage constitue un levier majeur pour améliorer la durabilité et la compétitivité des filières animales.</w:t>
      </w:r>
    </w:p>
    <w:p w14:paraId="1DA50048" w14:textId="77777777" w:rsidR="006A55DC" w:rsidRDefault="00000000">
      <w:pPr>
        <w:spacing w:before="120" w:after="120"/>
        <w:ind w:firstLine="720"/>
        <w:jc w:val="both"/>
      </w:pPr>
      <w:r>
        <w:t>C'est dans ce cadre que s'inscrit notre plateforme : en appliquant les principes du PLF via une saisie structurée des données, le calcul automatique d'indicateurs (ISSF, coûts de soins, alertes de mise-bas) et un système d'aide à la décision fondé sur des règles expertes. L'intégration de dispositifs IoT — thermomètres, capteurs d'ambiance, balances automatiques — est explicitement positionnée comme une perspective d'évolution future.</w:t>
      </w:r>
    </w:p>
    <w:p w14:paraId="5E088A25" w14:textId="77777777" w:rsidR="006A55DC" w:rsidRDefault="00000000">
      <w:pPr>
        <w:pStyle w:val="Titre2"/>
      </w:pPr>
      <w:r>
        <w:t>2.4 Systèmes d'Aide à la Décision en Élevage</w:t>
      </w:r>
    </w:p>
    <w:p w14:paraId="08A88BEE" w14:textId="77777777" w:rsidR="006A55DC" w:rsidRDefault="00000000">
      <w:pPr>
        <w:spacing w:before="120" w:after="120"/>
        <w:ind w:firstLine="720"/>
        <w:jc w:val="both"/>
      </w:pPr>
      <w:r>
        <w:t>Les Systèmes d'Aide à la Décision (SAD) en élevage porcin ont suscité un intérêt croissant. Baesa et Palaoag (2024) ont développé un système expert à base de connaissances pour la gestion productive des élevages porcins, aligné sur les ODD. Leur travail démontre la pertinence des systèmes à règles pour encoder les savoirs zootechniques dans des interfaces simples et transparentes, adaptées à des utilisateurs non experts.</w:t>
      </w:r>
    </w:p>
    <w:p w14:paraId="450CDECF" w14:textId="77777777" w:rsidR="006A55DC" w:rsidRDefault="00000000">
      <w:pPr>
        <w:spacing w:before="120" w:after="120"/>
        <w:ind w:firstLine="720"/>
        <w:jc w:val="both"/>
      </w:pPr>
      <w:r>
        <w:t xml:space="preserve">Cette approche par règles présente un avantage décisif dans notre contexte : la transparence des raisonnements. Contrairement aux modèles d'apprentissage automatique de type « boîte noire », un système à règles explicites permet à l'éleveur de comprendre les </w:t>
      </w:r>
      <w:r>
        <w:lastRenderedPageBreak/>
        <w:t>raisons précises d'une alerte ou d'une recommandation. Van Erp (2016) insiste par ailleurs sur la valeur des données longitudinales individuelles pour anticiper les périodes de vulnérabilité animale.</w:t>
      </w:r>
    </w:p>
    <w:p w14:paraId="19CC91A1" w14:textId="77777777" w:rsidR="006A55DC" w:rsidRDefault="00000000">
      <w:pPr>
        <w:spacing w:before="120" w:after="120"/>
        <w:ind w:firstLine="720"/>
        <w:jc w:val="both"/>
      </w:pPr>
      <w:r>
        <w:t>Notre SAD intègre ces principes. Le module de surveillance sanitaire agrège les données de soins par animal afin d'identifier les individus les plus coûteux. Il génère des bilans sanitaires individuels et calcule l'ISSF : un intervalle supérieur à 7 jours signale un allongement du cycle reproductif qui pénalise directement la productivité de l'exploitation.</w:t>
      </w:r>
    </w:p>
    <w:p w14:paraId="57FB8C94" w14:textId="77777777" w:rsidR="006A55DC" w:rsidRDefault="00000000">
      <w:pPr>
        <w:pStyle w:val="Titre2"/>
      </w:pPr>
      <w:r>
        <w:t>2.5 Prévision des Prix Agricoles par Apprentissage Automatique</w:t>
      </w:r>
    </w:p>
    <w:p w14:paraId="684CE15B" w14:textId="77777777" w:rsidR="006A55DC" w:rsidRDefault="00000000">
      <w:pPr>
        <w:spacing w:before="120" w:after="120"/>
        <w:ind w:firstLine="720"/>
        <w:jc w:val="both"/>
      </w:pPr>
      <w:r>
        <w:t>La prévision des prix agricoles constitue un enjeu stratégique pour les éleveurs burkinabè, dont les marges sont directement affectées par la volatilité des marchés locaux. Des travaux récents (Nature Scientific Reports, 2025) démontrent que les modèles d'ensemble — XGBoost et Random Forest — surpassent les approches ARIMA classiques pour la prévision des prix agricoles, en exploitant des variables historiques et agronomiques.</w:t>
      </w:r>
    </w:p>
    <w:p w14:paraId="686E46DC" w14:textId="77777777" w:rsidR="006A55DC" w:rsidRDefault="00000000">
      <w:pPr>
        <w:spacing w:before="120" w:after="120"/>
        <w:ind w:firstLine="720"/>
        <w:jc w:val="both"/>
      </w:pPr>
      <w:r>
        <w:t>C'est la lacune que le pipeline de collecte de données via WhatsApp, développé dans ce projet, vise à combler à terme. Ce pipeline permet de collecter de manière semi-automatique les informations de prix échangées dans les groupes de commerçants burkinabè, en les structurant pour alimenter des analyses ultérieures. L'exploitation de ces données par des modèles prédictifs est une perspective de recherche future, conditionnée à la constitution d'un historique de données suffisant.</w:t>
      </w:r>
    </w:p>
    <w:p w14:paraId="69A147DA" w14:textId="77777777" w:rsidR="006A55DC" w:rsidRDefault="00000000">
      <w:pPr>
        <w:pStyle w:val="Titre2"/>
      </w:pPr>
      <w:r>
        <w:t>2.6 Architecture SaaS Multi-Tenant : Concepts et Pertinence</w:t>
      </w:r>
    </w:p>
    <w:p w14:paraId="6B4E5F8B" w14:textId="77777777" w:rsidR="006A55DC" w:rsidRDefault="00000000">
      <w:pPr>
        <w:spacing w:before="120" w:after="120"/>
        <w:ind w:firstLine="720"/>
        <w:jc w:val="both"/>
      </w:pPr>
      <w:r>
        <w:t>Le modèle SaaS (Software as a Service) désigne une modalité de mise à disposition de logiciels accessible via navigateur web, sans installation locale. Yassin (2019) définit un SaaS comme une application web déployée dans une infrastructure infonuagique partagée entre plusieurs locataires (tenants), permettant de réduire les coûts d'infrastructure tout en offrant un accès à la demande selon un modèle de paiement à l'usage.</w:t>
      </w:r>
    </w:p>
    <w:p w14:paraId="38B4402C" w14:textId="77777777" w:rsidR="006A55DC" w:rsidRDefault="00000000">
      <w:pPr>
        <w:spacing w:before="120" w:after="120"/>
        <w:ind w:firstLine="720"/>
        <w:jc w:val="both"/>
      </w:pPr>
      <w:r>
        <w:t>La notion de multi-tenancy désigne la capacité d'une même instance applicative à servir simultanément plusieurs organisations clientes, en garantissant l'isolation de leurs données. Bezemer et Zaidman (2010) identifient trois stratégies d'isolation : base partagée avec schéma partagé, base partagée avec schémas séparés, ou base dédiée par tenant. Notre implémentation retient la stratégie à schémas séparés : chaque ferme dispose de son propre schéma PostgreSQL, distinct du schéma public hébergeant les données transversales.</w:t>
      </w:r>
    </w:p>
    <w:p w14:paraId="760EA861" w14:textId="77777777" w:rsidR="006A55DC" w:rsidRDefault="00000000">
      <w:pPr>
        <w:spacing w:before="120" w:after="120"/>
        <w:ind w:firstLine="720"/>
        <w:jc w:val="both"/>
      </w:pPr>
      <w:r>
        <w:t>Cette architecture est particulièrement adaptée au contexte burkinabè : elle supprime la nécessité d'une installation locale, mutualise les coûts d'infrastructure entre fermes, et simplifie la maintenance. Le modèle d'abonnement avec paiement mobile money rend la solution économiquement accessible aux petits éleveurs tout en finançant son développement continu.</w:t>
      </w:r>
    </w:p>
    <w:p w14:paraId="2B5E8D9F" w14:textId="77777777" w:rsidR="006A55DC" w:rsidRDefault="00000000">
      <w:pPr>
        <w:pStyle w:val="Titre2"/>
      </w:pPr>
      <w:r>
        <w:t>2.7 Analyse des Solutions Existantes en Afrique de l'Ouest</w:t>
      </w:r>
    </w:p>
    <w:p w14:paraId="656BD451" w14:textId="77777777" w:rsidR="006A55DC" w:rsidRDefault="00000000">
      <w:pPr>
        <w:pStyle w:val="Titre3"/>
      </w:pPr>
      <w:r>
        <w:t>2.7.1 AgriData IA (Bénin)</w:t>
      </w:r>
    </w:p>
    <w:p w14:paraId="74BD132B" w14:textId="77777777" w:rsidR="006A55DC" w:rsidRDefault="00000000">
      <w:pPr>
        <w:spacing w:before="120" w:after="120"/>
        <w:ind w:firstLine="720"/>
        <w:jc w:val="both"/>
      </w:pPr>
      <w:r>
        <w:t>AgriData IA est une plateforme béninoise proposant trois agents IA spécialisés : prix (17 000+ enregistrements pour 39 produits), production (189 produits dans 16 pays CEDEAO), et juridique (697 textes réglementaires). La prévision repose sur le modèle Prophet (Meta). Ses limites : aucun module de gestion individuelle d'élevage et aucune spécialisation porcine.</w:t>
      </w:r>
    </w:p>
    <w:p w14:paraId="14956078" w14:textId="77777777" w:rsidR="006A55DC" w:rsidRDefault="00000000">
      <w:pPr>
        <w:pStyle w:val="Titre3"/>
      </w:pPr>
      <w:r>
        <w:lastRenderedPageBreak/>
        <w:t>2.7.2 AgriHubX (Guinée)</w:t>
      </w:r>
    </w:p>
    <w:p w14:paraId="41A29B35" w14:textId="77777777" w:rsidR="006A55DC" w:rsidRDefault="00000000">
      <w:pPr>
        <w:spacing w:before="120" w:after="120"/>
        <w:ind w:firstLine="720"/>
        <w:jc w:val="both"/>
      </w:pPr>
      <w:r>
        <w:t>AgriHubX intègre huit modules IA dont un module de détection de maladies des cultures par CNN (~98 % de précision). Orientée exclusivement vers les cultures végétales, elle ne propose aucun module de gestion animale.</w:t>
      </w:r>
    </w:p>
    <w:p w14:paraId="16292243" w14:textId="77777777" w:rsidR="006A55DC" w:rsidRDefault="00000000">
      <w:pPr>
        <w:pStyle w:val="Titre3"/>
      </w:pPr>
      <w:r>
        <w:t>2.7.3 Farm Tracker / Livestock Manager (Pila Studio UG)</w:t>
      </w:r>
    </w:p>
    <w:p w14:paraId="43142E4B" w14:textId="77777777" w:rsidR="006A55DC" w:rsidRDefault="00000000">
      <w:pPr>
        <w:spacing w:before="120" w:after="120"/>
        <w:ind w:firstLine="720"/>
        <w:jc w:val="both"/>
      </w:pPr>
      <w:r>
        <w:t>Farm Tracker est une application mobile généraliste (10 000+ téléchargements, note 4,5/5) couvrant la gestion des lots, le suivi financier et les dossiers médicaux. Ses limites : aucune règle spécifique à l'élevage porcin burkinabè, absence de calcul d'ISSF, d'alertes de mise-bas, et de SAD zootechnique.</w:t>
      </w:r>
    </w:p>
    <w:p w14:paraId="7840D7CC" w14:textId="77777777" w:rsidR="006A55DC" w:rsidRDefault="00000000">
      <w:pPr>
        <w:pStyle w:val="Titre3"/>
      </w:pPr>
      <w:r>
        <w:t>2.7.4 Tableau Comparatif</w:t>
      </w:r>
    </w:p>
    <w:p w14:paraId="6AA3A42B" w14:textId="77777777" w:rsidR="006A55DC" w:rsidRDefault="006A55DC">
      <w:pPr>
        <w:spacing w:before="60" w:after="6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1500"/>
        <w:gridCol w:w="1500"/>
        <w:gridCol w:w="1500"/>
      </w:tblGrid>
      <w:tr w:rsidR="006A55DC" w14:paraId="7DB2A51E"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tcPr>
          <w:p w14:paraId="22DDF797" w14:textId="77777777" w:rsidR="006A55DC" w:rsidRDefault="00000000">
            <w:pPr>
              <w:jc w:val="center"/>
            </w:pPr>
            <w:r>
              <w:rPr>
                <w:b/>
                <w:bCs/>
                <w:sz w:val="20"/>
                <w:szCs w:val="20"/>
              </w:rPr>
              <w:t>Critère</w:t>
            </w:r>
          </w:p>
        </w:tc>
        <w:tc>
          <w:tcPr>
            <w:tcW w:w="2000" w:type="dxa"/>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tcPr>
          <w:p w14:paraId="387019E6" w14:textId="77777777" w:rsidR="006A55DC" w:rsidRDefault="00000000">
            <w:pPr>
              <w:jc w:val="center"/>
            </w:pPr>
            <w:r>
              <w:rPr>
                <w:b/>
                <w:bCs/>
                <w:sz w:val="20"/>
                <w:szCs w:val="20"/>
              </w:rPr>
              <w:t>Notre plateforme</w:t>
            </w:r>
          </w:p>
        </w:tc>
        <w:tc>
          <w:tcPr>
            <w:tcW w:w="1500" w:type="dxa"/>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tcPr>
          <w:p w14:paraId="3F9E4F51" w14:textId="77777777" w:rsidR="006A55DC" w:rsidRDefault="00000000">
            <w:pPr>
              <w:jc w:val="center"/>
            </w:pPr>
            <w:r>
              <w:rPr>
                <w:b/>
                <w:bCs/>
                <w:sz w:val="20"/>
                <w:szCs w:val="20"/>
              </w:rPr>
              <w:t>AgriData IA</w:t>
            </w:r>
          </w:p>
        </w:tc>
        <w:tc>
          <w:tcPr>
            <w:tcW w:w="1500" w:type="dxa"/>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tcPr>
          <w:p w14:paraId="3755AA32" w14:textId="77777777" w:rsidR="006A55DC" w:rsidRDefault="00000000">
            <w:pPr>
              <w:jc w:val="center"/>
            </w:pPr>
            <w:r>
              <w:rPr>
                <w:b/>
                <w:bCs/>
                <w:sz w:val="20"/>
                <w:szCs w:val="20"/>
              </w:rPr>
              <w:t>AgriHubX</w:t>
            </w:r>
          </w:p>
        </w:tc>
        <w:tc>
          <w:tcPr>
            <w:tcW w:w="1500" w:type="dxa"/>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tcPr>
          <w:p w14:paraId="6C6F1CD9" w14:textId="77777777" w:rsidR="006A55DC" w:rsidRDefault="00000000">
            <w:pPr>
              <w:jc w:val="center"/>
            </w:pPr>
            <w:r>
              <w:rPr>
                <w:b/>
                <w:bCs/>
                <w:sz w:val="20"/>
                <w:szCs w:val="20"/>
              </w:rPr>
              <w:t>Farm Tracker</w:t>
            </w:r>
          </w:p>
        </w:tc>
      </w:tr>
      <w:tr w:rsidR="006A55DC" w14:paraId="5C8820EF"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9756C81" w14:textId="77777777" w:rsidR="006A55DC" w:rsidRDefault="00000000">
            <w:r>
              <w:rPr>
                <w:sz w:val="18"/>
                <w:szCs w:val="18"/>
              </w:rPr>
              <w:t>Spécialisation porcine</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8D06D67" w14:textId="77777777" w:rsidR="006A55DC" w:rsidRDefault="00000000">
            <w:r>
              <w:rPr>
                <w:sz w:val="18"/>
                <w:szCs w:val="18"/>
              </w:rPr>
              <w:t>Oui (exclusive)</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F01C868" w14:textId="77777777" w:rsidR="006A55DC" w:rsidRDefault="00000000">
            <w:r>
              <w:rPr>
                <w:sz w:val="18"/>
                <w:szCs w:val="18"/>
              </w:rPr>
              <w:t>Non</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2721C43" w14:textId="77777777" w:rsidR="006A55DC" w:rsidRDefault="00000000">
            <w:r>
              <w:rPr>
                <w:sz w:val="18"/>
                <w:szCs w:val="18"/>
              </w:rPr>
              <w:t>Non</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B3386B" w14:textId="77777777" w:rsidR="006A55DC" w:rsidRDefault="00000000">
            <w:r>
              <w:rPr>
                <w:sz w:val="18"/>
                <w:szCs w:val="18"/>
              </w:rPr>
              <w:t>Partielle</w:t>
            </w:r>
          </w:p>
        </w:tc>
      </w:tr>
      <w:tr w:rsidR="006A55DC" w14:paraId="0CCCBF18"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D645646" w14:textId="77777777" w:rsidR="006A55DC" w:rsidRDefault="00000000">
            <w:r>
              <w:rPr>
                <w:sz w:val="18"/>
                <w:szCs w:val="18"/>
              </w:rPr>
              <w:t>Architecture SaaS multi-tenant</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D4EB962" w14:textId="77777777" w:rsidR="006A55DC" w:rsidRDefault="00000000">
            <w:r>
              <w:rPr>
                <w:sz w:val="18"/>
                <w:szCs w:val="18"/>
              </w:rPr>
              <w:t>Oui</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02ACB7B" w14:textId="77777777" w:rsidR="006A55DC" w:rsidRDefault="00000000">
            <w:r>
              <w:rPr>
                <w:sz w:val="18"/>
                <w:szCs w:val="18"/>
              </w:rPr>
              <w:t>Non précisé</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4CCF038" w14:textId="77777777" w:rsidR="006A55DC" w:rsidRDefault="00000000">
            <w:r>
              <w:rPr>
                <w:sz w:val="18"/>
                <w:szCs w:val="18"/>
              </w:rPr>
              <w:t>Non précisé</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5287992" w14:textId="77777777" w:rsidR="006A55DC" w:rsidRDefault="00000000">
            <w:r>
              <w:rPr>
                <w:sz w:val="18"/>
                <w:szCs w:val="18"/>
              </w:rPr>
              <w:t>Non</w:t>
            </w:r>
          </w:p>
        </w:tc>
      </w:tr>
      <w:tr w:rsidR="006A55DC" w14:paraId="00106494"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5CBA229" w14:textId="77777777" w:rsidR="006A55DC" w:rsidRDefault="00000000">
            <w:r>
              <w:rPr>
                <w:sz w:val="18"/>
                <w:szCs w:val="18"/>
              </w:rPr>
              <w:t>SAD / Alertes métier</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018B958" w14:textId="77777777" w:rsidR="006A55DC" w:rsidRDefault="00000000">
            <w:r>
              <w:rPr>
                <w:sz w:val="18"/>
                <w:szCs w:val="18"/>
              </w:rPr>
              <w:t>Oui (ISSF, soins, mise-bas)</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F8B0C29" w14:textId="77777777" w:rsidR="006A55DC" w:rsidRDefault="00000000">
            <w:r>
              <w:rPr>
                <w:sz w:val="18"/>
                <w:szCs w:val="18"/>
              </w:rPr>
              <w:t>Non</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45E344C" w14:textId="77777777" w:rsidR="006A55DC" w:rsidRDefault="00000000">
            <w:r>
              <w:rPr>
                <w:sz w:val="18"/>
                <w:szCs w:val="18"/>
              </w:rPr>
              <w:t>Non</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D091251" w14:textId="77777777" w:rsidR="006A55DC" w:rsidRDefault="00000000">
            <w:r>
              <w:rPr>
                <w:sz w:val="18"/>
                <w:szCs w:val="18"/>
              </w:rPr>
              <w:t>Non</w:t>
            </w:r>
          </w:p>
        </w:tc>
      </w:tr>
      <w:tr w:rsidR="006A55DC" w14:paraId="54A954B9"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FEF2942" w14:textId="77777777" w:rsidR="006A55DC" w:rsidRDefault="00000000">
            <w:r>
              <w:rPr>
                <w:sz w:val="18"/>
                <w:szCs w:val="18"/>
              </w:rPr>
              <w:t>Règles zootechniques locales (BF)</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50E71E3" w14:textId="77777777" w:rsidR="006A55DC" w:rsidRDefault="00000000">
            <w:r>
              <w:rPr>
                <w:sz w:val="18"/>
                <w:szCs w:val="18"/>
              </w:rPr>
              <w:t>Oui (DGPA, Thamani)</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633FFB3" w14:textId="77777777" w:rsidR="006A55DC" w:rsidRDefault="00000000">
            <w:r>
              <w:rPr>
                <w:sz w:val="18"/>
                <w:szCs w:val="18"/>
              </w:rPr>
              <w:t>Non</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3E575C8" w14:textId="77777777" w:rsidR="006A55DC" w:rsidRDefault="00000000">
            <w:r>
              <w:rPr>
                <w:sz w:val="18"/>
                <w:szCs w:val="18"/>
              </w:rPr>
              <w:t>Non</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4E447F5" w14:textId="77777777" w:rsidR="006A55DC" w:rsidRDefault="00000000">
            <w:r>
              <w:rPr>
                <w:sz w:val="18"/>
                <w:szCs w:val="18"/>
              </w:rPr>
              <w:t>Non</w:t>
            </w:r>
          </w:p>
        </w:tc>
      </w:tr>
      <w:tr w:rsidR="006A55DC" w14:paraId="358131AB"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F242B6C" w14:textId="77777777" w:rsidR="006A55DC" w:rsidRDefault="00000000">
            <w:r>
              <w:rPr>
                <w:sz w:val="18"/>
                <w:szCs w:val="18"/>
              </w:rPr>
              <w:t>Pipeline collecte informelle</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9A2D5DB" w14:textId="77777777" w:rsidR="006A55DC" w:rsidRDefault="00000000">
            <w:r>
              <w:rPr>
                <w:sz w:val="18"/>
                <w:szCs w:val="18"/>
              </w:rPr>
              <w:t>Oui (WhatsApp)</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6F3038E" w14:textId="77777777" w:rsidR="006A55DC" w:rsidRDefault="00000000">
            <w:r>
              <w:rPr>
                <w:sz w:val="18"/>
                <w:szCs w:val="18"/>
              </w:rPr>
              <w:t>Non</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3DC45FD" w14:textId="77777777" w:rsidR="006A55DC" w:rsidRDefault="00000000">
            <w:r>
              <w:rPr>
                <w:sz w:val="18"/>
                <w:szCs w:val="18"/>
              </w:rPr>
              <w:t>Non</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475C7DE" w14:textId="77777777" w:rsidR="006A55DC" w:rsidRDefault="00000000">
            <w:r>
              <w:rPr>
                <w:sz w:val="18"/>
                <w:szCs w:val="18"/>
              </w:rPr>
              <w:t>Non</w:t>
            </w:r>
          </w:p>
        </w:tc>
      </w:tr>
      <w:tr w:rsidR="006A55DC" w14:paraId="45B9B262"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85B326E" w14:textId="77777777" w:rsidR="006A55DC" w:rsidRDefault="00000000">
            <w:r>
              <w:rPr>
                <w:sz w:val="18"/>
                <w:szCs w:val="18"/>
              </w:rPr>
              <w:t>Abonnement / Monétisation mobile</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DAA807A" w14:textId="77777777" w:rsidR="006A55DC" w:rsidRDefault="00000000">
            <w:r>
              <w:rPr>
                <w:sz w:val="18"/>
                <w:szCs w:val="18"/>
              </w:rPr>
              <w:t>Oui (4 plans)</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0F8BFB" w14:textId="77777777" w:rsidR="006A55DC" w:rsidRDefault="00000000">
            <w:r>
              <w:rPr>
                <w:sz w:val="18"/>
                <w:szCs w:val="18"/>
              </w:rPr>
              <w:t>Oui</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C79F6D9" w14:textId="77777777" w:rsidR="006A55DC" w:rsidRDefault="00000000">
            <w:r>
              <w:rPr>
                <w:sz w:val="18"/>
                <w:szCs w:val="18"/>
              </w:rPr>
              <w:t>Non précisé</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DFFB46E" w14:textId="77777777" w:rsidR="006A55DC" w:rsidRDefault="00000000">
            <w:r>
              <w:rPr>
                <w:sz w:val="18"/>
                <w:szCs w:val="18"/>
              </w:rPr>
              <w:t>Freemium</w:t>
            </w:r>
          </w:p>
        </w:tc>
      </w:tr>
      <w:tr w:rsidR="006A55DC" w14:paraId="2C676DFA"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FFD2BF2" w14:textId="77777777" w:rsidR="006A55DC" w:rsidRDefault="00000000">
            <w:r>
              <w:rPr>
                <w:sz w:val="18"/>
                <w:szCs w:val="18"/>
              </w:rPr>
              <w:t>Interface mobile-first</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E8BD4A8" w14:textId="77777777" w:rsidR="006A55DC" w:rsidRDefault="00000000">
            <w:r>
              <w:rPr>
                <w:sz w:val="18"/>
                <w:szCs w:val="18"/>
              </w:rPr>
              <w:t>Oui</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56A0088" w14:textId="77777777" w:rsidR="006A55DC" w:rsidRDefault="00000000">
            <w:r>
              <w:rPr>
                <w:sz w:val="18"/>
                <w:szCs w:val="18"/>
              </w:rPr>
              <w:t>Partielle</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EA33089" w14:textId="77777777" w:rsidR="006A55DC" w:rsidRDefault="00000000">
            <w:r>
              <w:rPr>
                <w:sz w:val="18"/>
                <w:szCs w:val="18"/>
              </w:rPr>
              <w:t>Partielle</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589A40E" w14:textId="77777777" w:rsidR="006A55DC" w:rsidRDefault="00000000">
            <w:r>
              <w:rPr>
                <w:sz w:val="18"/>
                <w:szCs w:val="18"/>
              </w:rPr>
              <w:t>Oui</w:t>
            </w:r>
          </w:p>
        </w:tc>
      </w:tr>
    </w:tbl>
    <w:p w14:paraId="16F2CED6" w14:textId="77777777" w:rsidR="006A55DC" w:rsidRDefault="006A55DC">
      <w:pPr>
        <w:spacing w:before="60" w:after="60"/>
      </w:pPr>
    </w:p>
    <w:p w14:paraId="7BF5B85D" w14:textId="77777777" w:rsidR="006A55DC" w:rsidRDefault="00000000">
      <w:pPr>
        <w:pStyle w:val="Titre2"/>
      </w:pPr>
      <w:r>
        <w:t>2.8 Positionnement Scientifique</w:t>
      </w:r>
    </w:p>
    <w:p w14:paraId="1CAEB2B6" w14:textId="77777777" w:rsidR="006A55DC" w:rsidRDefault="00000000">
      <w:pPr>
        <w:spacing w:before="120" w:after="120"/>
        <w:ind w:firstLine="720"/>
        <w:jc w:val="both"/>
      </w:pPr>
      <w:r>
        <w:t>L'analyse comparative confirme qu'aucune solution connue ne propose une gestion individualisée et intégrée de l'élevage porcin en Afrique de l'Ouest, calibrée sur les référentiels locaux. Notre projet se positionne à l'intersection de quatre champs : (i) les principes PLF adaptés aux contextes contraints (Bernabucci et al., 2025 ; Van Erp, 2016), (ii) les systèmes experts en élevage porcin (Baesa &amp; Palaoag, 2024), (iii) l'architecture SaaS multi-tenant (Yassin, 2019 ; Bezemer &amp; Zaidman, 2010), et (iv) les référentiels zootechniques locaux (DGPA/MRAH, ONG Thamani).</w:t>
      </w:r>
    </w:p>
    <w:p w14:paraId="750AAB62" w14:textId="77777777" w:rsidR="006A55DC" w:rsidRDefault="00000000">
      <w:pPr>
        <w:spacing w:before="120" w:after="120"/>
        <w:ind w:firstLine="720"/>
        <w:jc w:val="both"/>
      </w:pPr>
      <w:r>
        <w:t>La production porcine burkinabè — 2 693 443 têtes et 337 410 tonnes de viande en 2021 (FAOSTAT, 2023) — représente une filière en croissance dont la productivité est limitée par le manque d'outils de gestion adaptés. Les données d'Adesehinwa et al. (2024) et les projections démographiques (2,5 milliards d'Africains en 2050) confirment que cet outil répond à un besoin structurel et durable.</w:t>
      </w:r>
    </w:p>
    <w:p w14:paraId="355DC271" w14:textId="77777777" w:rsidR="006A55DC" w:rsidRDefault="00000000">
      <w:r>
        <w:br w:type="page"/>
      </w:r>
    </w:p>
    <w:p w14:paraId="68F93BD8" w14:textId="77777777" w:rsidR="006A55DC" w:rsidRDefault="00000000">
      <w:pPr>
        <w:pStyle w:val="Titre1"/>
      </w:pPr>
      <w:r>
        <w:lastRenderedPageBreak/>
        <w:t>Chapitre 3 : Conception du Système</w:t>
      </w:r>
    </w:p>
    <w:p w14:paraId="3C79C2A8" w14:textId="77777777" w:rsidR="006A55DC" w:rsidRDefault="00000000">
      <w:pPr>
        <w:pStyle w:val="Titre2"/>
      </w:pPr>
      <w:r>
        <w:t>3.1 Vision Générale de la Plateforme</w:t>
      </w:r>
    </w:p>
    <w:p w14:paraId="262D842B" w14:textId="77777777" w:rsidR="006A55DC" w:rsidRDefault="00000000">
      <w:pPr>
        <w:spacing w:before="120" w:after="120"/>
        <w:ind w:firstLine="720"/>
        <w:jc w:val="both"/>
      </w:pPr>
      <w:r>
        <w:t>La plateforme se compose de deux couches complémentaires. La première est le backend de gestion (pig farm management system) : suivi individuel des animaux, alimentation, reproduction, santé et finances, exposés via une API REST sécurisée par JWT. La deuxième est le pipeline de collecte de données via WhatsApp, permettant la remontée d'informations de prix depuis des éleveurs utilisant exclusivement un téléphone basique. Ces deux couches partagent la même infrastructure PostgreSQL multi-tenant.</w:t>
      </w:r>
    </w:p>
    <w:p w14:paraId="3B3436FE" w14:textId="77777777" w:rsidR="006A55DC" w:rsidRDefault="00000000">
      <w:pPr>
        <w:pStyle w:val="Titre2"/>
      </w:pPr>
      <w:r>
        <w:t>3.2 Architecture Logicielle Globale</w:t>
      </w:r>
    </w:p>
    <w:p w14:paraId="5D2E9227" w14:textId="6C7C8205" w:rsidR="006A55DC" w:rsidRDefault="00000000">
      <w:pPr>
        <w:spacing w:before="120" w:after="120"/>
        <w:ind w:firstLine="720"/>
        <w:jc w:val="both"/>
      </w:pPr>
      <w:r>
        <w:t>L'architecture suit le patron MVC avec une séparation stricte des responsabilités. Les Controllers exposent les endpoints REST. Les Services implémentent la logique métier. Les Repositories gèrent l'accès aux données via Spring Data JPA. Les DTOs assurent la sérialisation contrôlée. La sécurité transversale est assurée par Spring Security avec JWT et des annotations @PreAuthorize sur chaque endpoint.</w:t>
      </w:r>
      <w:r w:rsidR="008F1112">
        <w:t xml:space="preserve"> </w:t>
      </w:r>
    </w:p>
    <w:p w14:paraId="0F1D9C74" w14:textId="7E07B6F9" w:rsidR="008F1112" w:rsidRDefault="008F1112">
      <w:pPr>
        <w:spacing w:before="120" w:after="120"/>
        <w:ind w:firstLine="720"/>
        <w:jc w:val="both"/>
      </w:pPr>
      <w:r>
        <w:rPr>
          <w:noProof/>
        </w:rPr>
        <w:drawing>
          <wp:inline distT="0" distB="0" distL="0" distR="0" wp14:anchorId="09036E70" wp14:editId="4725DE03">
            <wp:extent cx="5565775" cy="3867324"/>
            <wp:effectExtent l="0" t="0" r="0" b="6350"/>
            <wp:docPr id="6333328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332874" name="Image 633332874"/>
                    <pic:cNvPicPr/>
                  </pic:nvPicPr>
                  <pic:blipFill>
                    <a:blip r:embed="rId8">
                      <a:extLst>
                        <a:ext uri="{28A0092B-C50C-407E-A947-70E740481C1C}">
                          <a14:useLocalDpi xmlns:a14="http://schemas.microsoft.com/office/drawing/2010/main" val="0"/>
                        </a:ext>
                      </a:extLst>
                    </a:blip>
                    <a:stretch>
                      <a:fillRect/>
                    </a:stretch>
                  </pic:blipFill>
                  <pic:spPr>
                    <a:xfrm>
                      <a:off x="0" y="0"/>
                      <a:ext cx="5565775" cy="3867324"/>
                    </a:xfrm>
                    <a:prstGeom prst="rect">
                      <a:avLst/>
                    </a:prstGeom>
                  </pic:spPr>
                </pic:pic>
              </a:graphicData>
            </a:graphic>
          </wp:inline>
        </w:drawing>
      </w:r>
    </w:p>
    <w:p w14:paraId="5EA9C0E0" w14:textId="77777777" w:rsidR="006A55DC" w:rsidRDefault="00000000">
      <w:pPr>
        <w:pStyle w:val="Titre3"/>
      </w:pPr>
      <w:r>
        <w:t>3.2.1 Architecture SaaS Multi-Tenant : Implémentation Technique</w:t>
      </w:r>
    </w:p>
    <w:p w14:paraId="315941FE" w14:textId="77777777" w:rsidR="006A55DC" w:rsidRDefault="00000000">
      <w:pPr>
        <w:spacing w:before="120" w:after="120"/>
        <w:ind w:firstLine="720"/>
        <w:jc w:val="both"/>
      </w:pPr>
      <w:r>
        <w:t>La plateforme est architecturée selon le modèle SaaS multi-tenant avec isolation par schémas séparés (Bezemer &amp; Zaidman, 2010). Chaque exploitation porcine (tenant) dispose de son propre schéma PostgreSQL. La résolution dynamique du tenant est assurée par un TenantContext thread-local, un CurrentTenantIdentifierResolver Hibernate et un MultiTenantConnectionProvider. Ce mécanisme est entièrement transparent pour les couches métier.</w:t>
      </w:r>
    </w:p>
    <w:p w14:paraId="48458756" w14:textId="77777777" w:rsidR="006A55DC" w:rsidRDefault="00000000">
      <w:pPr>
        <w:spacing w:before="120" w:after="120"/>
        <w:ind w:firstLine="720"/>
        <w:jc w:val="both"/>
      </w:pPr>
      <w:r>
        <w:lastRenderedPageBreak/>
        <w:t>À l'inscription d'une nouvelle ferme, un SchemaCreationService crée automatiquement le schéma tenant et initialise l'ensemble des tables. Un Super-Admin central gère les tenants, les plans d'abonnement et leurs limites d'utilisation (nombre maximum d'animaux, d'utilisateurs, de bâtiments par plan).</w:t>
      </w:r>
    </w:p>
    <w:p w14:paraId="2E65D4D2" w14:textId="77777777" w:rsidR="006A55DC" w:rsidRDefault="00000000">
      <w:pPr>
        <w:pStyle w:val="Titre2"/>
      </w:pPr>
      <w:r>
        <w:t>3.3 Pipeline de Collecte de Données via WhatsApp</w:t>
      </w:r>
    </w:p>
    <w:p w14:paraId="13A24952" w14:textId="77777777" w:rsidR="006A55DC" w:rsidRDefault="00000000">
      <w:pPr>
        <w:spacing w:before="120" w:after="120"/>
        <w:ind w:firstLine="720"/>
        <w:jc w:val="both"/>
      </w:pPr>
      <w:r>
        <w:t>Le pipeline WhatsApp est adapté à la réalité de la fracture numérique burkinabè. Il fonctionne en quatre étapes : (1) un webhook (Zapwize) intercepte les messages entrants, (2) les messages audio sont transcrits par Whisper (OpenAI), (3) les transcriptions sont envoyées à Gemini (Google) pour en extraire des entités structurées (prix, produit, marché, date, localité), (4) les données sont insérées en base PostgreSQL. La constitution progressive d'un historique de prix constituera la base de données pour de futures analyses par ML.</w:t>
      </w:r>
    </w:p>
    <w:p w14:paraId="53E377C6" w14:textId="77777777" w:rsidR="006A55DC" w:rsidRDefault="00000000">
      <w:pPr>
        <w:pStyle w:val="Titre2"/>
      </w:pPr>
      <w:r>
        <w:t>3.4 Modules Fonctionnels du Backend</w:t>
      </w:r>
    </w:p>
    <w:p w14:paraId="5876CE7B" w14:textId="77777777" w:rsidR="006A55DC" w:rsidRDefault="00000000">
      <w:pPr>
        <w:spacing w:before="120" w:after="120"/>
        <w:ind w:firstLine="720"/>
        <w:jc w:val="both"/>
      </w:pPr>
      <w:r>
        <w:t>Le backend expose plus de 20 contrôleurs REST couvrant : gestion des animaux (fiches individuelles, suivi pondéral, photos), alimentation (rations journalières, recommandations par stade, calcul de coût), reproduction (saillies, mises-bas, alertes, ISSF), santé/SAD (bilan individuel, top consommateurs), ventes et facturation PDF, synthèse financière, gestion des utilisateurs, et gestion des abonnements.</w:t>
      </w:r>
    </w:p>
    <w:p w14:paraId="60DC1F92" w14:textId="77777777" w:rsidR="006A55DC" w:rsidRDefault="00000000">
      <w:pPr>
        <w:pStyle w:val="Titre2"/>
      </w:pPr>
      <w:r>
        <w:t>3.5 Modélisation des Données</w:t>
      </w:r>
    </w:p>
    <w:p w14:paraId="77B40A8A" w14:textId="77777777" w:rsidR="006A55DC" w:rsidRDefault="00000000">
      <w:pPr>
        <w:spacing w:before="120" w:after="120"/>
        <w:ind w:firstLine="720"/>
        <w:jc w:val="both"/>
      </w:pPr>
      <w:r>
        <w:t>La base de données est centrée sur l'entité Animal, pivot du modèle. L'entité Reproduction enregistre les événements reproductifs et sert de base au calcul de l'ISSF. L'entité SoinAnimal capture les prestations vétérinaires avec coût et motif. L'entité Alimentation enregistre les rations avec composition et coût total. Dans l'architecture multi-tenant, chaque schéma tenant dispose d'une copie complète de ce modèle.</w:t>
      </w:r>
    </w:p>
    <w:p w14:paraId="51053C8E" w14:textId="77777777" w:rsidR="006A55DC" w:rsidRDefault="00000000">
      <w:pPr>
        <w:pStyle w:val="Titre2"/>
      </w:pPr>
      <w:r>
        <w:t>3.6 Exigences Non-Fonctionnelles</w:t>
      </w:r>
    </w:p>
    <w:p w14:paraId="50F0E721" w14:textId="77777777" w:rsidR="006A55DC" w:rsidRDefault="00000000">
      <w:pPr>
        <w:spacing w:before="120" w:after="120"/>
        <w:ind w:firstLine="720"/>
        <w:jc w:val="both"/>
      </w:pPr>
      <w:r>
        <w:t>Performance en connectivité dégradée (payloads légères), sécurité (JWT + permissions granulaires), portabilité (JAR déployable sur tout VPS Linux), maintenabilité (séparation stricte en couches), et conformité locale (règles zootechniques sourcées sur des documents officiels burkinabè).</w:t>
      </w:r>
    </w:p>
    <w:p w14:paraId="44DFCB22" w14:textId="77777777" w:rsidR="006A55DC" w:rsidRDefault="00000000">
      <w:r>
        <w:br w:type="page"/>
      </w:r>
    </w:p>
    <w:p w14:paraId="5880B1A4" w14:textId="77777777" w:rsidR="006A55DC" w:rsidRDefault="00000000">
      <w:pPr>
        <w:pStyle w:val="Titre1"/>
      </w:pPr>
      <w:r>
        <w:lastRenderedPageBreak/>
        <w:t>Chapitre 4 : Implémentation</w:t>
      </w:r>
    </w:p>
    <w:p w14:paraId="5C2BB5B2" w14:textId="77777777" w:rsidR="006A55DC" w:rsidRDefault="00000000">
      <w:pPr>
        <w:pStyle w:val="Titre2"/>
      </w:pPr>
      <w:r>
        <w:t>4.1 Stack Technologique</w:t>
      </w:r>
    </w:p>
    <w:p w14:paraId="13E654B2" w14:textId="77777777" w:rsidR="006A55DC" w:rsidRDefault="006A55DC">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4500"/>
      </w:tblGrid>
      <w:tr w:rsidR="006A55DC" w14:paraId="5D4DA6F5"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tcPr>
          <w:p w14:paraId="064BDAC7" w14:textId="77777777" w:rsidR="006A55DC" w:rsidRDefault="00000000">
            <w:pPr>
              <w:jc w:val="center"/>
            </w:pPr>
            <w:r>
              <w:rPr>
                <w:b/>
                <w:bCs/>
                <w:sz w:val="20"/>
                <w:szCs w:val="20"/>
              </w:rPr>
              <w:t>Composant</w:t>
            </w:r>
          </w:p>
        </w:tc>
        <w:tc>
          <w:tcPr>
            <w:tcW w:w="2500" w:type="dxa"/>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tcPr>
          <w:p w14:paraId="2714BAEB" w14:textId="77777777" w:rsidR="006A55DC" w:rsidRDefault="00000000">
            <w:pPr>
              <w:jc w:val="center"/>
            </w:pPr>
            <w:r>
              <w:rPr>
                <w:b/>
                <w:bCs/>
                <w:sz w:val="20"/>
                <w:szCs w:val="20"/>
              </w:rPr>
              <w:t>Technologie</w:t>
            </w:r>
          </w:p>
        </w:tc>
        <w:tc>
          <w:tcPr>
            <w:tcW w:w="4500" w:type="dxa"/>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tcPr>
          <w:p w14:paraId="61538CCE" w14:textId="77777777" w:rsidR="006A55DC" w:rsidRDefault="00000000">
            <w:pPr>
              <w:jc w:val="center"/>
            </w:pPr>
            <w:r>
              <w:rPr>
                <w:b/>
                <w:bCs/>
                <w:sz w:val="20"/>
                <w:szCs w:val="20"/>
              </w:rPr>
              <w:t>Justification</w:t>
            </w:r>
          </w:p>
        </w:tc>
      </w:tr>
      <w:tr w:rsidR="006A55DC" w14:paraId="78E990F8"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70AE2F8" w14:textId="77777777" w:rsidR="006A55DC" w:rsidRDefault="00000000">
            <w:r>
              <w:rPr>
                <w:sz w:val="18"/>
                <w:szCs w:val="18"/>
              </w:rPr>
              <w:t>Backend</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7B1EF07" w14:textId="77777777" w:rsidR="006A55DC" w:rsidRDefault="00000000">
            <w:r>
              <w:rPr>
                <w:sz w:val="18"/>
                <w:szCs w:val="18"/>
              </w:rPr>
              <w:t>Kotlin / Spring Boot 3.x</w:t>
            </w:r>
          </w:p>
        </w:tc>
        <w:tc>
          <w:tcPr>
            <w:tcW w:w="4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02BBC75" w14:textId="77777777" w:rsidR="006A55DC" w:rsidRDefault="00000000">
            <w:r>
              <w:rPr>
                <w:sz w:val="18"/>
                <w:szCs w:val="18"/>
              </w:rPr>
              <w:t>Robustesse, typage fort, écosystème riche</w:t>
            </w:r>
          </w:p>
        </w:tc>
      </w:tr>
      <w:tr w:rsidR="006A55DC" w14:paraId="6CF743E5"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36B6A56" w14:textId="77777777" w:rsidR="006A55DC" w:rsidRDefault="00000000">
            <w:r>
              <w:rPr>
                <w:sz w:val="18"/>
                <w:szCs w:val="18"/>
              </w:rPr>
              <w:t>Base de données</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ADB42D4" w14:textId="77777777" w:rsidR="006A55DC" w:rsidRDefault="00000000">
            <w:r>
              <w:rPr>
                <w:sz w:val="18"/>
                <w:szCs w:val="18"/>
              </w:rPr>
              <w:t>PostgreSQL</w:t>
            </w:r>
          </w:p>
        </w:tc>
        <w:tc>
          <w:tcPr>
            <w:tcW w:w="4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89F93D7" w14:textId="77777777" w:rsidR="006A55DC" w:rsidRDefault="00000000">
            <w:r>
              <w:rPr>
                <w:sz w:val="18"/>
                <w:szCs w:val="18"/>
              </w:rPr>
              <w:t>Support natif des schémas multiples (multi-tenant)</w:t>
            </w:r>
          </w:p>
        </w:tc>
      </w:tr>
      <w:tr w:rsidR="006A55DC" w14:paraId="1A73C906"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4F48926" w14:textId="77777777" w:rsidR="006A55DC" w:rsidRDefault="00000000">
            <w:r>
              <w:rPr>
                <w:sz w:val="18"/>
                <w:szCs w:val="18"/>
              </w:rPr>
              <w:t>Sécurité</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43E524C" w14:textId="77777777" w:rsidR="006A55DC" w:rsidRDefault="00000000">
            <w:r>
              <w:rPr>
                <w:sz w:val="18"/>
                <w:szCs w:val="18"/>
              </w:rPr>
              <w:t>Spring Security + JWT (jjwt 0.11.5)</w:t>
            </w:r>
          </w:p>
        </w:tc>
        <w:tc>
          <w:tcPr>
            <w:tcW w:w="4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5E7D8C5" w14:textId="77777777" w:rsidR="006A55DC" w:rsidRDefault="00000000">
            <w:r>
              <w:rPr>
                <w:sz w:val="18"/>
                <w:szCs w:val="18"/>
              </w:rPr>
              <w:t>Authentification stateless, permissions granulaires</w:t>
            </w:r>
          </w:p>
        </w:tc>
      </w:tr>
      <w:tr w:rsidR="006A55DC" w14:paraId="3CF07BC2"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6F39B48" w14:textId="77777777" w:rsidR="006A55DC" w:rsidRDefault="00000000">
            <w:r>
              <w:rPr>
                <w:sz w:val="18"/>
                <w:szCs w:val="18"/>
              </w:rPr>
              <w:t>ORM</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A990A86" w14:textId="77777777" w:rsidR="006A55DC" w:rsidRDefault="00000000">
            <w:r>
              <w:rPr>
                <w:sz w:val="18"/>
                <w:szCs w:val="18"/>
              </w:rPr>
              <w:t>Hibernate / Spring Data JPA</w:t>
            </w:r>
          </w:p>
        </w:tc>
        <w:tc>
          <w:tcPr>
            <w:tcW w:w="4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C3589B3" w14:textId="77777777" w:rsidR="006A55DC" w:rsidRDefault="00000000">
            <w:r>
              <w:rPr>
                <w:sz w:val="18"/>
                <w:szCs w:val="18"/>
              </w:rPr>
              <w:t>Gestion transparente du multi-tenant</w:t>
            </w:r>
          </w:p>
        </w:tc>
      </w:tr>
      <w:tr w:rsidR="006A55DC" w14:paraId="04238386"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0C8923F" w14:textId="77777777" w:rsidR="006A55DC" w:rsidRDefault="00000000">
            <w:r>
              <w:rPr>
                <w:sz w:val="18"/>
                <w:szCs w:val="18"/>
              </w:rPr>
              <w:t>Frontend Web</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99F73BF" w14:textId="77777777" w:rsidR="006A55DC" w:rsidRDefault="00000000">
            <w:r>
              <w:rPr>
                <w:sz w:val="18"/>
                <w:szCs w:val="18"/>
              </w:rPr>
              <w:t>Angular 17+ (standalone components)</w:t>
            </w:r>
          </w:p>
        </w:tc>
        <w:tc>
          <w:tcPr>
            <w:tcW w:w="4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5283FC6" w14:textId="77777777" w:rsidR="006A55DC" w:rsidRDefault="00000000">
            <w:r>
              <w:rPr>
                <w:sz w:val="18"/>
                <w:szCs w:val="18"/>
              </w:rPr>
              <w:t>Interface réactive, mobile-first</w:t>
            </w:r>
          </w:p>
        </w:tc>
      </w:tr>
      <w:tr w:rsidR="006A55DC" w14:paraId="71D07142"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1795111" w14:textId="77777777" w:rsidR="006A55DC" w:rsidRDefault="00000000">
            <w:r>
              <w:rPr>
                <w:sz w:val="18"/>
                <w:szCs w:val="18"/>
              </w:rPr>
              <w:t>Application Mobile</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627EB85" w14:textId="77777777" w:rsidR="006A55DC" w:rsidRDefault="00000000">
            <w:r>
              <w:rPr>
                <w:sz w:val="18"/>
                <w:szCs w:val="18"/>
              </w:rPr>
              <w:t>Flutter (Dart)</w:t>
            </w:r>
          </w:p>
        </w:tc>
        <w:tc>
          <w:tcPr>
            <w:tcW w:w="4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48307D6" w14:textId="77777777" w:rsidR="006A55DC" w:rsidRDefault="00000000">
            <w:r>
              <w:rPr>
                <w:sz w:val="18"/>
                <w:szCs w:val="18"/>
              </w:rPr>
              <w:t>Cross-platform iOS/Android</w:t>
            </w:r>
          </w:p>
        </w:tc>
      </w:tr>
      <w:tr w:rsidR="006A55DC" w14:paraId="1805C009"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495ECFB" w14:textId="77777777" w:rsidR="006A55DC" w:rsidRDefault="00000000">
            <w:r>
              <w:rPr>
                <w:sz w:val="18"/>
                <w:szCs w:val="18"/>
              </w:rPr>
              <w:t>Génération PDF</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6B14AB3" w14:textId="77777777" w:rsidR="006A55DC" w:rsidRDefault="00000000">
            <w:r>
              <w:rPr>
                <w:sz w:val="18"/>
                <w:szCs w:val="18"/>
              </w:rPr>
              <w:t>iText7</w:t>
            </w:r>
          </w:p>
        </w:tc>
        <w:tc>
          <w:tcPr>
            <w:tcW w:w="4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A8B95FC" w14:textId="77777777" w:rsidR="006A55DC" w:rsidRDefault="00000000">
            <w:r>
              <w:rPr>
                <w:sz w:val="18"/>
                <w:szCs w:val="18"/>
              </w:rPr>
              <w:t>Facturation automatique</w:t>
            </w:r>
          </w:p>
        </w:tc>
      </w:tr>
      <w:tr w:rsidR="006A55DC" w14:paraId="645114A3"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FA4EACB" w14:textId="77777777" w:rsidR="006A55DC" w:rsidRDefault="00000000">
            <w:r>
              <w:rPr>
                <w:sz w:val="18"/>
                <w:szCs w:val="18"/>
              </w:rPr>
              <w:t>Déploiement</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4D03932" w14:textId="77777777" w:rsidR="006A55DC" w:rsidRDefault="00000000">
            <w:r>
              <w:rPr>
                <w:sz w:val="18"/>
                <w:szCs w:val="18"/>
              </w:rPr>
              <w:t>Render.com (cloud)</w:t>
            </w:r>
          </w:p>
        </w:tc>
        <w:tc>
          <w:tcPr>
            <w:tcW w:w="4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32F2FFF" w14:textId="77777777" w:rsidR="006A55DC" w:rsidRDefault="00000000">
            <w:r>
              <w:rPr>
                <w:sz w:val="18"/>
                <w:szCs w:val="18"/>
              </w:rPr>
              <w:t>Hébergement accessible, déploiement continu</w:t>
            </w:r>
          </w:p>
        </w:tc>
      </w:tr>
      <w:tr w:rsidR="006A55DC" w14:paraId="27B1C83D"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591AA9A" w14:textId="77777777" w:rsidR="006A55DC" w:rsidRDefault="00000000">
            <w:r>
              <w:rPr>
                <w:sz w:val="18"/>
                <w:szCs w:val="18"/>
              </w:rPr>
              <w:t>Paiement</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04A9351" w14:textId="77777777" w:rsidR="006A55DC" w:rsidRDefault="00000000">
            <w:r>
              <w:rPr>
                <w:sz w:val="18"/>
                <w:szCs w:val="18"/>
              </w:rPr>
              <w:t>c0de4hope API (OTP mobile money)</w:t>
            </w:r>
          </w:p>
        </w:tc>
        <w:tc>
          <w:tcPr>
            <w:tcW w:w="4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80234D7" w14:textId="77777777" w:rsidR="006A55DC" w:rsidRDefault="00000000">
            <w:r>
              <w:rPr>
                <w:sz w:val="18"/>
                <w:szCs w:val="18"/>
              </w:rPr>
              <w:t>Intégration paiement local Orange Money</w:t>
            </w:r>
          </w:p>
        </w:tc>
      </w:tr>
    </w:tbl>
    <w:p w14:paraId="6A5BA579" w14:textId="77777777" w:rsidR="006A55DC" w:rsidRDefault="006A55DC">
      <w:pPr>
        <w:spacing w:before="60" w:after="60"/>
      </w:pPr>
    </w:p>
    <w:p w14:paraId="58E80093" w14:textId="77777777" w:rsidR="006A55DC" w:rsidRDefault="00000000">
      <w:pPr>
        <w:pStyle w:val="Titre2"/>
      </w:pPr>
      <w:r>
        <w:t>4.2 Module Gestion des Animaux</w:t>
      </w:r>
    </w:p>
    <w:p w14:paraId="576AFDA3" w14:textId="77777777" w:rsidR="006A55DC" w:rsidRDefault="00000000">
      <w:pPr>
        <w:spacing w:before="120" w:after="120"/>
        <w:ind w:firstLine="720"/>
        <w:jc w:val="both"/>
      </w:pPr>
      <w:r>
        <w:t>Le module de gestion des animaux, exposé par AnimalController, permet la création, mise à jour, consultation et suppression des fiches individuelles. Chaque fiche contient le code d'identification, le type physiologique (truie, verrat, porcelet, etc.), la date de naissance, le poids initial, l'affectation bâtiment/box, et une photo optionnelle. Le code animal est la clé de liaison avec l'ensemble des modules.</w:t>
      </w:r>
    </w:p>
    <w:p w14:paraId="3E91482E" w14:textId="77777777" w:rsidR="006A55DC" w:rsidRDefault="00000000">
      <w:pPr>
        <w:pStyle w:val="Titre2"/>
      </w:pPr>
      <w:r>
        <w:t>4.3 Module Alimentation</w:t>
      </w:r>
    </w:p>
    <w:p w14:paraId="668AF11D" w14:textId="77777777" w:rsidR="006A55DC" w:rsidRDefault="00000000">
      <w:pPr>
        <w:spacing w:before="120" w:after="120"/>
        <w:ind w:firstLine="720"/>
        <w:jc w:val="both"/>
      </w:pPr>
      <w:r>
        <w:t>Le module alimentation couvre deux fonctionnalités principales : la saisie des rations journalières, et les recommandations de référence par stade physiologique. Les valeurs de référence sont sourcées sur deux documents officiels burkinabè : la Fiche simplifiée d'alimentation des porcs (DGPA/MRAH, juin 2021) et la Fiche technique n°3 alimentation porcs (ONG Thamani, Bobo-Dioulasso).</w:t>
      </w:r>
    </w:p>
    <w:p w14:paraId="7B50CEA8" w14:textId="77777777" w:rsidR="006A55DC" w:rsidRDefault="00000000">
      <w:pPr>
        <w:spacing w:before="120" w:after="120"/>
        <w:ind w:firstLine="720"/>
        <w:jc w:val="both"/>
      </w:pPr>
      <w:r>
        <w:t>L'endpoint de calcul de coût vérifie la conformité à la règle économique des 100 FCFA/kg (ONG Thamani) : le coût de l'aliment ne doit pas excéder un sixième du prix de vente moyen du porc sur pied. Cette règle constitue un garde-fou économique essentiel pour la rentabilité des exploitations.</w:t>
      </w:r>
    </w:p>
    <w:p w14:paraId="6614FD2A" w14:textId="77777777" w:rsidR="006A55DC" w:rsidRDefault="00000000">
      <w:pPr>
        <w:spacing w:before="120" w:after="120"/>
        <w:ind w:firstLine="720"/>
        <w:jc w:val="both"/>
      </w:pPr>
      <w:r>
        <w:t xml:space="preserve">Un aspect important du module alimentation concerne l'utilisation des ressources alimentaires locales. Adesehinwa et al. (2024) soulignent l'abondance des sous-produits agro-industriels en Afrique subsaharienne — son de maïs, gâteau d'arachides, son de riz, pelures de manioc, grains de brasserie, son de blé, gâteau de palmier à huile — qui constituent des ingrédients alternatifs précieux pour l'alimentation des porcs, riches en énergie et en protéines. Ces ressources, disponibles localement au Burkina Faso, sont précisément celles que les référentiels DGPA/MRAH et Thamani intègrent dans leurs recommandations. Le module alimentation de la plateforme s'appuie sur ces ingrédients </w:t>
      </w:r>
      <w:r>
        <w:lastRenderedPageBreak/>
        <w:t>locaux, offrant ainsi une alternative économique aux ingrédients importés coûteux dont la disponibilité est soumise aux aléas des marchés internationaux.</w:t>
      </w:r>
    </w:p>
    <w:p w14:paraId="4E4110F2" w14:textId="77777777" w:rsidR="006A55DC" w:rsidRDefault="00000000">
      <w:pPr>
        <w:pStyle w:val="Titre2"/>
      </w:pPr>
      <w:r>
        <w:t>4.4 Module Reproduction</w:t>
      </w:r>
    </w:p>
    <w:p w14:paraId="3133E1D7" w14:textId="77777777" w:rsidR="006A55DC" w:rsidRDefault="00000000">
      <w:pPr>
        <w:spacing w:before="120" w:after="120"/>
        <w:ind w:firstLine="720"/>
        <w:jc w:val="both"/>
      </w:pPr>
      <w:r>
        <w:t>Le module reproduction enregistre les événements reproductifs (saillie, gestation, mise-bas, sevrage) pour chaque truie. Les alertes de mise-bas retournent la liste des truies dont la parturition est imminente (calculée sur 114 jours de gestation). La traçabilité par reproducteur permet d'évaluer la valeur génétique de chaque animal sur l'ensemble de sa vie productive. L'ISSF est calculé via un endpoint dédié : un intervalle moyen supérieur à 7 jours appelle une intervention de l'éleveur ou du vétérinaire.</w:t>
      </w:r>
    </w:p>
    <w:p w14:paraId="2E6BCB59" w14:textId="77777777" w:rsidR="006A55DC" w:rsidRDefault="00000000">
      <w:pPr>
        <w:pStyle w:val="Titre2"/>
      </w:pPr>
      <w:r>
        <w:t>4.5 Module Santé et Système d'Aide à la Décision (SAD)</w:t>
      </w:r>
    </w:p>
    <w:p w14:paraId="7864F1CA" w14:textId="77777777" w:rsidR="006A55DC" w:rsidRDefault="00000000">
      <w:pPr>
        <w:spacing w:before="120" w:after="120"/>
        <w:ind w:firstLine="720"/>
        <w:jc w:val="both"/>
      </w:pPr>
      <w:r>
        <w:t>Le module SanteSad constitue le cœur du SAD. L'endpoint des top consommateurs retourne les animaux ayant généré les coûts vétérinaires les plus élevés sur une période donnée. Lorsque le coût cumulé de soins excède la valeur commerciale d'un animal, une recommandation de réforme est générée. Le bilan sanitaire individuel génère un rapport complet : historique des interventions, motifs récurrents, coûts cumulés. Ces indicateurs permettent à l'éleveur de prendre des décisions éclairées sans compétences préalables en analyse de données.</w:t>
      </w:r>
    </w:p>
    <w:p w14:paraId="539CD821" w14:textId="77777777" w:rsidR="006A55DC" w:rsidRDefault="00000000">
      <w:pPr>
        <w:pStyle w:val="Titre2"/>
      </w:pPr>
      <w:r>
        <w:t>4.6 Module Vente et Facturation</w:t>
      </w:r>
    </w:p>
    <w:p w14:paraId="431C4CAB" w14:textId="77777777" w:rsidR="006A55DC" w:rsidRDefault="00000000">
      <w:pPr>
        <w:spacing w:before="120" w:after="120"/>
        <w:ind w:firstLine="720"/>
        <w:jc w:val="both"/>
      </w:pPr>
      <w:r>
        <w:t>VenteController enregistre les transactions commerciales avec calcul automatique du montant total. La génération de factures PDF est assurée par iText7 : chaque vente peut être exportée en document structuré comportant l'en-tête de l'exploitation, le détail des animaux vendus et le récapitulatif financier.</w:t>
      </w:r>
    </w:p>
    <w:p w14:paraId="2FB61E6E" w14:textId="77777777" w:rsidR="006A55DC" w:rsidRDefault="00000000">
      <w:pPr>
        <w:pStyle w:val="Titre2"/>
      </w:pPr>
      <w:r>
        <w:t>4.7 Module Synthèse Financière</w:t>
      </w:r>
    </w:p>
    <w:p w14:paraId="78BA216C" w14:textId="77777777" w:rsidR="006A55DC" w:rsidRDefault="00000000">
      <w:pPr>
        <w:spacing w:before="120" w:after="120"/>
        <w:ind w:firstLine="720"/>
        <w:jc w:val="both"/>
      </w:pPr>
      <w:r>
        <w:t>SyntheseController retourne la synthèse financière de l'exploitation pour une période définie. SyntheseService agrège les ventes, les dépenses (aliments, soins, charges diverses) et calcule les indicateurs clés : recettes totales, dépenses totales et marge brute.</w:t>
      </w:r>
    </w:p>
    <w:p w14:paraId="17A126AC" w14:textId="77777777" w:rsidR="006A55DC" w:rsidRDefault="00000000">
      <w:pPr>
        <w:pStyle w:val="Titre2"/>
      </w:pPr>
      <w:r>
        <w:t>4.8 Sécurité et Contrôle d'Accès</w:t>
      </w:r>
    </w:p>
    <w:p w14:paraId="1C554052" w14:textId="77777777" w:rsidR="006A55DC" w:rsidRDefault="00000000">
      <w:pPr>
        <w:spacing w:before="120" w:after="120"/>
        <w:ind w:firstLine="720"/>
        <w:jc w:val="both"/>
      </w:pPr>
      <w:r>
        <w:t>La sécurité repose sur Spring Security avec JWT (jjwt 0.11.5). Le modèle de permissions est granulaire : chaque opération correspond à une autorité spécifique (ex: ALIMENTATION_READ, REPRODUCTION_ALERTES, SYNTHESE_READ). Les annotations @PreAuthorize sur chaque endpoint garantissent l'étanchéité des accès. Ce modèle permet de définir des profils adaptés à chaque acteur : administrateur, gérant, vétérinaire, ouvrier.</w:t>
      </w:r>
    </w:p>
    <w:p w14:paraId="0D91473C" w14:textId="77777777" w:rsidR="006A55DC" w:rsidRDefault="00000000">
      <w:pPr>
        <w:pStyle w:val="Titre2"/>
      </w:pPr>
      <w:r>
        <w:t>4.9 Module Abonnement et Monétisation</w:t>
      </w:r>
    </w:p>
    <w:p w14:paraId="19667A2D" w14:textId="77777777" w:rsidR="006A55DC" w:rsidRDefault="00000000">
      <w:pPr>
        <w:spacing w:before="120" w:after="120"/>
        <w:ind w:firstLine="720"/>
        <w:jc w:val="both"/>
      </w:pPr>
      <w:r>
        <w:t>Le module implémente quatre paliers d'abonnement (STARTER, ELEVEUR PRO, FERME PREMIUM, ENTREPRISE), chacun définissant des limites d'utilisation vérifiées côté backend. Le paiement est intégré via l'API c0de4hope (OTP mobile money Orange), permettant à l'éleveur de valider son abonnement via un code USSD sans nécessiter de compte bancaire. Un job planifié (@Scheduled) surveille les dates d'expiration et envoie des notifications SMS préventives à J-7, J-3 et J-0.</w:t>
      </w:r>
    </w:p>
    <w:p w14:paraId="0B69DEBA" w14:textId="77777777" w:rsidR="006A55DC" w:rsidRDefault="00000000">
      <w:pPr>
        <w:pStyle w:val="Titre2"/>
      </w:pPr>
      <w:r>
        <w:lastRenderedPageBreak/>
        <w:t>4.10 Déploiement</w:t>
      </w:r>
    </w:p>
    <w:p w14:paraId="779238E5" w14:textId="77777777" w:rsidR="006A55DC" w:rsidRDefault="00000000">
      <w:pPr>
        <w:spacing w:before="120" w:after="120"/>
        <w:ind w:firstLine="720"/>
        <w:jc w:val="both"/>
      </w:pPr>
      <w:r>
        <w:t>L'application est packagée en JAR exécutable et déployée sur Render.com avec déploiement automatique à chaque mise à jour Git. La configuration CORS autorise les requêtes depuis le frontend Angular et l'application Flutter. L'interface Angular est conçue en responsive design, optimisée pour la navigation mobile.</w:t>
      </w:r>
    </w:p>
    <w:p w14:paraId="3F9D934A" w14:textId="77777777" w:rsidR="006A55DC" w:rsidRDefault="00000000">
      <w:r>
        <w:br w:type="page"/>
      </w:r>
    </w:p>
    <w:p w14:paraId="1B285F84" w14:textId="77777777" w:rsidR="006A55DC" w:rsidRDefault="00000000">
      <w:pPr>
        <w:pStyle w:val="Titre1"/>
      </w:pPr>
      <w:r>
        <w:lastRenderedPageBreak/>
        <w:t>Chapitre 5 : Résultats, Discussion et Conclusion</w:t>
      </w:r>
    </w:p>
    <w:p w14:paraId="76E5186D" w14:textId="77777777" w:rsidR="006A55DC" w:rsidRDefault="00000000">
      <w:pPr>
        <w:pStyle w:val="Titre2"/>
      </w:pPr>
      <w:r>
        <w:t>5.1 Fonctionnalités Implémentées</w:t>
      </w:r>
    </w:p>
    <w:p w14:paraId="4DE706C2" w14:textId="77777777" w:rsidR="006A55DC" w:rsidRDefault="006A55DC">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500"/>
        <w:gridCol w:w="2500"/>
      </w:tblGrid>
      <w:tr w:rsidR="006A55DC" w14:paraId="1CE14995"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tcPr>
          <w:p w14:paraId="32FB0F61" w14:textId="77777777" w:rsidR="006A55DC" w:rsidRDefault="00000000">
            <w:pPr>
              <w:jc w:val="center"/>
            </w:pPr>
            <w:r>
              <w:rPr>
                <w:b/>
                <w:bCs/>
                <w:sz w:val="20"/>
                <w:szCs w:val="20"/>
              </w:rPr>
              <w:t>Module</w:t>
            </w:r>
          </w:p>
        </w:tc>
        <w:tc>
          <w:tcPr>
            <w:tcW w:w="4500" w:type="dxa"/>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tcPr>
          <w:p w14:paraId="6489B9FA" w14:textId="77777777" w:rsidR="006A55DC" w:rsidRDefault="00000000">
            <w:pPr>
              <w:jc w:val="center"/>
            </w:pPr>
            <w:r>
              <w:rPr>
                <w:b/>
                <w:bCs/>
                <w:sz w:val="20"/>
                <w:szCs w:val="20"/>
              </w:rPr>
              <w:t>Fonctionnalité</w:t>
            </w:r>
          </w:p>
        </w:tc>
        <w:tc>
          <w:tcPr>
            <w:tcW w:w="2500" w:type="dxa"/>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tcPr>
          <w:p w14:paraId="12B09F70" w14:textId="77777777" w:rsidR="006A55DC" w:rsidRDefault="00000000">
            <w:pPr>
              <w:jc w:val="center"/>
            </w:pPr>
            <w:r>
              <w:rPr>
                <w:b/>
                <w:bCs/>
                <w:sz w:val="20"/>
                <w:szCs w:val="20"/>
              </w:rPr>
              <w:t>Statut</w:t>
            </w:r>
          </w:p>
        </w:tc>
      </w:tr>
      <w:tr w:rsidR="006A55DC" w14:paraId="5837B647"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9D08DF5" w14:textId="77777777" w:rsidR="006A55DC" w:rsidRDefault="00000000">
            <w:r>
              <w:rPr>
                <w:sz w:val="18"/>
                <w:szCs w:val="18"/>
              </w:rPr>
              <w:t>Animaux</w:t>
            </w:r>
          </w:p>
        </w:tc>
        <w:tc>
          <w:tcPr>
            <w:tcW w:w="4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0E2A5A8" w14:textId="77777777" w:rsidR="006A55DC" w:rsidRDefault="00000000">
            <w:r>
              <w:rPr>
                <w:sz w:val="18"/>
                <w:szCs w:val="18"/>
              </w:rPr>
              <w:t>Fiche individuelle, photos, suivi pondéral</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F9D39B" w14:textId="77777777" w:rsidR="006A55DC" w:rsidRDefault="00000000">
            <w:r>
              <w:rPr>
                <w:sz w:val="18"/>
                <w:szCs w:val="18"/>
              </w:rPr>
              <w:t>Implémenté</w:t>
            </w:r>
          </w:p>
        </w:tc>
      </w:tr>
      <w:tr w:rsidR="006A55DC" w14:paraId="6B09B3BC"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C589AE1" w14:textId="77777777" w:rsidR="006A55DC" w:rsidRDefault="00000000">
            <w:r>
              <w:rPr>
                <w:sz w:val="18"/>
                <w:szCs w:val="18"/>
              </w:rPr>
              <w:t>Alimentation</w:t>
            </w:r>
          </w:p>
        </w:tc>
        <w:tc>
          <w:tcPr>
            <w:tcW w:w="4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3AA8D2" w14:textId="77777777" w:rsidR="006A55DC" w:rsidRDefault="00000000">
            <w:r>
              <w:rPr>
                <w:sz w:val="18"/>
                <w:szCs w:val="18"/>
              </w:rPr>
              <w:t>Rations journalières, recommandations, calcul coût (ressources locales)</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B6B362A" w14:textId="77777777" w:rsidR="006A55DC" w:rsidRDefault="00000000">
            <w:r>
              <w:rPr>
                <w:sz w:val="18"/>
                <w:szCs w:val="18"/>
              </w:rPr>
              <w:t>Implémenté</w:t>
            </w:r>
          </w:p>
        </w:tc>
      </w:tr>
      <w:tr w:rsidR="006A55DC" w14:paraId="57E87839"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E412243" w14:textId="77777777" w:rsidR="006A55DC" w:rsidRDefault="00000000">
            <w:r>
              <w:rPr>
                <w:sz w:val="18"/>
                <w:szCs w:val="18"/>
              </w:rPr>
              <w:t>Reproduction</w:t>
            </w:r>
          </w:p>
        </w:tc>
        <w:tc>
          <w:tcPr>
            <w:tcW w:w="4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3CC64FE" w14:textId="77777777" w:rsidR="006A55DC" w:rsidRDefault="00000000">
            <w:r>
              <w:rPr>
                <w:sz w:val="18"/>
                <w:szCs w:val="18"/>
              </w:rPr>
              <w:t>Saillies, mises-bas, alertes, ISSF, performances par reproducteur</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34B3977" w14:textId="77777777" w:rsidR="006A55DC" w:rsidRDefault="00000000">
            <w:r>
              <w:rPr>
                <w:sz w:val="18"/>
                <w:szCs w:val="18"/>
              </w:rPr>
              <w:t>Implémenté</w:t>
            </w:r>
          </w:p>
        </w:tc>
      </w:tr>
      <w:tr w:rsidR="006A55DC" w14:paraId="17938DA8"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C59156D" w14:textId="77777777" w:rsidR="006A55DC" w:rsidRDefault="00000000">
            <w:r>
              <w:rPr>
                <w:sz w:val="18"/>
                <w:szCs w:val="18"/>
              </w:rPr>
              <w:t>Santé / SAD</w:t>
            </w:r>
          </w:p>
        </w:tc>
        <w:tc>
          <w:tcPr>
            <w:tcW w:w="4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097AD98" w14:textId="77777777" w:rsidR="006A55DC" w:rsidRDefault="00000000">
            <w:r>
              <w:rPr>
                <w:sz w:val="18"/>
                <w:szCs w:val="18"/>
              </w:rPr>
              <w:t>Bilan individuel, top consommateurs, alertes zootechniques</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5EB867E" w14:textId="77777777" w:rsidR="006A55DC" w:rsidRDefault="00000000">
            <w:r>
              <w:rPr>
                <w:sz w:val="18"/>
                <w:szCs w:val="18"/>
              </w:rPr>
              <w:t>Implémenté</w:t>
            </w:r>
          </w:p>
        </w:tc>
      </w:tr>
      <w:tr w:rsidR="006A55DC" w14:paraId="5D805B5C"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2AE1F81" w14:textId="77777777" w:rsidR="006A55DC" w:rsidRDefault="00000000">
            <w:r>
              <w:rPr>
                <w:sz w:val="18"/>
                <w:szCs w:val="18"/>
              </w:rPr>
              <w:t>Ventes</w:t>
            </w:r>
          </w:p>
        </w:tc>
        <w:tc>
          <w:tcPr>
            <w:tcW w:w="4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CFB578E" w14:textId="77777777" w:rsidR="006A55DC" w:rsidRDefault="00000000">
            <w:r>
              <w:rPr>
                <w:sz w:val="18"/>
                <w:szCs w:val="18"/>
              </w:rPr>
              <w:t>Enregistrement, facturation PDF automatique</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15AA533" w14:textId="77777777" w:rsidR="006A55DC" w:rsidRDefault="00000000">
            <w:r>
              <w:rPr>
                <w:sz w:val="18"/>
                <w:szCs w:val="18"/>
              </w:rPr>
              <w:t>Implémenté</w:t>
            </w:r>
          </w:p>
        </w:tc>
      </w:tr>
      <w:tr w:rsidR="006A55DC" w14:paraId="23FD6CFF"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03DBD5A" w14:textId="77777777" w:rsidR="006A55DC" w:rsidRDefault="00000000">
            <w:r>
              <w:rPr>
                <w:sz w:val="18"/>
                <w:szCs w:val="18"/>
              </w:rPr>
              <w:t>Synthèse financière</w:t>
            </w:r>
          </w:p>
        </w:tc>
        <w:tc>
          <w:tcPr>
            <w:tcW w:w="4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B95F2DE" w14:textId="77777777" w:rsidR="006A55DC" w:rsidRDefault="00000000">
            <w:r>
              <w:rPr>
                <w:sz w:val="18"/>
                <w:szCs w:val="18"/>
              </w:rPr>
              <w:t>Recettes, dépenses, marge brute, filtrage par période</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293324C" w14:textId="77777777" w:rsidR="006A55DC" w:rsidRDefault="00000000">
            <w:r>
              <w:rPr>
                <w:sz w:val="18"/>
                <w:szCs w:val="18"/>
              </w:rPr>
              <w:t>Implémenté</w:t>
            </w:r>
          </w:p>
        </w:tc>
      </w:tr>
      <w:tr w:rsidR="006A55DC" w14:paraId="513349E4"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C4B2EE1" w14:textId="77777777" w:rsidR="006A55DC" w:rsidRDefault="00000000">
            <w:r>
              <w:rPr>
                <w:sz w:val="18"/>
                <w:szCs w:val="18"/>
              </w:rPr>
              <w:t>Utilisateurs</w:t>
            </w:r>
          </w:p>
        </w:tc>
        <w:tc>
          <w:tcPr>
            <w:tcW w:w="4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B524913" w14:textId="77777777" w:rsidR="006A55DC" w:rsidRDefault="00000000">
            <w:r>
              <w:rPr>
                <w:sz w:val="18"/>
                <w:szCs w:val="18"/>
              </w:rPr>
              <w:t>Rôles, permissions, invitation par email</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CA47DA" w14:textId="77777777" w:rsidR="006A55DC" w:rsidRDefault="00000000">
            <w:r>
              <w:rPr>
                <w:sz w:val="18"/>
                <w:szCs w:val="18"/>
              </w:rPr>
              <w:t>Implémenté</w:t>
            </w:r>
          </w:p>
        </w:tc>
      </w:tr>
      <w:tr w:rsidR="006A55DC" w14:paraId="4E8748CA"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7A6858C" w14:textId="77777777" w:rsidR="006A55DC" w:rsidRDefault="00000000">
            <w:r>
              <w:rPr>
                <w:sz w:val="18"/>
                <w:szCs w:val="18"/>
              </w:rPr>
              <w:t>SaaS Multi-tenant</w:t>
            </w:r>
          </w:p>
        </w:tc>
        <w:tc>
          <w:tcPr>
            <w:tcW w:w="4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A5E1DE9" w14:textId="77777777" w:rsidR="006A55DC" w:rsidRDefault="00000000">
            <w:r>
              <w:rPr>
                <w:sz w:val="18"/>
                <w:szCs w:val="18"/>
              </w:rPr>
              <w:t>Schéma par tenant, résolution dynamique, Super-Admin</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7AE2326" w14:textId="77777777" w:rsidR="006A55DC" w:rsidRDefault="00000000">
            <w:r>
              <w:rPr>
                <w:sz w:val="18"/>
                <w:szCs w:val="18"/>
              </w:rPr>
              <w:t>Implémenté</w:t>
            </w:r>
          </w:p>
        </w:tc>
      </w:tr>
      <w:tr w:rsidR="006A55DC" w14:paraId="673716A9"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7003B02" w14:textId="77777777" w:rsidR="006A55DC" w:rsidRDefault="00000000">
            <w:r>
              <w:rPr>
                <w:sz w:val="18"/>
                <w:szCs w:val="18"/>
              </w:rPr>
              <w:t>Abonnements</w:t>
            </w:r>
          </w:p>
        </w:tc>
        <w:tc>
          <w:tcPr>
            <w:tcW w:w="4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E49C76" w14:textId="77777777" w:rsidR="006A55DC" w:rsidRDefault="00000000">
            <w:r>
              <w:rPr>
                <w:sz w:val="18"/>
                <w:szCs w:val="18"/>
              </w:rPr>
              <w:t>Plans tarifaires, paiement OTP mobile money, alertes expiration</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3532173" w14:textId="77777777" w:rsidR="006A55DC" w:rsidRDefault="00000000">
            <w:r>
              <w:rPr>
                <w:sz w:val="18"/>
                <w:szCs w:val="18"/>
              </w:rPr>
              <w:t>Implémenté</w:t>
            </w:r>
          </w:p>
        </w:tc>
      </w:tr>
      <w:tr w:rsidR="006A55DC" w14:paraId="6575819D"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76D4216" w14:textId="77777777" w:rsidR="006A55DC" w:rsidRDefault="00000000">
            <w:r>
              <w:rPr>
                <w:sz w:val="18"/>
                <w:szCs w:val="18"/>
              </w:rPr>
              <w:t>Pipeline WhatsApp</w:t>
            </w:r>
          </w:p>
        </w:tc>
        <w:tc>
          <w:tcPr>
            <w:tcW w:w="4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58D2706" w14:textId="77777777" w:rsidR="006A55DC" w:rsidRDefault="00000000">
            <w:r>
              <w:rPr>
                <w:sz w:val="18"/>
                <w:szCs w:val="18"/>
              </w:rPr>
              <w:t>Collecte prix, transcription audio, extraction structurée</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31EF3A2" w14:textId="77777777" w:rsidR="006A55DC" w:rsidRDefault="00000000">
            <w:r>
              <w:rPr>
                <w:sz w:val="18"/>
                <w:szCs w:val="18"/>
              </w:rPr>
              <w:t>Implémenté</w:t>
            </w:r>
          </w:p>
        </w:tc>
      </w:tr>
      <w:tr w:rsidR="006A55DC" w14:paraId="0DE942E1"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7FA5639" w14:textId="77777777" w:rsidR="006A55DC" w:rsidRDefault="00000000">
            <w:r>
              <w:rPr>
                <w:sz w:val="18"/>
                <w:szCs w:val="18"/>
              </w:rPr>
              <w:t>IoT / Capteurs physiques</w:t>
            </w:r>
          </w:p>
        </w:tc>
        <w:tc>
          <w:tcPr>
            <w:tcW w:w="4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9CAC205" w14:textId="77777777" w:rsidR="006A55DC" w:rsidRDefault="00000000">
            <w:r>
              <w:rPr>
                <w:sz w:val="18"/>
                <w:szCs w:val="18"/>
              </w:rPr>
              <w:t>Intégration de capteurs physiques</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281F037" w14:textId="77777777" w:rsidR="006A55DC" w:rsidRDefault="00000000">
            <w:r>
              <w:rPr>
                <w:sz w:val="18"/>
                <w:szCs w:val="18"/>
              </w:rPr>
              <w:t>Perspective v2</w:t>
            </w:r>
          </w:p>
        </w:tc>
      </w:tr>
      <w:tr w:rsidR="006A55DC" w14:paraId="3575E8CA"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8B75D7F" w14:textId="77777777" w:rsidR="006A55DC" w:rsidRDefault="00000000">
            <w:r>
              <w:rPr>
                <w:sz w:val="18"/>
                <w:szCs w:val="18"/>
              </w:rPr>
              <w:t>Prévision prix ML</w:t>
            </w:r>
          </w:p>
        </w:tc>
        <w:tc>
          <w:tcPr>
            <w:tcW w:w="4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D8AADF9" w14:textId="77777777" w:rsidR="006A55DC" w:rsidRDefault="00000000">
            <w:r>
              <w:rPr>
                <w:sz w:val="18"/>
                <w:szCs w:val="18"/>
              </w:rPr>
              <w:t>Modèle prédictif sur données historiques collectées</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C410553" w14:textId="77777777" w:rsidR="006A55DC" w:rsidRDefault="00000000">
            <w:r>
              <w:rPr>
                <w:sz w:val="18"/>
                <w:szCs w:val="18"/>
              </w:rPr>
              <w:t>Perspective v2/v3</w:t>
            </w:r>
          </w:p>
        </w:tc>
      </w:tr>
    </w:tbl>
    <w:p w14:paraId="07706A99" w14:textId="77777777" w:rsidR="006A55DC" w:rsidRDefault="006A55DC">
      <w:pPr>
        <w:spacing w:before="60" w:after="60"/>
      </w:pPr>
    </w:p>
    <w:p w14:paraId="7EB6218E" w14:textId="77777777" w:rsidR="006A55DC" w:rsidRDefault="00000000">
      <w:pPr>
        <w:pStyle w:val="Titre2"/>
      </w:pPr>
      <w:r>
        <w:t>5.2 Validation et Tests</w:t>
      </w:r>
    </w:p>
    <w:p w14:paraId="2C324AB6" w14:textId="77777777" w:rsidR="006A55DC" w:rsidRDefault="00000000">
      <w:pPr>
        <w:spacing w:before="120" w:after="120"/>
        <w:ind w:firstLine="720"/>
        <w:jc w:val="both"/>
      </w:pPr>
      <w:r>
        <w:t>Les endpoints REST ont été testés manuellement via Postman, couvrant les cas nominaux et les cas d'erreur. La gestion des exceptions est centralisée dans un GlobalExceptionHandler. Les calculs de l'ISSF et des alertes de mise-bas ont été vérifiés sur des jeux de données réels. Le mécanisme multi-tenant a été validé sur Render.com avec plusieurs fermes en parallèle.</w:t>
      </w:r>
    </w:p>
    <w:p w14:paraId="2068E0D7" w14:textId="77777777" w:rsidR="006A55DC" w:rsidRDefault="00000000">
      <w:pPr>
        <w:pStyle w:val="Titre2"/>
      </w:pPr>
      <w:r>
        <w:t>5.3 Discussion</w:t>
      </w:r>
    </w:p>
    <w:p w14:paraId="72865ED6" w14:textId="77777777" w:rsidR="006A55DC" w:rsidRDefault="00000000">
      <w:pPr>
        <w:spacing w:before="120" w:after="120"/>
        <w:ind w:firstLine="720"/>
        <w:jc w:val="both"/>
      </w:pPr>
      <w:r>
        <w:t>Les résultats confirment la faisabilité technique d'une plateforme de gestion porcine adaptée à un contexte à ressources contraintes. Kotlin/Spring Boot s'est révélé particulièrement adapté pour une API REST robuste avec gestion multi-tenant transparente. L'ancrage local des règles zootechniques — sourcées sur des référentiels burkinabè (DGPA/MRAH, ONG Thamani) — constitue un résultat de valeur qui garantit la pertinence agronomique et économique des recommandations.</w:t>
      </w:r>
    </w:p>
    <w:p w14:paraId="27F12391" w14:textId="77777777" w:rsidR="006A55DC" w:rsidRDefault="00000000">
      <w:pPr>
        <w:spacing w:before="120" w:after="120"/>
        <w:ind w:firstLine="720"/>
        <w:jc w:val="both"/>
      </w:pPr>
      <w:r>
        <w:t xml:space="preserve">La contextualisation des données par les travaux d'Adesehinwa et al. (2024) renforce la portée des résultats : avec un cheptel burkinabè de 2 693 443 têtes et une croissance continentale de 101 % entre 2001 et 2021, la filière porcine représente un secteur en expansion structurelle dont la productivité est limitée par le manque d'outils de gestion adaptés. La plateforme développée répond directement à cette lacune, en offrant un suivi </w:t>
      </w:r>
      <w:r>
        <w:lastRenderedPageBreak/>
        <w:t>individuel de chaque animal de sa naissance à sa vente, fondé sur des règles décisionnelles issues du terrain burkinabè.</w:t>
      </w:r>
    </w:p>
    <w:p w14:paraId="68EE33D6" w14:textId="77777777" w:rsidR="006A55DC" w:rsidRDefault="00000000">
      <w:pPr>
        <w:spacing w:before="120" w:after="120"/>
        <w:ind w:firstLine="720"/>
        <w:jc w:val="both"/>
      </w:pPr>
      <w:r>
        <w:t>Comparée aux solutions africaines analysées, la plateforme se distingue par sa spécialisation exclusive, la profondeur du suivi individuel, et l'architecture SaaS multi-tenant. AgriData IA excelle sur l'analyse des prix céréaliers régionaux ; AgriHubX sur la détection de maladies des cultures. Notre contribution occupe un espace distinct : la gestion décisionnelle intégrée de l'élevage porcin en Afrique de l'Ouest. L'intégration des sous-produits agro-industriels locaux dans les recommandations alimentaires — son de maïs, gâteau d'arachides, son de riz, pelures de manioc (Adesehinwa et al., 2024 ; ONG Thamani) — offre une alternative économique concrète aux intrants importés, en cohérence avec les défis identifiés dans la littérature.</w:t>
      </w:r>
    </w:p>
    <w:p w14:paraId="1547817F" w14:textId="77777777" w:rsidR="006A55DC" w:rsidRDefault="00000000">
      <w:pPr>
        <w:spacing w:before="120" w:after="120"/>
        <w:ind w:firstLine="720"/>
        <w:jc w:val="both"/>
      </w:pPr>
      <w:r>
        <w:t>La compatibilité avec la fracture numérique est assurée par l'interface mobile-first et par le pipeline WhatsApp. Le modèle de monétisation par abonnement avec paiement mobile money rend la solution économiquement accessible aux petits éleveurs, répondant au besoin de renforcement des capacités identifié par Adesehinwa et al. (2024) comme priorité pour la filière porcine africaine.</w:t>
      </w:r>
    </w:p>
    <w:p w14:paraId="733F9610" w14:textId="77777777" w:rsidR="006A55DC" w:rsidRDefault="00000000">
      <w:pPr>
        <w:pStyle w:val="Titre2"/>
      </w:pPr>
      <w:r>
        <w:t>5.4 Limites et Perspectives</w:t>
      </w:r>
    </w:p>
    <w:p w14:paraId="696CD51A" w14:textId="77777777" w:rsidR="006A55DC" w:rsidRDefault="00000000">
      <w:pPr>
        <w:spacing w:before="120" w:after="120"/>
        <w:ind w:firstLine="720"/>
        <w:jc w:val="both"/>
      </w:pPr>
      <w:r>
        <w:t>Plusieurs limites méritent d'être signalées. Premièrement, les données de prix porcins burkinabè disponibles restent peu nombreuses. La constitution d'un historique suffisant pour entraîner des modèles prédictifs fiables requerra plusieurs mois de collecte continue. L'exploitation par apprentissage automatique est positionnée comme perspective de recherche future.</w:t>
      </w:r>
    </w:p>
    <w:p w14:paraId="0F3838DD" w14:textId="77777777" w:rsidR="006A55DC" w:rsidRDefault="00000000">
      <w:pPr>
        <w:spacing w:before="120" w:after="120"/>
        <w:ind w:firstLine="720"/>
        <w:jc w:val="both"/>
      </w:pPr>
      <w:r>
        <w:t>Deuxièmement, l'intégration de capteurs IoT physiques n'a pas été réalisée dans cette version. L'architecture REST de la plateforme est conçue pour accueillir de tels flux de données, mais le déploiement terrain de dispositifs matériels est conditionné à des partenariats avec des fournisseurs locaux.</w:t>
      </w:r>
    </w:p>
    <w:p w14:paraId="7AEA37C5" w14:textId="77777777" w:rsidR="006A55DC" w:rsidRDefault="00000000">
      <w:pPr>
        <w:spacing w:before="120" w:after="120"/>
        <w:ind w:firstLine="720"/>
        <w:jc w:val="both"/>
      </w:pPr>
      <w:r>
        <w:t>Troisièmement, l'évaluation en conditions réelles auprès d'un panel représentatif d'éleveurs burkinabè n'a pas encore été conduite. Les perspectives d'évolution se structurent ainsi : version 2 — prévision de prix par ML et introduction de capteurs IoT de bas coût dans des bâtiments pilotes ; version 3 — module de vision artificielle pour l'aide au diagnostic de la PPA, et extension à d'autres filières animales (petits ruminants, volaille).</w:t>
      </w:r>
    </w:p>
    <w:p w14:paraId="066A7755" w14:textId="77777777" w:rsidR="006A55DC" w:rsidRDefault="00000000">
      <w:pPr>
        <w:pStyle w:val="Titre2"/>
      </w:pPr>
      <w:r>
        <w:t>5.5 Conclusion Générale</w:t>
      </w:r>
    </w:p>
    <w:p w14:paraId="3D70A79C" w14:textId="77777777" w:rsidR="006A55DC" w:rsidRDefault="00000000">
      <w:pPr>
        <w:spacing w:before="120" w:after="120"/>
        <w:ind w:firstLine="720"/>
        <w:jc w:val="both"/>
      </w:pPr>
      <w:r>
        <w:t>Ce mémoire a présenté la conception, le développement et le déploiement d'une plateforme numérique intelligente pour la gestion décisionnelle des élevages porcins au Burkina Faso, architecturée selon un modèle SaaS multi-tenant. Les analyses sectorielles (FAOSTAT, 2023 ; Adesehinwa et al., 2024 ; INSD, 2023), de l'état de l'art (Bernabucci et al., 2025 ; Van Erp, 2016 ; Baesa &amp; Palaoag, 2024 ; Yassin, 2019 ; Bezemer &amp; Zaidman, 2010) et des solutions concurrentes africaines convergent pour confirmer l'originalité et la pertinence de cette contribution.</w:t>
      </w:r>
    </w:p>
    <w:p w14:paraId="25DADA33" w14:textId="77777777" w:rsidR="006A55DC" w:rsidRDefault="00000000">
      <w:pPr>
        <w:spacing w:before="120" w:after="120"/>
        <w:ind w:firstLine="720"/>
        <w:jc w:val="both"/>
      </w:pPr>
      <w:r>
        <w:t xml:space="preserve">Avec un cheptel porcin burkinabè de 2 693 443 têtes et une population africaine projetée à 2,5 milliards en 2050, la demande en outils de gestion performants et accessibles pour la filière porcine est structurelle et croissante. Ce travail ouvre des perspectives de recherche importantes — prévision de prix par ML, intégration IoT, diagnostic clinique par </w:t>
      </w:r>
      <w:r>
        <w:lastRenderedPageBreak/>
        <w:t>vision artificielle — et pose les fondations d'un écosystème numérique dédié à la filière porcine en Afrique de l'Ouest.</w:t>
      </w:r>
    </w:p>
    <w:p w14:paraId="57F197CA" w14:textId="77777777" w:rsidR="006A55DC" w:rsidRDefault="00000000">
      <w:r>
        <w:br w:type="page"/>
      </w:r>
    </w:p>
    <w:p w14:paraId="6A59023D" w14:textId="77777777" w:rsidR="006A55DC" w:rsidRDefault="00000000">
      <w:pPr>
        <w:pStyle w:val="Titre1"/>
      </w:pPr>
      <w:r>
        <w:lastRenderedPageBreak/>
        <w:t>Bibliographie</w:t>
      </w:r>
    </w:p>
    <w:p w14:paraId="73B7C08A" w14:textId="77777777" w:rsidR="006A55DC" w:rsidRDefault="00000000">
      <w:pPr>
        <w:spacing w:before="160" w:after="40"/>
      </w:pPr>
      <w:r>
        <w:rPr>
          <w:b/>
          <w:bCs/>
        </w:rPr>
        <w:t>[1] Adesehinwa, A.O.K., Boladuro, B.A., Dunmade, A.S., Idowu, A.B., Moreki, J.C. &amp; Wachira, A.M. (2024).</w:t>
      </w:r>
    </w:p>
    <w:p w14:paraId="6B625AED" w14:textId="77777777" w:rsidR="006A55DC" w:rsidRDefault="00000000">
      <w:pPr>
        <w:spacing w:before="80" w:after="80"/>
        <w:ind w:firstLine="720"/>
        <w:jc w:val="both"/>
      </w:pPr>
      <w:r>
        <w:t>Pig production in Africa: current status, challenges, prospects and opportunities. Animal Bioscience, 37(4), 730–741. doi: 10.5713/ab.23.0342. PMC11016696.</w:t>
      </w:r>
    </w:p>
    <w:p w14:paraId="37472C69" w14:textId="77777777" w:rsidR="006A55DC" w:rsidRDefault="00000000">
      <w:pPr>
        <w:spacing w:before="160" w:after="40"/>
      </w:pPr>
      <w:r>
        <w:rPr>
          <w:b/>
          <w:bCs/>
        </w:rPr>
        <w:t>[2] FAO (2012).</w:t>
      </w:r>
    </w:p>
    <w:p w14:paraId="407F8ACA" w14:textId="77777777" w:rsidR="006A55DC" w:rsidRDefault="00000000">
      <w:pPr>
        <w:spacing w:before="80" w:after="80"/>
        <w:ind w:firstLine="720"/>
        <w:jc w:val="both"/>
      </w:pPr>
      <w:r>
        <w:t>Secteur porcin au Burkina Faso. Revues nationales de l'élevage de la Division de la production et de la santé animales de la FAO, n°5. Rome : FAO. https://www.fao.org/3/i2529f/i2529f.pdf</w:t>
      </w:r>
    </w:p>
    <w:p w14:paraId="77FC4EA2" w14:textId="77777777" w:rsidR="006A55DC" w:rsidRDefault="00000000">
      <w:pPr>
        <w:spacing w:before="160" w:after="40"/>
      </w:pPr>
      <w:r>
        <w:rPr>
          <w:b/>
          <w:bCs/>
        </w:rPr>
        <w:t>[3] FAOSTAT (2023).</w:t>
      </w:r>
    </w:p>
    <w:p w14:paraId="2561823B" w14:textId="77777777" w:rsidR="006A55DC" w:rsidRDefault="00000000">
      <w:pPr>
        <w:spacing w:before="80" w:after="80"/>
        <w:ind w:firstLine="720"/>
        <w:jc w:val="both"/>
      </w:pPr>
      <w:r>
        <w:t>Crops and livestock products. Food and Agriculture Organization of the United Nations. https://www.fao.org/faostat/en/#data/QCL [Consulté en 2023 et cité dans Adesehinwa et al., 2024.]</w:t>
      </w:r>
    </w:p>
    <w:p w14:paraId="28CDE222" w14:textId="77777777" w:rsidR="006A55DC" w:rsidRDefault="00000000">
      <w:pPr>
        <w:spacing w:before="160" w:after="40"/>
      </w:pPr>
      <w:r>
        <w:rPr>
          <w:b/>
          <w:bCs/>
        </w:rPr>
        <w:t>[4] INSD (2023).</w:t>
      </w:r>
    </w:p>
    <w:p w14:paraId="7D68FDE0" w14:textId="77777777" w:rsidR="006A55DC" w:rsidRDefault="00000000">
      <w:pPr>
        <w:spacing w:before="80" w:after="80"/>
        <w:ind w:firstLine="720"/>
        <w:jc w:val="both"/>
      </w:pPr>
      <w:r>
        <w:t>Institut National de la Statistique et de la Démographie. Caractéristiques des ménages agricoles au Burkina Faso. Ouagadougou : INSD.</w:t>
      </w:r>
    </w:p>
    <w:p w14:paraId="3FE07E2D" w14:textId="77777777" w:rsidR="006A55DC" w:rsidRDefault="00000000">
      <w:pPr>
        <w:spacing w:before="160" w:after="40"/>
      </w:pPr>
      <w:r>
        <w:rPr>
          <w:b/>
          <w:bCs/>
        </w:rPr>
        <w:t>[5] EPRS (2025).</w:t>
      </w:r>
    </w:p>
    <w:p w14:paraId="22554B4F" w14:textId="77777777" w:rsidR="006A55DC" w:rsidRDefault="00000000">
      <w:pPr>
        <w:spacing w:before="80" w:after="80"/>
        <w:ind w:firstLine="720"/>
        <w:jc w:val="both"/>
      </w:pPr>
      <w:r>
        <w:t>European Parliamentary Research Service. Artificial Intelligence in Livestock Farming. Briefing PE 772840. Bruxelles : Parlement Européen.</w:t>
      </w:r>
    </w:p>
    <w:p w14:paraId="3D36C9B3" w14:textId="77777777" w:rsidR="006A55DC" w:rsidRDefault="00000000">
      <w:pPr>
        <w:spacing w:before="160" w:after="40"/>
      </w:pPr>
      <w:r>
        <w:rPr>
          <w:b/>
          <w:bCs/>
        </w:rPr>
        <w:t>[6] Bernabucci, U. et al. (2025).</w:t>
      </w:r>
    </w:p>
    <w:p w14:paraId="79E4B41C" w14:textId="77777777" w:rsidR="006A55DC" w:rsidRDefault="00000000">
      <w:pPr>
        <w:spacing w:before="80" w:after="80"/>
        <w:ind w:firstLine="720"/>
        <w:jc w:val="both"/>
      </w:pPr>
      <w:r>
        <w:t>Precision Livestock Farming in Extensive Systems: A Systematic Review of Technologies and Applications. Livestock Science, 2025. [Revue systématique de 710 publications.]</w:t>
      </w:r>
    </w:p>
    <w:p w14:paraId="55DE9F71" w14:textId="77777777" w:rsidR="006A55DC" w:rsidRDefault="00000000">
      <w:pPr>
        <w:spacing w:before="160" w:after="40"/>
      </w:pPr>
      <w:r>
        <w:rPr>
          <w:b/>
          <w:bCs/>
        </w:rPr>
        <w:t>[7] Baesa, J.A. &amp; Palaoag, T.D. (2024).</w:t>
      </w:r>
    </w:p>
    <w:p w14:paraId="589782E6" w14:textId="77777777" w:rsidR="006A55DC" w:rsidRDefault="00000000">
      <w:pPr>
        <w:spacing w:before="80" w:after="80"/>
        <w:ind w:firstLine="720"/>
        <w:jc w:val="both"/>
      </w:pPr>
      <w:r>
        <w:t>Development and Evaluation of a Knowledge-Based Decision Support System for Swine Productive Management. Journal of Agricultural Informatics, 2024.</w:t>
      </w:r>
    </w:p>
    <w:p w14:paraId="47858B05" w14:textId="77777777" w:rsidR="006A55DC" w:rsidRDefault="00000000">
      <w:pPr>
        <w:spacing w:before="160" w:after="40"/>
      </w:pPr>
      <w:r>
        <w:rPr>
          <w:b/>
          <w:bCs/>
        </w:rPr>
        <w:t>[8] Van Erp, T. (2016).</w:t>
      </w:r>
    </w:p>
    <w:p w14:paraId="69331402" w14:textId="77777777" w:rsidR="006A55DC" w:rsidRDefault="00000000">
      <w:pPr>
        <w:spacing w:before="80" w:after="80"/>
        <w:ind w:firstLine="720"/>
        <w:jc w:val="both"/>
      </w:pPr>
      <w:r>
        <w:t>Precision Livestock Farming: Data and Technology. In : Halachmi, I. (Ed.), Precision Livestock Farming Applications. Wageningen Academic Publishers.</w:t>
      </w:r>
    </w:p>
    <w:p w14:paraId="67937EB8" w14:textId="77777777" w:rsidR="006A55DC" w:rsidRDefault="00000000">
      <w:pPr>
        <w:spacing w:before="160" w:after="40"/>
      </w:pPr>
      <w:r>
        <w:rPr>
          <w:b/>
          <w:bCs/>
        </w:rPr>
        <w:t>[9] Yassin, M. (2019).</w:t>
      </w:r>
    </w:p>
    <w:p w14:paraId="20714B90" w14:textId="77777777" w:rsidR="006A55DC" w:rsidRDefault="00000000">
      <w:pPr>
        <w:spacing w:before="80" w:after="80"/>
        <w:ind w:firstLine="720"/>
        <w:jc w:val="both"/>
      </w:pPr>
      <w:r>
        <w:t>Services de sécurité inter-locataire et multi-locataire pour les logiciels en tant que service. Thèse de doctorat, Polytechnique Montréal. PolyPublie. https://publications.polymtl.ca/3986/</w:t>
      </w:r>
    </w:p>
    <w:p w14:paraId="356C8A50" w14:textId="77777777" w:rsidR="006A55DC" w:rsidRDefault="00000000">
      <w:pPr>
        <w:spacing w:before="160" w:after="40"/>
      </w:pPr>
      <w:r>
        <w:rPr>
          <w:b/>
          <w:bCs/>
        </w:rPr>
        <w:t>[10] Bezemer, C.P. &amp; Zaidman, A. (2010).</w:t>
      </w:r>
    </w:p>
    <w:p w14:paraId="2002DEFB" w14:textId="77777777" w:rsidR="006A55DC" w:rsidRDefault="00000000">
      <w:pPr>
        <w:spacing w:before="80" w:after="80"/>
        <w:ind w:firstLine="720"/>
        <w:jc w:val="both"/>
      </w:pPr>
      <w:r>
        <w:t>Multi-Tenant SaaS Applications: Maintenance Dream or Nightmare? Proceedings ERCIM EVOL / IWPSE, pp. 88-92. ACM.</w:t>
      </w:r>
    </w:p>
    <w:p w14:paraId="2930F457" w14:textId="77777777" w:rsidR="006A55DC" w:rsidRDefault="00000000">
      <w:pPr>
        <w:spacing w:before="160" w:after="40"/>
      </w:pPr>
      <w:r>
        <w:rPr>
          <w:b/>
          <w:bCs/>
        </w:rPr>
        <w:t>[11] Mbuthia, J.M., Rewe, T.O. &amp; Kahi, A.K. (2015).</w:t>
      </w:r>
    </w:p>
    <w:p w14:paraId="561A6713" w14:textId="77777777" w:rsidR="006A55DC" w:rsidRDefault="00000000">
      <w:pPr>
        <w:spacing w:before="80" w:after="80"/>
        <w:ind w:firstLine="720"/>
        <w:jc w:val="both"/>
      </w:pPr>
      <w:r>
        <w:t>Evaluation of pig production practices, constraints and opportunities for improvement of smallholder production systems in Kenya. Tropical Animal Health and Production, 47, 369–376.</w:t>
      </w:r>
    </w:p>
    <w:p w14:paraId="4DF129F4" w14:textId="77777777" w:rsidR="006A55DC" w:rsidRDefault="00000000">
      <w:pPr>
        <w:spacing w:before="160" w:after="40"/>
      </w:pPr>
      <w:r>
        <w:rPr>
          <w:b/>
          <w:bCs/>
        </w:rPr>
        <w:lastRenderedPageBreak/>
        <w:t>[12] Coulibaly, A. (2019).</w:t>
      </w:r>
    </w:p>
    <w:p w14:paraId="37E35E9E" w14:textId="77777777" w:rsidR="006A55DC" w:rsidRDefault="00000000">
      <w:pPr>
        <w:spacing w:before="80" w:after="80"/>
        <w:ind w:firstLine="720"/>
        <w:jc w:val="both"/>
      </w:pPr>
      <w:r>
        <w:t>Application de l'Internet des Objets dans le domaine de l'Agriculture. Mémoire de Master. Université de Tlemcen, Algérie.</w:t>
      </w:r>
    </w:p>
    <w:p w14:paraId="28B1993C" w14:textId="77777777" w:rsidR="006A55DC" w:rsidRDefault="00000000">
      <w:pPr>
        <w:spacing w:before="160" w:after="40"/>
      </w:pPr>
      <w:r>
        <w:rPr>
          <w:b/>
          <w:bCs/>
        </w:rPr>
        <w:t>[13] Policy Brief Fracture Numérique (s.d.).</w:t>
      </w:r>
    </w:p>
    <w:p w14:paraId="4050515D" w14:textId="77777777" w:rsidR="006A55DC" w:rsidRDefault="00000000">
      <w:pPr>
        <w:spacing w:before="80" w:after="80"/>
        <w:ind w:firstLine="720"/>
        <w:jc w:val="both"/>
      </w:pPr>
      <w:r>
        <w:t>Fracture numérique et adoption des TIC en milieu rural : cas du Sénégal. Policy Brief. [Consulté lors de la revue de littérature, section 2.2.]</w:t>
      </w:r>
    </w:p>
    <w:p w14:paraId="644E29F6" w14:textId="77777777" w:rsidR="006A55DC" w:rsidRDefault="00000000">
      <w:pPr>
        <w:spacing w:before="160" w:after="40"/>
      </w:pPr>
      <w:r>
        <w:rPr>
          <w:b/>
          <w:bCs/>
        </w:rPr>
        <w:t>[14] DGPA/MRAH Burkina Faso (2021).</w:t>
      </w:r>
    </w:p>
    <w:p w14:paraId="25AC9FA8" w14:textId="77777777" w:rsidR="006A55DC" w:rsidRDefault="00000000">
      <w:pPr>
        <w:spacing w:before="80" w:after="80"/>
        <w:ind w:firstLine="720"/>
        <w:jc w:val="both"/>
      </w:pPr>
      <w:r>
        <w:t>Fiche simplifiée d'alimentation des porcs. Direction Générale des Productions Animales, Ministère des Ressources Animales et Halieutiques. Burkina Faso, juin 2021.</w:t>
      </w:r>
    </w:p>
    <w:p w14:paraId="6A75A8F9" w14:textId="77777777" w:rsidR="006A55DC" w:rsidRDefault="00000000">
      <w:pPr>
        <w:spacing w:before="160" w:after="40"/>
      </w:pPr>
      <w:r>
        <w:rPr>
          <w:b/>
          <w:bCs/>
        </w:rPr>
        <w:t>[15] ONG Thamani (s.d.).</w:t>
      </w:r>
    </w:p>
    <w:p w14:paraId="3EE05A75" w14:textId="77777777" w:rsidR="006A55DC" w:rsidRDefault="00000000">
      <w:pPr>
        <w:spacing w:before="80" w:after="80"/>
        <w:ind w:firstLine="720"/>
        <w:jc w:val="both"/>
      </w:pPr>
      <w:r>
        <w:t>Fiche technique n°3 : Alimentation des porcs. ONG Thamani, Bobo-Dioulasso, secteur 24.</w:t>
      </w:r>
    </w:p>
    <w:p w14:paraId="3FFB19F6" w14:textId="77777777" w:rsidR="006A55DC" w:rsidRDefault="00000000">
      <w:pPr>
        <w:spacing w:before="160" w:after="40"/>
      </w:pPr>
      <w:r>
        <w:rPr>
          <w:b/>
          <w:bCs/>
        </w:rPr>
        <w:t>[16] Scientific Reports / PMC (2025).</w:t>
      </w:r>
    </w:p>
    <w:p w14:paraId="1F1FDBF2" w14:textId="77777777" w:rsidR="006A55DC" w:rsidRDefault="00000000">
      <w:pPr>
        <w:spacing w:before="80" w:after="80"/>
        <w:ind w:firstLine="720"/>
        <w:jc w:val="both"/>
      </w:pPr>
      <w:r>
        <w:t>Enhancing agricultural commodity price forecasting with deep learning and ensemble models. Nature Scientific Reports, 2025. https://pmc.ncbi.nlm.nih.gov/articles/PMC12051516/</w:t>
      </w:r>
    </w:p>
    <w:p w14:paraId="244583C5" w14:textId="77777777" w:rsidR="006A55DC" w:rsidRDefault="00000000">
      <w:pPr>
        <w:spacing w:before="160" w:after="40"/>
      </w:pPr>
      <w:r>
        <w:rPr>
          <w:b/>
          <w:bCs/>
        </w:rPr>
        <w:t>[17] Statista Research Department (2023).</w:t>
      </w:r>
    </w:p>
    <w:p w14:paraId="19DCE087" w14:textId="77777777" w:rsidR="006A55DC" w:rsidRDefault="00000000">
      <w:pPr>
        <w:spacing w:before="80" w:after="80"/>
        <w:ind w:firstLine="720"/>
        <w:jc w:val="both"/>
      </w:pPr>
      <w:r>
        <w:t>Forecast of the total population of Africa 2020–2050. Statista. https://www.statista.com/statistics/1224205/forecast-of-the-total-population-of-africa/</w:t>
      </w:r>
    </w:p>
    <w:p w14:paraId="499E6B37" w14:textId="77777777" w:rsidR="006A55DC" w:rsidRDefault="00000000">
      <w:pPr>
        <w:spacing w:before="160" w:after="40"/>
      </w:pPr>
      <w:r>
        <w:rPr>
          <w:b/>
          <w:bCs/>
        </w:rPr>
        <w:t>[18] AgriData IA (2025).</w:t>
      </w:r>
    </w:p>
    <w:p w14:paraId="5D840474" w14:textId="77777777" w:rsidR="006A55DC" w:rsidRDefault="00000000">
      <w:pPr>
        <w:spacing w:before="80" w:after="80"/>
        <w:ind w:firstLine="720"/>
        <w:jc w:val="both"/>
      </w:pPr>
      <w:r>
        <w:t>Plateforme de données et d'IA agricoles. https://agridata-ia.com [Consulté en 2025.]</w:t>
      </w:r>
    </w:p>
    <w:p w14:paraId="2CABD06D" w14:textId="77777777" w:rsidR="006A55DC" w:rsidRDefault="00000000">
      <w:pPr>
        <w:spacing w:before="160" w:after="40"/>
      </w:pPr>
      <w:r>
        <w:rPr>
          <w:b/>
          <w:bCs/>
        </w:rPr>
        <w:t>[19] AgriHubX (2025).</w:t>
      </w:r>
    </w:p>
    <w:p w14:paraId="5667A9DB" w14:textId="77777777" w:rsidR="006A55DC" w:rsidRDefault="00000000">
      <w:pPr>
        <w:spacing w:before="80" w:after="80"/>
        <w:ind w:firstLine="720"/>
        <w:jc w:val="both"/>
      </w:pPr>
      <w:r>
        <w:t>Plateforme agricole intelligente. https://www.agrihubx.com/agri-ia [Consulté en 2025.]</w:t>
      </w:r>
    </w:p>
    <w:p w14:paraId="61EC229A" w14:textId="77777777" w:rsidR="006A55DC" w:rsidRDefault="00000000">
      <w:pPr>
        <w:spacing w:before="160" w:after="40"/>
      </w:pPr>
      <w:r>
        <w:rPr>
          <w:b/>
          <w:bCs/>
        </w:rPr>
        <w:t>[20] Pila Studio UG (2025).</w:t>
      </w:r>
    </w:p>
    <w:p w14:paraId="3AF86B4D" w14:textId="77777777" w:rsidR="006A55DC" w:rsidRDefault="00000000">
      <w:pPr>
        <w:spacing w:before="80" w:after="80"/>
        <w:ind w:firstLine="720"/>
        <w:jc w:val="both"/>
      </w:pPr>
      <w:r>
        <w:t>Farm Tracker Livestock Manager. Application mobile de gestion d'élevage. Google Play et Apple App Store.</w:t>
      </w:r>
    </w:p>
    <w:sectPr w:rsidR="006A55DC">
      <w:footerReference w:type="default" r:id="rId9"/>
      <w:pgSz w:w="11906" w:h="16838"/>
      <w:pgMar w:top="1440" w:right="1440" w:bottom="1440"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D9008" w14:textId="77777777" w:rsidR="00DD7F24" w:rsidRDefault="00DD7F24">
      <w:r>
        <w:separator/>
      </w:r>
    </w:p>
  </w:endnote>
  <w:endnote w:type="continuationSeparator" w:id="0">
    <w:p w14:paraId="533BD6DA" w14:textId="77777777" w:rsidR="00DD7F24" w:rsidRDefault="00DD7F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C4D92" w14:textId="77777777" w:rsidR="006A55DC" w:rsidRDefault="00000000">
    <w:pPr>
      <w:jc w:val="center"/>
    </w:pPr>
    <w:r>
      <w:fldChar w:fldCharType="begin"/>
    </w:r>
    <w:r>
      <w:instrText>PAGE</w:instrText>
    </w:r>
    <w:r>
      <w:fldChar w:fldCharType="separate"/>
    </w:r>
    <w:r w:rsidR="003C020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4668B7" w14:textId="77777777" w:rsidR="00DD7F24" w:rsidRDefault="00DD7F24">
      <w:r>
        <w:separator/>
      </w:r>
    </w:p>
  </w:footnote>
  <w:footnote w:type="continuationSeparator" w:id="0">
    <w:p w14:paraId="358C8AAA" w14:textId="77777777" w:rsidR="00DD7F24" w:rsidRDefault="00DD7F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02F0F"/>
    <w:multiLevelType w:val="hybridMultilevel"/>
    <w:tmpl w:val="1D48D79C"/>
    <w:lvl w:ilvl="0" w:tplc="FEF00C54">
      <w:start w:val="1"/>
      <w:numFmt w:val="decimal"/>
      <w:lvlText w:val="%1."/>
      <w:lvlJc w:val="left"/>
      <w:pPr>
        <w:ind w:left="720" w:hanging="360"/>
      </w:pPr>
    </w:lvl>
    <w:lvl w:ilvl="1" w:tplc="63481F3E">
      <w:numFmt w:val="decimal"/>
      <w:lvlText w:val=""/>
      <w:lvlJc w:val="left"/>
    </w:lvl>
    <w:lvl w:ilvl="2" w:tplc="E7425508">
      <w:numFmt w:val="decimal"/>
      <w:lvlText w:val=""/>
      <w:lvlJc w:val="left"/>
    </w:lvl>
    <w:lvl w:ilvl="3" w:tplc="742A14DC">
      <w:numFmt w:val="decimal"/>
      <w:lvlText w:val=""/>
      <w:lvlJc w:val="left"/>
    </w:lvl>
    <w:lvl w:ilvl="4" w:tplc="8F786B4A">
      <w:numFmt w:val="decimal"/>
      <w:lvlText w:val=""/>
      <w:lvlJc w:val="left"/>
    </w:lvl>
    <w:lvl w:ilvl="5" w:tplc="8BC0ED24">
      <w:numFmt w:val="decimal"/>
      <w:lvlText w:val=""/>
      <w:lvlJc w:val="left"/>
    </w:lvl>
    <w:lvl w:ilvl="6" w:tplc="04101800">
      <w:numFmt w:val="decimal"/>
      <w:lvlText w:val=""/>
      <w:lvlJc w:val="left"/>
    </w:lvl>
    <w:lvl w:ilvl="7" w:tplc="F800C004">
      <w:numFmt w:val="decimal"/>
      <w:lvlText w:val=""/>
      <w:lvlJc w:val="left"/>
    </w:lvl>
    <w:lvl w:ilvl="8" w:tplc="FD2C4ABE">
      <w:numFmt w:val="decimal"/>
      <w:lvlText w:val=""/>
      <w:lvlJc w:val="left"/>
    </w:lvl>
  </w:abstractNum>
  <w:abstractNum w:abstractNumId="1" w15:restartNumberingAfterBreak="0">
    <w:nsid w:val="12795E7B"/>
    <w:multiLevelType w:val="hybridMultilevel"/>
    <w:tmpl w:val="B7BE8022"/>
    <w:lvl w:ilvl="0" w:tplc="30CC6B76">
      <w:start w:val="1"/>
      <w:numFmt w:val="bullet"/>
      <w:lvlText w:val="•"/>
      <w:lvlJc w:val="left"/>
      <w:pPr>
        <w:ind w:left="720" w:hanging="360"/>
      </w:pPr>
    </w:lvl>
    <w:lvl w:ilvl="1" w:tplc="1122BC7A">
      <w:numFmt w:val="decimal"/>
      <w:lvlText w:val=""/>
      <w:lvlJc w:val="left"/>
    </w:lvl>
    <w:lvl w:ilvl="2" w:tplc="46A6B324">
      <w:numFmt w:val="decimal"/>
      <w:lvlText w:val=""/>
      <w:lvlJc w:val="left"/>
    </w:lvl>
    <w:lvl w:ilvl="3" w:tplc="0C6E2684">
      <w:numFmt w:val="decimal"/>
      <w:lvlText w:val=""/>
      <w:lvlJc w:val="left"/>
    </w:lvl>
    <w:lvl w:ilvl="4" w:tplc="D7AA500E">
      <w:numFmt w:val="decimal"/>
      <w:lvlText w:val=""/>
      <w:lvlJc w:val="left"/>
    </w:lvl>
    <w:lvl w:ilvl="5" w:tplc="B85C5342">
      <w:numFmt w:val="decimal"/>
      <w:lvlText w:val=""/>
      <w:lvlJc w:val="left"/>
    </w:lvl>
    <w:lvl w:ilvl="6" w:tplc="A63E4D12">
      <w:numFmt w:val="decimal"/>
      <w:lvlText w:val=""/>
      <w:lvlJc w:val="left"/>
    </w:lvl>
    <w:lvl w:ilvl="7" w:tplc="100E559E">
      <w:numFmt w:val="decimal"/>
      <w:lvlText w:val=""/>
      <w:lvlJc w:val="left"/>
    </w:lvl>
    <w:lvl w:ilvl="8" w:tplc="FE0CB674">
      <w:numFmt w:val="decimal"/>
      <w:lvlText w:val=""/>
      <w:lvlJc w:val="left"/>
    </w:lvl>
  </w:abstractNum>
  <w:abstractNum w:abstractNumId="2" w15:restartNumberingAfterBreak="0">
    <w:nsid w:val="17DE5FE2"/>
    <w:multiLevelType w:val="hybridMultilevel"/>
    <w:tmpl w:val="5DC82DE4"/>
    <w:lvl w:ilvl="0" w:tplc="EF0098BE">
      <w:start w:val="1"/>
      <w:numFmt w:val="bullet"/>
      <w:lvlText w:val="●"/>
      <w:lvlJc w:val="left"/>
      <w:pPr>
        <w:ind w:left="720" w:hanging="360"/>
      </w:pPr>
    </w:lvl>
    <w:lvl w:ilvl="1" w:tplc="1C78A1D0">
      <w:start w:val="1"/>
      <w:numFmt w:val="bullet"/>
      <w:lvlText w:val="○"/>
      <w:lvlJc w:val="left"/>
      <w:pPr>
        <w:ind w:left="1440" w:hanging="360"/>
      </w:pPr>
    </w:lvl>
    <w:lvl w:ilvl="2" w:tplc="170218AE">
      <w:start w:val="1"/>
      <w:numFmt w:val="bullet"/>
      <w:lvlText w:val="■"/>
      <w:lvlJc w:val="left"/>
      <w:pPr>
        <w:ind w:left="2160" w:hanging="360"/>
      </w:pPr>
    </w:lvl>
    <w:lvl w:ilvl="3" w:tplc="472CF87A">
      <w:start w:val="1"/>
      <w:numFmt w:val="bullet"/>
      <w:lvlText w:val="●"/>
      <w:lvlJc w:val="left"/>
      <w:pPr>
        <w:ind w:left="2880" w:hanging="360"/>
      </w:pPr>
    </w:lvl>
    <w:lvl w:ilvl="4" w:tplc="25A23030">
      <w:start w:val="1"/>
      <w:numFmt w:val="bullet"/>
      <w:lvlText w:val="○"/>
      <w:lvlJc w:val="left"/>
      <w:pPr>
        <w:ind w:left="3600" w:hanging="360"/>
      </w:pPr>
    </w:lvl>
    <w:lvl w:ilvl="5" w:tplc="1CD0B918">
      <w:start w:val="1"/>
      <w:numFmt w:val="bullet"/>
      <w:lvlText w:val="■"/>
      <w:lvlJc w:val="left"/>
      <w:pPr>
        <w:ind w:left="4320" w:hanging="360"/>
      </w:pPr>
    </w:lvl>
    <w:lvl w:ilvl="6" w:tplc="6C2E8D10">
      <w:start w:val="1"/>
      <w:numFmt w:val="bullet"/>
      <w:lvlText w:val="●"/>
      <w:lvlJc w:val="left"/>
      <w:pPr>
        <w:ind w:left="5040" w:hanging="360"/>
      </w:pPr>
    </w:lvl>
    <w:lvl w:ilvl="7" w:tplc="4200711C">
      <w:start w:val="1"/>
      <w:numFmt w:val="bullet"/>
      <w:lvlText w:val="●"/>
      <w:lvlJc w:val="left"/>
      <w:pPr>
        <w:ind w:left="5760" w:hanging="360"/>
      </w:pPr>
    </w:lvl>
    <w:lvl w:ilvl="8" w:tplc="AB30DE38">
      <w:start w:val="1"/>
      <w:numFmt w:val="bullet"/>
      <w:lvlText w:val="●"/>
      <w:lvlJc w:val="left"/>
      <w:pPr>
        <w:ind w:left="6480" w:hanging="360"/>
      </w:pPr>
    </w:lvl>
  </w:abstractNum>
  <w:num w:numId="1" w16cid:durableId="549266040">
    <w:abstractNumId w:val="2"/>
    <w:lvlOverride w:ilvl="0">
      <w:startOverride w:val="1"/>
    </w:lvlOverride>
  </w:num>
  <w:num w:numId="2" w16cid:durableId="5323097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3"/>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55DC"/>
    <w:rsid w:val="001E47A9"/>
    <w:rsid w:val="003C0209"/>
    <w:rsid w:val="006A55DC"/>
    <w:rsid w:val="008F1112"/>
    <w:rsid w:val="00D41DCE"/>
    <w:rsid w:val="00DD7F24"/>
  </w:rsids>
  <m:mathPr>
    <m:mathFont m:val="Cambria Math"/>
    <m:brkBin m:val="before"/>
    <m:brkBinSub m:val="--"/>
    <m:smallFrac m:val="0"/>
    <m:dispDef/>
    <m:lMargin m:val="0"/>
    <m:rMargin m:val="0"/>
    <m:defJc m:val="centerGroup"/>
    <m:wrapIndent m:val="1440"/>
    <m:intLim m:val="subSup"/>
    <m:naryLim m:val="undOvr"/>
  </m:mathPr>
  <w:themeFontLang w:val="fr-BF"/>
  <w:clrSchemeMapping w:bg1="light1" w:t1="dark1" w:bg2="light2" w:t2="dark2" w:accent1="accent1" w:accent2="accent2" w:accent3="accent3" w:accent4="accent4" w:accent5="accent5" w:accent6="accent6" w:hyperlink="hyperlink" w:followedHyperlink="followedHyperlink"/>
  <w:decimalSymbol w:val=","/>
  <w:listSeparator w:val=";"/>
  <w14:docId w14:val="00821A47"/>
  <w15:docId w15:val="{322AAE36-FFDF-A641-9027-1A2941166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BF"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00"/>
      <w:outlineLvl w:val="0"/>
    </w:pPr>
    <w:rPr>
      <w:rFonts w:ascii="Arial" w:eastAsia="Arial" w:hAnsi="Arial" w:cs="Arial"/>
      <w:b/>
      <w:bCs/>
      <w:color w:val="1F3864"/>
      <w:sz w:val="32"/>
      <w:szCs w:val="32"/>
    </w:rPr>
  </w:style>
  <w:style w:type="paragraph" w:styleId="Titre2">
    <w:name w:val="heading 2"/>
    <w:uiPriority w:val="9"/>
    <w:unhideWhenUsed/>
    <w:qFormat/>
    <w:pPr>
      <w:spacing w:before="300" w:after="150"/>
      <w:outlineLvl w:val="1"/>
    </w:pPr>
    <w:rPr>
      <w:rFonts w:ascii="Arial" w:eastAsia="Arial" w:hAnsi="Arial" w:cs="Arial"/>
      <w:b/>
      <w:bCs/>
      <w:color w:val="2E5696"/>
      <w:sz w:val="26"/>
      <w:szCs w:val="26"/>
    </w:rPr>
  </w:style>
  <w:style w:type="paragraph" w:styleId="Titre3">
    <w:name w:val="heading 3"/>
    <w:uiPriority w:val="9"/>
    <w:unhideWhenUsed/>
    <w:qFormat/>
    <w:pPr>
      <w:spacing w:before="200" w:after="100"/>
      <w:outlineLvl w:val="2"/>
    </w:pPr>
    <w:rPr>
      <w:rFonts w:ascii="Arial" w:eastAsia="Arial" w:hAnsi="Arial" w:cs="Arial"/>
      <w:b/>
      <w:bCs/>
      <w:color w:val="4472C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21</Pages>
  <Words>6738</Words>
  <Characters>37061</Characters>
  <Application>Microsoft Office Word</Application>
  <DocSecurity>0</DocSecurity>
  <Lines>308</Lines>
  <Paragraphs>87</Paragraphs>
  <ScaleCrop>false</ScaleCrop>
  <Company/>
  <LinksUpToDate>false</LinksUpToDate>
  <CharactersWithSpaces>43712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PATRICK</cp:lastModifiedBy>
  <cp:revision>4</cp:revision>
  <dcterms:created xsi:type="dcterms:W3CDTF">2026-06-20T00:53:00Z</dcterms:created>
  <dcterms:modified xsi:type="dcterms:W3CDTF">2026-06-20T01:02:00Z</dcterms:modified>
</cp:coreProperties>
</file>