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TrustAgent MQTT testbed comprises two components. The trust agent and the trust manager. The trust agent has a json file in which some device properties (e.g. operating system and hardware) are defined. Both the trust manager and the trust agent subscribe to a topic known as RiskyAssessment. The Trust Agent has a json file known as risktable which maps the device properties to numerical values. Once the Trust Manager receives through mqtt the device’s properties it uses the values in the risktable to compute, through a rudimentary computation, a device’s risk.</w:t>
      </w:r>
    </w:p>
    <w:p w:rsidR="00000000" w:rsidDel="00000000" w:rsidP="00000000" w:rsidRDefault="00000000" w:rsidRPr="00000000" w14:paraId="00000002">
      <w:pPr>
        <w:rPr/>
      </w:pPr>
      <w:r w:rsidDel="00000000" w:rsidR="00000000" w:rsidRPr="00000000">
        <w:rPr>
          <w:rtl w:val="0"/>
        </w:rPr>
        <w:t xml:space="preserve">To run the testbed the following commands must be executed on a terminal: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Cd TrustManager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Node npm run </w:t>
      </w:r>
    </w:p>
    <w:p w:rsidR="00000000" w:rsidDel="00000000" w:rsidP="00000000" w:rsidRDefault="00000000" w:rsidRPr="00000000" w14:paraId="00000006">
      <w:pPr>
        <w:rPr/>
      </w:pPr>
      <w:r w:rsidDel="00000000" w:rsidR="00000000" w:rsidRPr="00000000">
        <w:rPr>
          <w:rtl w:val="0"/>
        </w:rPr>
        <w:t xml:space="preserve">These commands start the execution of the TrustManager.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run the trust agent the following commands must be executed on a second terminal: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w:t>
        <w:tab/>
        <w:t xml:space="preserve">Cd TrustAgent</w:t>
      </w:r>
    </w:p>
    <w:p w:rsidR="00000000" w:rsidDel="00000000" w:rsidP="00000000" w:rsidRDefault="00000000" w:rsidRPr="00000000" w14:paraId="0000000B">
      <w:pPr>
        <w:rPr/>
      </w:pPr>
      <w:r w:rsidDel="00000000" w:rsidR="00000000" w:rsidRPr="00000000">
        <w:rPr>
          <w:rtl w:val="0"/>
        </w:rPr>
        <w:t xml:space="preserve">2)</w:t>
        <w:tab/>
        <w:t xml:space="preserve">Node npm high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NOTE: </w:t>
      </w:r>
      <w:r w:rsidDel="00000000" w:rsidR="00000000" w:rsidRPr="00000000">
        <w:rPr>
          <w:rtl w:val="0"/>
        </w:rPr>
        <w:t xml:space="preserve">In the case of the trust agent the node npm can be followed by one of three parameters. These three parameters are low, medium and high.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