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Universidad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SharePoint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D52B01"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46EEF9F7"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CA7980">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D52B01"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D52B01"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D52B01"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D52B01"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D52B01"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(similar to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68EC5831"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CA7980">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nvironmental metrics</w:t>
      </w:r>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30CFDE2A"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CA7980">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209D9029"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CA7980">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453C0BD"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CA7980">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well</w:t>
      </w:r>
      <w:r w:rsidR="00847CF0">
        <w:t xml:space="preserve">, and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r w:rsidR="00055A59">
        <w:t>i.e.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530056D1"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CA7980">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is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47108B49"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CA7980">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42D2BCA5"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CA7980">
        <w:rPr>
          <w:noProof/>
        </w:rPr>
        <w:t>8</w:t>
      </w:r>
      <w:r>
        <w:fldChar w:fldCharType="end"/>
      </w:r>
      <w:bookmarkEnd w:id="16"/>
      <w:r w:rsidRPr="001A4BA7">
        <w:t xml:space="preserve"> Equipment estimate: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name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The default coding for the cost concepts involved in the estimation are denoted with X-Y0Z coding, and a description, a source reference, currency, location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1886109"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CA7980">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7F6A9846"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CA7980">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F5108B0"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CA7980">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3163C04E"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CA7980">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4C0C3275"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w:t>
      </w:r>
      <w:r w:rsidR="0099707F">
        <w:t xml:space="preserve"> In this section, also plant by-product revenues could be potentially accounted for, with a negative cost value. By default, two fuel, raw materials</w:t>
      </w:r>
      <w:r>
        <w:t xml:space="preserve"> </w:t>
      </w:r>
      <w:r w:rsidR="0099707F">
        <w:t xml:space="preserve">or by product costs/revenues are shown in the levelized cost breakdown of the following sheet. </w:t>
      </w:r>
      <w:r>
        <w:t>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BB0E037"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CA7980">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capital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7DC95225"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sidR="00CA7980">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lastRenderedPageBreak/>
        <w:t>Estimate Benchmark</w:t>
      </w:r>
    </w:p>
    <w:p w14:paraId="33973867" w14:textId="3A513B5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99707F">
        <w:t xml:space="preserve">Figure </w:t>
      </w:r>
      <w:r w:rsidR="0099707F">
        <w:rPr>
          <w:noProof/>
        </w:rPr>
        <w:t>15</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 xml:space="preserve">is </w:t>
      </w:r>
      <w:r w:rsidR="0099707F">
        <w:t>shown</w:t>
      </w:r>
      <w:r w:rsidR="00CA4E15">
        <w:t xml:space="preserve"> below. </w:t>
      </w:r>
      <w:r w:rsidR="0099707F">
        <w:t xml:space="preserve">Both estimate and references are also compared in terms of specific costs (per unit of capacity). </w:t>
      </w:r>
      <w:r w:rsidR="00CA4E15">
        <w:t>These figures can be then incorporated to the Estimate Benchmark region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10530626"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CA7980">
        <w:rPr>
          <w:noProof/>
        </w:rPr>
        <w:t>15</w:t>
      </w:r>
      <w:r>
        <w:fldChar w:fldCharType="end"/>
      </w:r>
      <w:bookmarkEnd w:id="23"/>
      <w:r>
        <w:t xml:space="preserve"> Estimate benchmark sheet</w:t>
      </w:r>
    </w:p>
    <w:p w14:paraId="461C228A" w14:textId="738783A9" w:rsidR="0099707F" w:rsidRDefault="00C6571D" w:rsidP="0099707F">
      <w:r>
        <w:t>A macro button allows the user to add more benchmark tables according to the nº of units</w:t>
      </w:r>
      <w:r w:rsidR="00CA4E15">
        <w:t>/items</w:t>
      </w:r>
      <w:r>
        <w:t xml:space="preserve"> that need to be assessed. Reference values for cost and capacity </w:t>
      </w:r>
      <w:r w:rsidR="0099707F">
        <w:t xml:space="preserve">of units </w:t>
      </w:r>
      <w:r>
        <w:t xml:space="preserve">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r w:rsidR="0099707F">
        <w:t>This feature allows to assess critically if the estimate obtained is reasonable and how it compares with previous economic studies. Up to 5 references can be introduced for benchmarking. It is recommended to thoroughly verify that such references cover the same unit scope as the estimate for a consistent comparison.</w:t>
      </w:r>
    </w:p>
    <w:p w14:paraId="30D2D325" w14:textId="29988A5E" w:rsidR="007C17C7" w:rsidRDefault="007C17C7" w:rsidP="007C17C7">
      <w:pPr>
        <w:pStyle w:val="Heading2"/>
        <w:spacing w:before="0"/>
      </w:pPr>
      <w:r>
        <w:t>Uncertainty Quantification</w:t>
      </w:r>
    </w:p>
    <w:p w14:paraId="5C0112A9" w14:textId="61EB665B" w:rsidR="007C17C7" w:rsidRDefault="007C17C7" w:rsidP="007C17C7">
      <w:pPr>
        <w:spacing w:before="240"/>
      </w:pPr>
      <w:r>
        <w:t xml:space="preserve">Statistical analysis of economic indicators is available in the “Uncertainty Quantification” tab, shown in </w:t>
      </w:r>
      <w:r w:rsidR="00CA7980">
        <w:rPr>
          <w:highlight w:val="yellow"/>
        </w:rPr>
        <w:fldChar w:fldCharType="begin"/>
      </w:r>
      <w:r w:rsidR="00CA7980">
        <w:instrText xml:space="preserve"> REF _Ref114125377 \h </w:instrText>
      </w:r>
      <w:r w:rsidR="00CA7980">
        <w:rPr>
          <w:highlight w:val="yellow"/>
        </w:rPr>
      </w:r>
      <w:r w:rsidR="00CA7980">
        <w:rPr>
          <w:highlight w:val="yellow"/>
        </w:rPr>
        <w:fldChar w:fldCharType="separate"/>
      </w:r>
      <w:r w:rsidR="00CA7980">
        <w:t xml:space="preserve">Figure </w:t>
      </w:r>
      <w:r w:rsidR="00CA7980">
        <w:rPr>
          <w:noProof/>
        </w:rPr>
        <w:t>16</w:t>
      </w:r>
      <w:r w:rsidR="00CA7980">
        <w:rPr>
          <w:highlight w:val="yellow"/>
        </w:rPr>
        <w:fldChar w:fldCharType="end"/>
      </w:r>
      <w:r>
        <w:t>. This requires the specification of several experimental variables using the add/remove buttons. The tool allows to specify normal or skewed distributions for such variables, by introducing mean, high and low values. The EXP macro generates a set of experiments corresponding to the nº of trials selected. The RUN macro evaluates the economic indicator (LCOP, TOC, IRR</w:t>
      </w:r>
      <w:r w:rsidR="00373F7B">
        <w:t xml:space="preserve"> &amp; NPV)</w:t>
      </w:r>
      <w:r>
        <w:t xml:space="preserve"> </w:t>
      </w:r>
      <w:r w:rsidR="00373F7B">
        <w:t>for each experimental set. Subsequently, the SORT macro determines statistical output such as median, high and low values (for a given confidence interval) as well as average, maximum and minimum values of the economic indicator.</w:t>
      </w:r>
      <w:r w:rsidR="0020577C">
        <w:t xml:space="preserve"> The PLOT macro provides a graphical representation of the</w:t>
      </w:r>
      <w:r w:rsidR="00A15987">
        <w:t xml:space="preserve"> distribution of experimental variable</w:t>
      </w:r>
      <w:r w:rsidR="007F267C">
        <w:t>s</w:t>
      </w:r>
      <w:r w:rsidR="00A15987">
        <w:t xml:space="preserve"> and</w:t>
      </w:r>
      <w:r w:rsidR="007F267C">
        <w:t xml:space="preserve"> economic indicator</w:t>
      </w:r>
      <w:r w:rsidR="00A15987">
        <w:t xml:space="preserve">, </w:t>
      </w:r>
      <w:r w:rsidR="007F267C">
        <w:t>and a best fit line between them</w:t>
      </w:r>
      <w:r w:rsidR="0020577C">
        <w:t xml:space="preserve"> </w:t>
      </w:r>
      <w:r w:rsidR="007F267C">
        <w:t>to identify the if they are significantly correlated.</w:t>
      </w:r>
    </w:p>
    <w:p w14:paraId="4C914D45" w14:textId="77777777" w:rsidR="00CA7980" w:rsidRDefault="00CA7980" w:rsidP="00CA7980">
      <w:pPr>
        <w:keepNext/>
        <w:spacing w:before="240"/>
      </w:pPr>
      <w:r w:rsidRPr="00CA7980">
        <w:rPr>
          <w:noProof/>
        </w:rPr>
        <w:lastRenderedPageBreak/>
        <w:drawing>
          <wp:inline distT="0" distB="0" distL="0" distR="0" wp14:anchorId="0D905550" wp14:editId="19EA80ED">
            <wp:extent cx="5731510" cy="1920240"/>
            <wp:effectExtent l="0" t="0" r="254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252A7CB7" w14:textId="1EC296E3" w:rsidR="00CA7980" w:rsidRDefault="00CA7980" w:rsidP="00CA7980">
      <w:pPr>
        <w:pStyle w:val="Caption"/>
        <w:jc w:val="center"/>
      </w:pPr>
      <w:bookmarkStart w:id="24" w:name="_Ref114125377"/>
      <w:r>
        <w:t xml:space="preserve">Figure </w:t>
      </w:r>
      <w:r>
        <w:fldChar w:fldCharType="begin"/>
      </w:r>
      <w:r>
        <w:instrText xml:space="preserve"> SEQ Figure \* ARABIC </w:instrText>
      </w:r>
      <w:r>
        <w:fldChar w:fldCharType="separate"/>
      </w:r>
      <w:r>
        <w:rPr>
          <w:noProof/>
        </w:rPr>
        <w:t>16</w:t>
      </w:r>
      <w:r>
        <w:fldChar w:fldCharType="end"/>
      </w:r>
      <w:bookmarkEnd w:id="24"/>
      <w:r>
        <w:t xml:space="preserve"> Uncertainty quantification sheet</w:t>
      </w:r>
    </w:p>
    <w:p w14:paraId="2A235689" w14:textId="5C59EAE5" w:rsidR="00CA7980" w:rsidRPr="00CA7980" w:rsidRDefault="00CA7980" w:rsidP="00CA7980">
      <w:r>
        <w:t>The list of experimental sets and results for the economic indicator are available on the right hand side of the sheet for further manipulation by the user.</w:t>
      </w:r>
    </w:p>
    <w:p w14:paraId="1DEBF494" w14:textId="77777777" w:rsidR="00F94EF2" w:rsidRDefault="00F94EF2" w:rsidP="00033784">
      <w:pPr>
        <w:pStyle w:val="Heading2"/>
      </w:pPr>
      <w:r>
        <w:t>Cash Flow Analysis</w:t>
      </w:r>
    </w:p>
    <w:p w14:paraId="001299DA" w14:textId="689719A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CA7980" w:rsidRPr="0023391F">
        <w:t xml:space="preserve">Figure </w:t>
      </w:r>
      <w:r w:rsidR="00CA7980">
        <w:rPr>
          <w:noProof/>
        </w:rPr>
        <w:t>17</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5"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5"/>
          </w:p>
        </w:tc>
      </w:tr>
    </w:tbl>
    <w:p w14:paraId="0267FEC7" w14:textId="75961E3B"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35AF0E3E" w14:textId="77777777" w:rsidR="00345C69" w:rsidRDefault="00345C69" w:rsidP="00345C69">
      <w:r>
        <w:t>NPV and IRR calculations are performed assuming a tax rate and a depreciation period in the economic assumptions section. Depreciation reduces the taxable income every year by subtracting from the gross cash flow the annual depreciation to apply the tax rate. A straight line depreciation is assumed, and a default depreciation period of ten years is taken for process equipment. A salvage value as % of TOC can be considered at the end of the plant operational life.</w:t>
      </w:r>
    </w:p>
    <w:p w14:paraId="1B12A776" w14:textId="77777777" w:rsidR="00345C69" w:rsidRDefault="00345C69" w:rsidP="00907D39"/>
    <w:p w14:paraId="6AA5DAAD" w14:textId="065A5E09" w:rsidR="0023391F" w:rsidRDefault="006434F8" w:rsidP="0023391F">
      <w:pPr>
        <w:keepNext/>
        <w:spacing w:before="240"/>
      </w:pPr>
      <w:r>
        <w:rPr>
          <w:noProof/>
        </w:rPr>
        <w:lastRenderedPageBreak/>
        <w:drawing>
          <wp:inline distT="0" distB="0" distL="0" distR="0" wp14:anchorId="02CE5B79" wp14:editId="512B54A0">
            <wp:extent cx="5727700" cy="29146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a:noFill/>
                    </a:ln>
                  </pic:spPr>
                </pic:pic>
              </a:graphicData>
            </a:graphic>
          </wp:inline>
        </w:drawing>
      </w:r>
    </w:p>
    <w:p w14:paraId="77C31C80" w14:textId="103182FB" w:rsidR="0023391F" w:rsidRDefault="0023391F" w:rsidP="0023391F">
      <w:pPr>
        <w:pStyle w:val="Caption"/>
        <w:jc w:val="center"/>
      </w:pPr>
      <w:bookmarkStart w:id="26" w:name="_Ref69841172"/>
      <w:r w:rsidRPr="0023391F">
        <w:t xml:space="preserve">Figure </w:t>
      </w:r>
      <w:r>
        <w:fldChar w:fldCharType="begin"/>
      </w:r>
      <w:r w:rsidRPr="0023391F">
        <w:instrText xml:space="preserve"> SEQ Figure \* ARABIC </w:instrText>
      </w:r>
      <w:r>
        <w:fldChar w:fldCharType="separate"/>
      </w:r>
      <w:r w:rsidR="00CA7980">
        <w:rPr>
          <w:noProof/>
        </w:rPr>
        <w:t>17</w:t>
      </w:r>
      <w:r>
        <w:fldChar w:fldCharType="end"/>
      </w:r>
      <w:bookmarkEnd w:id="26"/>
      <w:r w:rsidRPr="0023391F">
        <w:t xml:space="preserve"> CFA sheet: plant summary, economic assumptions</w:t>
      </w:r>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7"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7"/>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1D816829" w:rsidR="00E34F23" w:rsidRDefault="000341A4" w:rsidP="00907D39">
      <w:r>
        <w:t>T</w:t>
      </w:r>
      <w:r w:rsidR="003815C3">
        <w:t xml:space="preserve">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0885A339" w14:textId="5FCBBB86" w:rsidR="000341A4" w:rsidRDefault="000341A4" w:rsidP="00907D39">
      <w:r>
        <w:t xml:space="preserve">Finally, below the cash flow table a section is available to carry out sensitivity analysis to key process and economic </w:t>
      </w:r>
      <w:r w:rsidR="002E5C9C">
        <w:t>assumptions</w:t>
      </w:r>
      <w:r w:rsidR="0099707F">
        <w:t xml:space="preserve"> automatically;</w:t>
      </w:r>
      <w:r w:rsidR="002E5C9C">
        <w:t xml:space="preserve"> and</w:t>
      </w:r>
      <w:r>
        <w:t xml:space="preserve"> is depicted in </w:t>
      </w:r>
      <w:r w:rsidR="002E5C9C">
        <w:fldChar w:fldCharType="begin"/>
      </w:r>
      <w:r w:rsidR="002E5C9C">
        <w:instrText xml:space="preserve"> REF _Ref82012469 \h </w:instrText>
      </w:r>
      <w:r w:rsidR="002E5C9C">
        <w:fldChar w:fldCharType="separate"/>
      </w:r>
      <w:r w:rsidR="0099707F">
        <w:t xml:space="preserve">Figure </w:t>
      </w:r>
      <w:r w:rsidR="0099707F">
        <w:rPr>
          <w:noProof/>
        </w:rPr>
        <w:t>17</w:t>
      </w:r>
      <w:r w:rsidR="002E5C9C">
        <w:fldChar w:fldCharType="end"/>
      </w:r>
      <w:r w:rsidR="002E5C9C">
        <w:t>.</w:t>
      </w:r>
      <w:r>
        <w:t xml:space="preserve"> The user must introduce the independent variable which is evaluated (usually, but not limited to, the LCOP) and the manipulated variable with the corresponding units. Add and remove buttons are placed to the right, allowing to perform sensitivity studies </w:t>
      </w:r>
      <w:r w:rsidR="002E5C9C">
        <w:t>for a large number of</w:t>
      </w:r>
      <w:r>
        <w:t xml:space="preserve"> variables simultaneously. The base value for the manipulated variable must be </w:t>
      </w:r>
      <w:r w:rsidR="002E5C9C">
        <w:t>specified</w:t>
      </w:r>
      <w:r>
        <w:t>, as well as the nº of points and the increment</w:t>
      </w:r>
      <w:r w:rsidR="002E5C9C">
        <w:t xml:space="preserve"> size</w:t>
      </w:r>
      <w:r>
        <w:t>. By default, the sensitivity cases are distributed evenly from the base value</w:t>
      </w:r>
      <w:r w:rsidR="009D71DC">
        <w:t xml:space="preserve">; it is most intuitive to select a nº of points such that the </w:t>
      </w:r>
      <w:r w:rsidR="0099707F">
        <w:t>exact</w:t>
      </w:r>
      <w:r w:rsidR="009D71DC">
        <w:t xml:space="preserve"> base value sensitivity is carried out</w:t>
      </w:r>
      <w:r>
        <w:t>. The independent variable result from the spreadsheet cell must be imported to the</w:t>
      </w:r>
      <w:r w:rsidR="002E5C9C">
        <w:t xml:space="preserve"> corresponding cell in the</w:t>
      </w:r>
      <w:r>
        <w:t xml:space="preserve"> Sensitivity</w:t>
      </w:r>
      <w:r w:rsidR="002E5C9C">
        <w:t xml:space="preserve"> Analysis table</w:t>
      </w:r>
      <w:r>
        <w:t xml:space="preserve">, while the manipulated variable cell must be linked (coded) to the spreadsheet where the specific calculation is carried out (Opex, economic assumption etc.). The solver performs the sensitivity </w:t>
      </w:r>
      <w:r w:rsidR="00901FAB">
        <w:t xml:space="preserve">analysis </w:t>
      </w:r>
      <w:r>
        <w:t xml:space="preserve">to a specific variable with </w:t>
      </w:r>
      <w:r w:rsidR="002E5C9C">
        <w:t>a fixed</w:t>
      </w:r>
      <w:r>
        <w:t xml:space="preserve"> base value for the remaining manipulated variables of the table</w:t>
      </w:r>
      <w:r w:rsidR="002E5C9C">
        <w:t xml:space="preserve"> list</w:t>
      </w:r>
      <w:r>
        <w:t xml:space="preserve">. Results are listed further to the right, where a section is formatted for two sensitivity variables with </w:t>
      </w:r>
      <w:r w:rsidR="002E5C9C">
        <w:t>five</w:t>
      </w:r>
      <w:r>
        <w:t xml:space="preserve"> points each (the user should modify </w:t>
      </w:r>
      <w:r w:rsidR="002E5C9C">
        <w:t xml:space="preserve">the format </w:t>
      </w:r>
      <w:r>
        <w:t xml:space="preserve">accordingly to </w:t>
      </w:r>
      <w:r w:rsidR="0099707F">
        <w:t>the evaluation</w:t>
      </w:r>
      <w:r>
        <w:t xml:space="preserve"> requirements). </w:t>
      </w:r>
      <w:r w:rsidR="006E13C7">
        <w:t xml:space="preserve">The </w:t>
      </w:r>
      <w:r w:rsidR="006E13C7">
        <w:lastRenderedPageBreak/>
        <w:t xml:space="preserve">solver carries out a final cash flow analysis with all manipulated variables set to the base value. </w:t>
      </w:r>
      <w:r>
        <w:t>Automatic plots are generated further to the right</w:t>
      </w:r>
      <w:r w:rsidR="006E13C7">
        <w:t xml:space="preserve"> with the results</w:t>
      </w:r>
      <w:r>
        <w:t xml:space="preserve">. </w:t>
      </w:r>
      <w:r w:rsidR="008113C6">
        <w:t>A small note is added in this section of the sheet to provide clear instructions for the user.</w:t>
      </w:r>
    </w:p>
    <w:p w14:paraId="3A5A037A" w14:textId="77777777" w:rsidR="002E5C9C" w:rsidRDefault="002E5C9C" w:rsidP="002E5C9C">
      <w:pPr>
        <w:keepNext/>
      </w:pPr>
      <w:r>
        <w:rPr>
          <w:noProof/>
        </w:rPr>
        <w:drawing>
          <wp:inline distT="0" distB="0" distL="0" distR="0" wp14:anchorId="6D2881F9" wp14:editId="61118918">
            <wp:extent cx="57245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299D041F" w14:textId="3846953C" w:rsidR="002E5C9C" w:rsidRDefault="002E5C9C" w:rsidP="002E5C9C">
      <w:pPr>
        <w:pStyle w:val="Caption"/>
        <w:jc w:val="center"/>
      </w:pPr>
      <w:bookmarkStart w:id="28" w:name="_Ref82012469"/>
      <w:r>
        <w:t xml:space="preserve">Figure </w:t>
      </w:r>
      <w:r>
        <w:fldChar w:fldCharType="begin"/>
      </w:r>
      <w:r>
        <w:instrText xml:space="preserve"> SEQ Figure \* ARABIC </w:instrText>
      </w:r>
      <w:r>
        <w:fldChar w:fldCharType="separate"/>
      </w:r>
      <w:r w:rsidR="00CA7980">
        <w:rPr>
          <w:noProof/>
        </w:rPr>
        <w:t>18</w:t>
      </w:r>
      <w:r>
        <w:fldChar w:fldCharType="end"/>
      </w:r>
      <w:bookmarkEnd w:id="28"/>
      <w:r>
        <w:t xml:space="preserve"> Sensitivity analysis specifications and results</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D52B01"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D52B01"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D52B0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D52B0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D52B0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D52B0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D52B01"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2"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3"/>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263EB" w14:textId="77777777" w:rsidR="00D52B01" w:rsidRDefault="00D52B01" w:rsidP="001B776F">
      <w:pPr>
        <w:spacing w:after="0" w:line="240" w:lineRule="auto"/>
      </w:pPr>
      <w:r>
        <w:separator/>
      </w:r>
    </w:p>
  </w:endnote>
  <w:endnote w:type="continuationSeparator" w:id="0">
    <w:p w14:paraId="7DFC4766" w14:textId="77777777" w:rsidR="00D52B01" w:rsidRDefault="00D52B01" w:rsidP="001B776F">
      <w:pPr>
        <w:spacing w:after="0" w:line="240" w:lineRule="auto"/>
      </w:pPr>
      <w:r>
        <w:continuationSeparator/>
      </w:r>
    </w:p>
  </w:endnote>
  <w:endnote w:type="continuationNotice" w:id="1">
    <w:p w14:paraId="4DC2E1ED" w14:textId="77777777" w:rsidR="00D52B01" w:rsidRDefault="00D52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5472" w14:textId="77777777" w:rsidR="00D52B01" w:rsidRDefault="00D52B01" w:rsidP="001B776F">
      <w:pPr>
        <w:spacing w:after="0" w:line="240" w:lineRule="auto"/>
      </w:pPr>
      <w:r>
        <w:separator/>
      </w:r>
    </w:p>
  </w:footnote>
  <w:footnote w:type="continuationSeparator" w:id="0">
    <w:p w14:paraId="0697DEF1" w14:textId="77777777" w:rsidR="00D52B01" w:rsidRDefault="00D52B01" w:rsidP="001B776F">
      <w:pPr>
        <w:spacing w:after="0" w:line="240" w:lineRule="auto"/>
      </w:pPr>
      <w:r>
        <w:continuationSeparator/>
      </w:r>
    </w:p>
  </w:footnote>
  <w:footnote w:type="continuationNotice" w:id="1">
    <w:p w14:paraId="29ADF0CF" w14:textId="77777777" w:rsidR="00D52B01" w:rsidRDefault="00D52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341A4"/>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0577C"/>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5C9C"/>
    <w:rsid w:val="002E6017"/>
    <w:rsid w:val="002E78E1"/>
    <w:rsid w:val="00301A70"/>
    <w:rsid w:val="003149A6"/>
    <w:rsid w:val="00335C1F"/>
    <w:rsid w:val="00335F38"/>
    <w:rsid w:val="003373C5"/>
    <w:rsid w:val="0034198D"/>
    <w:rsid w:val="00345C69"/>
    <w:rsid w:val="00373F7B"/>
    <w:rsid w:val="00374EE0"/>
    <w:rsid w:val="00380483"/>
    <w:rsid w:val="003812E1"/>
    <w:rsid w:val="003815C3"/>
    <w:rsid w:val="00384E08"/>
    <w:rsid w:val="00390146"/>
    <w:rsid w:val="00391F15"/>
    <w:rsid w:val="003A5D16"/>
    <w:rsid w:val="003A7275"/>
    <w:rsid w:val="003B472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34F8"/>
    <w:rsid w:val="00646484"/>
    <w:rsid w:val="006632AE"/>
    <w:rsid w:val="00675F0A"/>
    <w:rsid w:val="00682EE9"/>
    <w:rsid w:val="00683A46"/>
    <w:rsid w:val="006A51E3"/>
    <w:rsid w:val="006A53AB"/>
    <w:rsid w:val="006C5FB7"/>
    <w:rsid w:val="006D5091"/>
    <w:rsid w:val="006E13C7"/>
    <w:rsid w:val="006E2424"/>
    <w:rsid w:val="006E7619"/>
    <w:rsid w:val="006E777A"/>
    <w:rsid w:val="006F34F0"/>
    <w:rsid w:val="00715B97"/>
    <w:rsid w:val="00761021"/>
    <w:rsid w:val="0076162C"/>
    <w:rsid w:val="00767664"/>
    <w:rsid w:val="0077093B"/>
    <w:rsid w:val="007766BC"/>
    <w:rsid w:val="0077673F"/>
    <w:rsid w:val="00783831"/>
    <w:rsid w:val="007A391C"/>
    <w:rsid w:val="007C17C7"/>
    <w:rsid w:val="007C4B08"/>
    <w:rsid w:val="007D4106"/>
    <w:rsid w:val="007F267C"/>
    <w:rsid w:val="007F4B97"/>
    <w:rsid w:val="00802839"/>
    <w:rsid w:val="008054A9"/>
    <w:rsid w:val="008113C6"/>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1FAB"/>
    <w:rsid w:val="00902A79"/>
    <w:rsid w:val="00907D39"/>
    <w:rsid w:val="009100BA"/>
    <w:rsid w:val="00921EDE"/>
    <w:rsid w:val="00934FDD"/>
    <w:rsid w:val="00944C8B"/>
    <w:rsid w:val="00951836"/>
    <w:rsid w:val="0095250C"/>
    <w:rsid w:val="00975D96"/>
    <w:rsid w:val="00987C96"/>
    <w:rsid w:val="0099707F"/>
    <w:rsid w:val="009A043B"/>
    <w:rsid w:val="009A5A48"/>
    <w:rsid w:val="009B2380"/>
    <w:rsid w:val="009C69F5"/>
    <w:rsid w:val="009D0FDE"/>
    <w:rsid w:val="009D197C"/>
    <w:rsid w:val="009D71DC"/>
    <w:rsid w:val="009E6219"/>
    <w:rsid w:val="009F518B"/>
    <w:rsid w:val="00A0002F"/>
    <w:rsid w:val="00A15987"/>
    <w:rsid w:val="00A3278F"/>
    <w:rsid w:val="00A336AD"/>
    <w:rsid w:val="00A3794B"/>
    <w:rsid w:val="00A37B61"/>
    <w:rsid w:val="00A505B7"/>
    <w:rsid w:val="00A73462"/>
    <w:rsid w:val="00A7425F"/>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1A2"/>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A7980"/>
    <w:rsid w:val="00CB06E5"/>
    <w:rsid w:val="00CB1024"/>
    <w:rsid w:val="00CB4E7F"/>
    <w:rsid w:val="00CB693D"/>
    <w:rsid w:val="00CC3A85"/>
    <w:rsid w:val="00CD2C3F"/>
    <w:rsid w:val="00CF2BA2"/>
    <w:rsid w:val="00D04A98"/>
    <w:rsid w:val="00D3257A"/>
    <w:rsid w:val="00D33DBB"/>
    <w:rsid w:val="00D409D0"/>
    <w:rsid w:val="00D47451"/>
    <w:rsid w:val="00D50905"/>
    <w:rsid w:val="00D52B01"/>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462ED"/>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19BD"/>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hyperlink" Target="http://www.chemengonline.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5986</Words>
  <Characters>34126</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13</cp:revision>
  <dcterms:created xsi:type="dcterms:W3CDTF">2021-09-08T14:41:00Z</dcterms:created>
  <dcterms:modified xsi:type="dcterms:W3CDTF">2025-04-22T14:06:00Z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