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w:t>
      </w:r>
      <w:proofErr w:type="gramStart"/>
      <w:r w:rsidRPr="00524FAC">
        <w:rPr>
          <w:lang w:val="es-AR"/>
        </w:rPr>
        <w:t>Universidad</w:t>
      </w:r>
      <w:proofErr w:type="gramEnd"/>
      <w:r w:rsidRPr="00524FAC">
        <w:rPr>
          <w:lang w:val="es-AR"/>
        </w:rPr>
        <w:t xml:space="preserve">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67279ECE"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65165DF2"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commentRangeStart w:id="0"/>
      <w:r>
        <w:t>here</w:t>
      </w:r>
      <w:commentRangeEnd w:id="0"/>
      <w:r>
        <w:rPr>
          <w:rStyle w:val="CommentReference"/>
        </w:rPr>
        <w:commentReference w:id="0"/>
      </w:r>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46E51E46"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rsidR="005E2535">
        <w:t xml:space="preserve">a </w:t>
      </w:r>
      <w:hyperlink r:id="rId15" w:history="1">
        <w:r w:rsidR="005E2535" w:rsidRPr="00540CA5">
          <w:rPr>
            <w:rStyle w:val="Hyperlink"/>
          </w:rPr>
          <w:t>General Public License</w:t>
        </w:r>
      </w:hyperlink>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2E78A364" w:rsidR="00EA353A" w:rsidRDefault="00EA353A" w:rsidP="00A827FD">
      <w:pPr>
        <w:spacing w:before="240"/>
      </w:pPr>
      <w:r>
        <w:t xml:space="preserve">The capital cost levels for “overnight costs”, expressed </w:t>
      </w:r>
      <w:r w:rsidR="001115A7">
        <w:t xml:space="preserve">for </w:t>
      </w:r>
      <w:r w:rsidR="00DB72DD">
        <w:t xml:space="preserve">a </w:t>
      </w:r>
      <w:r w:rsidR="001115A7">
        <w:t>chosen target</w:t>
      </w:r>
      <w:r w:rsidR="00DB72DD">
        <w:t xml:space="preserve"> </w:t>
      </w:r>
      <w:r w:rsidR="00E96B7A">
        <w:t xml:space="preserve">basis (defined by a </w:t>
      </w:r>
      <w:r>
        <w:t>year</w:t>
      </w:r>
      <w:r w:rsidR="001115A7">
        <w:t>,</w:t>
      </w:r>
      <w:r>
        <w:t xml:space="preserve"> currency</w:t>
      </w:r>
      <w:r w:rsidR="001115A7">
        <w:t>,</w:t>
      </w:r>
      <w:r>
        <w:t xml:space="preserve"> and </w:t>
      </w:r>
      <w:r w:rsidR="00E96B7A">
        <w:t>location)</w:t>
      </w:r>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733EC9FE"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r w:rsidR="00E96B7A">
        <w:t xml:space="preserve">basis </w:t>
      </w:r>
      <w:r>
        <w:t>currency, cost year</w:t>
      </w:r>
      <w:r w:rsidR="001115A7">
        <w:t>,</w:t>
      </w:r>
      <w:r>
        <w:t xml:space="preserve"> and location</w:t>
      </w:r>
      <w:r w:rsidR="001115A7">
        <w:t xml:space="preserve"> depend on the cost correlations </w:t>
      </w:r>
      <w:r w:rsidR="00A827FD">
        <w:t xml:space="preserve">references of the original source </w:t>
      </w:r>
      <w:r w:rsidR="001115A7">
        <w:t xml:space="preserve">employed. Since different units can be assessed using data from </w:t>
      </w:r>
      <w:r w:rsidR="00E96B7A">
        <w:t>diverse</w:t>
      </w:r>
      <w:r w:rsidR="001115A7">
        <w:t xml:space="preserve"> sources</w:t>
      </w:r>
      <w:r>
        <w:t>,</w:t>
      </w:r>
      <w:r w:rsidR="001115A7">
        <w:t xml:space="preserve"> </w:t>
      </w:r>
      <w:r w:rsidR="001115A7">
        <w:lastRenderedPageBreak/>
        <w:t>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r w:rsidR="00E96B7A">
        <w:t xml:space="preserve"> an</w:t>
      </w:r>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r w:rsidR="00E96B7A">
        <w:t>basis</w:t>
      </w:r>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001"/>
        <w:gridCol w:w="973"/>
      </w:tblGrid>
      <w:tr w:rsidR="008F500C" w14:paraId="4795BDE3" w14:textId="0184504E" w:rsidTr="00E11447">
        <w:tc>
          <w:tcPr>
            <w:tcW w:w="7052" w:type="dxa"/>
            <w:vAlign w:val="center"/>
          </w:tcPr>
          <w:p w14:paraId="3B3DDD96" w14:textId="77777777" w:rsidR="008F500C" w:rsidRPr="0015008D" w:rsidRDefault="00715B97"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
          <w:p w14:paraId="4F6A99A9" w14:textId="526EC3BD" w:rsidR="008F500C" w:rsidRPr="00D50905" w:rsidRDefault="008F500C" w:rsidP="00191A0F">
            <w:pPr>
              <w:pStyle w:val="Caption"/>
              <w:spacing w:after="0"/>
              <w:jc w:val="center"/>
              <w:rPr>
                <w:i w:val="0"/>
              </w:rPr>
            </w:pPr>
            <w:bookmarkStart w:id="1"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1"/>
          </w:p>
        </w:tc>
        <w:tc>
          <w:tcPr>
            <w:tcW w:w="973" w:type="dxa"/>
          </w:tcPr>
          <w:p w14:paraId="4C0963DA" w14:textId="77777777" w:rsidR="008F500C" w:rsidRPr="00D50905" w:rsidRDefault="008F500C" w:rsidP="00191A0F">
            <w:pPr>
              <w:pStyle w:val="Caption"/>
              <w:spacing w:after="0"/>
              <w:jc w:val="center"/>
              <w:rPr>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xml:space="preserve">. </w:t>
      </w:r>
      <w:proofErr w:type="gramStart"/>
      <w:r w:rsidR="00F92C88">
        <w:t>These factors</w:t>
      </w:r>
      <w:r w:rsidR="00C06EA3">
        <w:t>,</w:t>
      </w:r>
      <w:proofErr w:type="gramEnd"/>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1522059E" w:rsidR="006D5091" w:rsidRPr="006D5091" w:rsidRDefault="00525C78" w:rsidP="006D5091">
      <w:pPr>
        <w:pStyle w:val="Caption"/>
        <w:jc w:val="center"/>
      </w:pPr>
      <w:bookmarkStart w:id="2" w:name="_Ref69743715"/>
      <w:r w:rsidRPr="006D5091">
        <w:t xml:space="preserve">Figure </w:t>
      </w:r>
      <w:r>
        <w:fldChar w:fldCharType="begin"/>
      </w:r>
      <w:r w:rsidRPr="006D5091">
        <w:instrText xml:space="preserve"> SEQ Figure \* ARABIC </w:instrText>
      </w:r>
      <w:r>
        <w:fldChar w:fldCharType="separate"/>
      </w:r>
      <w:r w:rsidR="00DF0309">
        <w:rPr>
          <w:noProof/>
        </w:rPr>
        <w:t>1</w:t>
      </w:r>
      <w:r>
        <w:fldChar w:fldCharType="end"/>
      </w:r>
      <w:bookmarkEnd w:id="2"/>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3" w:name="_Ref70022809"/>
      <w:r>
        <w:t>Equipment Approach</w:t>
      </w:r>
      <w:bookmarkEnd w:id="3"/>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715B97"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4"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4"/>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715B97"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5"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5"/>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715B97"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6"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6"/>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proofErr w:type="gramStart"/>
      <w:r>
        <w:t>)</w:t>
      </w:r>
      <w:r w:rsidR="00DB1339">
        <w:t>.</w:t>
      </w:r>
      <w:proofErr w:type="gramEnd"/>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715B97"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7"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7"/>
          </w:p>
        </w:tc>
      </w:tr>
    </w:tbl>
    <w:p w14:paraId="5BF384D3" w14:textId="4C43BEDD" w:rsidR="00525082" w:rsidRDefault="00715B97"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w:t>
      </w:r>
      <w:proofErr w:type="gramStart"/>
      <w:r w:rsidR="00BA04F9">
        <w:t>similar to</w:t>
      </w:r>
      <w:proofErr w:type="gramEnd"/>
      <w:r w:rsidR="00BA04F9">
        <w:t xml:space="preserve">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8" w:name="_Ref70060302"/>
      <w:r>
        <w:rPr>
          <w:rFonts w:eastAsiaTheme="minorEastAsia"/>
        </w:rPr>
        <w:t>Scaling Approach</w:t>
      </w:r>
      <w:bookmarkEnd w:id="8"/>
    </w:p>
    <w:p w14:paraId="0D58D172" w14:textId="3D24AFDA"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w:t>
      </w:r>
      <w:r w:rsidR="005A31D2">
        <w:t>specific cost</w:t>
      </w:r>
      <w:r w:rsidR="00184251">
        <w:t xml:space="preserve"> (cost per unit capacity)</w:t>
      </w:r>
      <w:r w:rsidR="005A31D2">
        <w:t xml:space="preserve"> </w:t>
      </w:r>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9"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9"/>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r w:rsidR="00033784">
        <w:t xml:space="preserve"> Typical values for </w:t>
      </w:r>
      <m:oMath>
        <m:r>
          <w:rPr>
            <w:rFonts w:ascii="Cambria Math" w:hAnsi="Cambria Math"/>
          </w:rPr>
          <m:t>f</m:t>
        </m:r>
      </m:oMath>
      <w:r w:rsidR="00033784">
        <w:rPr>
          <w:rFonts w:eastAsiaTheme="minorEastAsia"/>
        </w:rPr>
        <w:t xml:space="preserve"> and </w:t>
      </w:r>
      <m:oMath>
        <m:r>
          <w:rPr>
            <w:rFonts w:ascii="Cambria Math" w:eastAsiaTheme="minorEastAsia" w:hAnsi="Cambria Math"/>
          </w:rPr>
          <m:t>e</m:t>
        </m:r>
      </m:oMath>
      <w:r w:rsidR="00033784">
        <w:rPr>
          <w:rFonts w:eastAsiaTheme="minorEastAsia"/>
        </w:rPr>
        <w:t xml:space="preserve"> are 0.67 and 0.9, respectively. </w:t>
      </w:r>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10"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10"/>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A3278F">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D34B8">
            <w:pPr>
              <w:jc w:val="center"/>
            </w:pPr>
            <w:r>
              <w:t>Source</w:t>
            </w:r>
          </w:p>
        </w:tc>
        <w:tc>
          <w:tcPr>
            <w:tcW w:w="1475" w:type="dxa"/>
            <w:vAlign w:val="center"/>
          </w:tcPr>
          <w:p w14:paraId="6F196913" w14:textId="77777777" w:rsidR="00125F64" w:rsidRDefault="00125F64" w:rsidP="00ED34B8">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D34B8">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D34B8">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A3278F">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D34B8">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D34B8">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A3278F">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77777777" w:rsidR="00125F64" w:rsidRPr="00ED34B8" w:rsidRDefault="00125F64" w:rsidP="00ED34B8">
            <w:pPr>
              <w:jc w:val="center"/>
              <w:rPr>
                <w:b w:val="0"/>
              </w:rPr>
            </w:pPr>
            <w:r w:rsidRPr="00ED34B8">
              <w:rPr>
                <w:b w:val="0"/>
              </w:rPr>
              <w:t>Cost and Performance Baseline for Fossil Energy Plants</w:t>
            </w:r>
          </w:p>
        </w:tc>
        <w:tc>
          <w:tcPr>
            <w:tcW w:w="1475" w:type="dxa"/>
            <w:vAlign w:val="center"/>
          </w:tcPr>
          <w:p w14:paraId="37F0B962" w14:textId="2904C69C" w:rsidR="00A3278F" w:rsidRDefault="00125F64" w:rsidP="00A3278F">
            <w:pPr>
              <w:jc w:val="center"/>
              <w:cnfStyle w:val="000000000000" w:firstRow="0" w:lastRow="0" w:firstColumn="0" w:lastColumn="0" w:oddVBand="0" w:evenVBand="0" w:oddHBand="0" w:evenHBand="0" w:firstRowFirstColumn="0" w:firstRowLastColumn="0" w:lastRowFirstColumn="0" w:lastRowLastColumn="0"/>
            </w:pPr>
            <w:r>
              <w:t>2007</w:t>
            </w:r>
          </w:p>
          <w:p w14:paraId="7408EC73" w14:textId="374418A1" w:rsidR="00125F64" w:rsidRDefault="00125F64" w:rsidP="00ED34B8">
            <w:pPr>
              <w:jc w:val="center"/>
              <w:cnfStyle w:val="000000000000" w:firstRow="0" w:lastRow="0" w:firstColumn="0" w:lastColumn="0" w:oddVBand="0" w:evenVBand="0" w:oddHBand="0" w:evenHBand="0" w:firstRowFirstColumn="0" w:firstRowLastColumn="0" w:lastRowFirstColumn="0" w:lastRowLastColumn="0"/>
            </w:pPr>
            <w:r>
              <w:t>2013</w:t>
            </w:r>
          </w:p>
          <w:p w14:paraId="4A7196AE" w14:textId="6C90591E" w:rsidR="00A3278F" w:rsidRDefault="00A3278F" w:rsidP="00ED34B8">
            <w:pPr>
              <w:jc w:val="center"/>
              <w:cnfStyle w:val="000000000000" w:firstRow="0" w:lastRow="0" w:firstColumn="0" w:lastColumn="0" w:oddVBand="0" w:evenVBand="0" w:oddHBand="0" w:evenHBand="0" w:firstRowFirstColumn="0" w:firstRowLastColumn="0" w:lastRowFirstColumn="0" w:lastRowLastColumn="0"/>
            </w:pPr>
            <w:r>
              <w:t>2015</w:t>
            </w:r>
          </w:p>
          <w:p w14:paraId="1563FF2D" w14:textId="6F0CD271" w:rsidR="00125F64" w:rsidRDefault="00125F64" w:rsidP="00ED34B8">
            <w:pPr>
              <w:jc w:val="center"/>
              <w:cnfStyle w:val="000000000000" w:firstRow="0" w:lastRow="0" w:firstColumn="0" w:lastColumn="0" w:oddVBand="0" w:evenVBand="0" w:oddHBand="0" w:evenHBand="0" w:firstRowFirstColumn="0" w:firstRowLastColumn="0" w:lastRowFirstColumn="0" w:lastRowLastColumn="0"/>
            </w:pPr>
            <w:r>
              <w:t>201</w:t>
            </w:r>
            <w:r w:rsidR="00A3278F">
              <w:t>8</w:t>
            </w:r>
          </w:p>
        </w:tc>
        <w:tc>
          <w:tcPr>
            <w:tcW w:w="1448" w:type="dxa"/>
            <w:vAlign w:val="center"/>
          </w:tcPr>
          <w:p w14:paraId="38411D84"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65581FFD" w:rsidR="00125F64"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RW.CITE{{doc:608009538f0883650b7c602b Zoelle,AlexanderJ 2018; doc:60800b6b8f0883650b7c644a Zoelle,Alexander 2015; doc:608008de8f08012ce2024cdc DOENETL-20101397,Revision2a 2013; doc:608008c68f088f580585aabf Klara,JulianneM 2007}}</w:instrText>
            </w:r>
            <w:r w:rsidRPr="00A3278F">
              <w:fldChar w:fldCharType="separate"/>
            </w:r>
            <w:r w:rsidRPr="00A3278F">
              <w:rPr>
                <w:rFonts w:ascii="Calibri" w:hAnsi="Calibri" w:cs="Calibri"/>
                <w:bCs/>
              </w:rPr>
              <w:t>[1-4]</w:t>
            </w:r>
            <w:r w:rsidRPr="00A3278F">
              <w:fldChar w:fldCharType="end"/>
            </w:r>
          </w:p>
        </w:tc>
      </w:tr>
      <w:tr w:rsidR="00125F64" w14:paraId="444E5ACB" w14:textId="77777777" w:rsidTr="00A3278F">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D34B8">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D34B8">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049C4D51" w:rsidR="00125F64"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A827FD" w:rsidRPr="00A827FD">
              <w:rPr>
                <w:rFonts w:ascii="Calibri" w:hAnsi="Calibri" w:cs="Calibri"/>
                <w:bCs/>
              </w:rPr>
              <w:t>[12]</w:t>
            </w:r>
            <w:r w:rsidRPr="00A3278F">
              <w:fldChar w:fldCharType="end"/>
            </w:r>
          </w:p>
        </w:tc>
      </w:tr>
      <w:tr w:rsidR="00ED34B8" w14:paraId="1626F388" w14:textId="77777777" w:rsidTr="00A3278F">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D34B8">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D34B8">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D34B8">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1717FEC9" w:rsidR="00ED34B8" w:rsidRPr="00ED34B8" w:rsidRDefault="00A3278F" w:rsidP="00ED34B8">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A827FD" w:rsidRPr="00A827FD">
              <w:rPr>
                <w:rFonts w:ascii="Calibri" w:hAnsi="Calibri" w:cs="Calibri"/>
                <w:bCs/>
              </w:rPr>
              <w:t>[13]</w:t>
            </w:r>
            <w:r w:rsidRPr="009E6219">
              <w:fldChar w:fldCharType="end"/>
            </w:r>
          </w:p>
        </w:tc>
      </w:tr>
    </w:tbl>
    <w:p w14:paraId="6F597548" w14:textId="77777777" w:rsidR="006D5091" w:rsidRPr="00EC5550" w:rsidRDefault="006D5091" w:rsidP="0077673F"/>
    <w:p w14:paraId="55F532EE" w14:textId="77777777" w:rsidR="00EA353A" w:rsidRDefault="00EA353A" w:rsidP="00033784">
      <w:pPr>
        <w:pStyle w:val="Heading1"/>
      </w:pPr>
      <w:r>
        <w:t xml:space="preserve">SEA </w:t>
      </w:r>
      <w:r w:rsidR="00F94EF2">
        <w:t>Tool</w:t>
      </w:r>
    </w:p>
    <w:p w14:paraId="3AAFC454" w14:textId="13A8F753" w:rsidR="00ED34B8" w:rsidRDefault="00ED34B8" w:rsidP="00907D39">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 xml:space="preserve">spreadsheets. Examples of a specific evaluation are shown, acknowledging that the user may modify or create new </w:t>
      </w:r>
      <w:r w:rsidR="0077673F">
        <w:lastRenderedPageBreak/>
        <w:t>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11"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11"/>
      <w:r w:rsidRPr="003F129D">
        <w:t xml:space="preserve"> Colour coding employed in SEA </w:t>
      </w:r>
      <w:proofErr w:type="gramStart"/>
      <w:r>
        <w:t>tool</w:t>
      </w:r>
      <w:proofErr w:type="gramEnd"/>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5DB86203"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r w:rsidR="00E96B7A">
        <w:t xml:space="preserve"> target basis</w:t>
      </w:r>
      <w:r>
        <w:t>. A wide range of locations</w:t>
      </w:r>
      <w:r w:rsidDel="00E96B7A">
        <w:t xml:space="preserve"> </w:t>
      </w:r>
      <w:r w:rsidR="00E96B7A">
        <w:t xml:space="preserve">are </w:t>
      </w:r>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0EC19BE0"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r w:rsidR="00DA0F72">
        <w:t>, as well as</w:t>
      </w:r>
      <w:r w:rsidR="00951836" w:rsidDel="00DA0F72">
        <w:t xml:space="preserve"> </w:t>
      </w:r>
      <w:r w:rsidR="00DA0F72">
        <w:t>n</w:t>
      </w:r>
      <w:r w:rsidR="00951836">
        <w:t xml:space="preserve">et and gross efficiencies </w:t>
      </w:r>
      <w:r w:rsidR="00DA0F72">
        <w:t xml:space="preserve">can be </w:t>
      </w:r>
      <w:r w:rsidR="00951836">
        <w:t xml:space="preserve">calculated </w:t>
      </w:r>
      <w:r w:rsidR="00DA0F72">
        <w:t>in this section</w:t>
      </w:r>
      <w:r w:rsidR="00951836">
        <w:t xml:space="preserve">. Given the particular focus on sustainability underlying the economic assessment tool, a specific region to reflect the plant environmental performance is available below the energy breakdown. </w:t>
      </w:r>
      <w:r w:rsidR="00537528">
        <w:t xml:space="preserve">Finally, beneath this section the user can specify the </w:t>
      </w:r>
      <w:r w:rsidR="00F06C03">
        <w:t>fuels and raw materials involved in the plant, as well as making specific calculations for these. The user must specify (at least) one plant main product, one emissions item (</w:t>
      </w:r>
      <w:r w:rsidR="00944C8B">
        <w:t>in principle this first emissions parameter is linked to the CO</w:t>
      </w:r>
      <w:r w:rsidR="00944C8B" w:rsidRPr="00B6219D">
        <w:rPr>
          <w:vertAlign w:val="subscript"/>
        </w:rPr>
        <w:t>2</w:t>
      </w:r>
      <w:r w:rsidR="00944C8B">
        <w:t xml:space="preserve"> emissions costs in OPEX sheet) and</w:t>
      </w:r>
      <w:r w:rsidR="002901E1">
        <w:t xml:space="preserve"> up to t</w:t>
      </w:r>
      <w:r w:rsidR="006C5FB7">
        <w:t>wo</w:t>
      </w:r>
      <w:r w:rsidR="002901E1">
        <w:t xml:space="preserve"> fuels</w:t>
      </w:r>
      <w:r w:rsidR="006C5FB7">
        <w:t xml:space="preserve"> </w:t>
      </w:r>
      <w:r w:rsidR="00944C8B">
        <w:t xml:space="preserve">or main raw materials consumed by the plant. </w:t>
      </w:r>
      <w:r w:rsidR="00951836">
        <w:t xml:space="preserve">Naturally, given the large variety of energy sources and performance metrics definitions, </w:t>
      </w:r>
      <w:r w:rsidR="00537528">
        <w:t>these</w:t>
      </w:r>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r w:rsidR="00537528">
        <w:t xml:space="preserve"> if required</w:t>
      </w:r>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78A8EFAD"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DF0309">
        <w:rPr>
          <w:noProof/>
        </w:rPr>
        <w:t>2</w:t>
      </w:r>
      <w:r>
        <w:fldChar w:fldCharType="end"/>
      </w:r>
      <w:r w:rsidR="0044233B">
        <w:t xml:space="preserve"> Plant overview: </w:t>
      </w:r>
      <w:r w:rsidRPr="0077673F">
        <w:t>specification of cost evaluation basis, energy breakdown</w:t>
      </w:r>
      <w:r w:rsidR="0087653D">
        <w:t>,</w:t>
      </w:r>
      <w:r w:rsidRPr="0077673F" w:rsidDel="0087653D">
        <w:t xml:space="preserve"> </w:t>
      </w:r>
      <w:r>
        <w:t>e</w:t>
      </w:r>
      <w:r w:rsidRPr="0077673F">
        <w:t xml:space="preserve">nvironmental </w:t>
      </w:r>
      <w:proofErr w:type="gramStart"/>
      <w:r w:rsidRPr="0077673F">
        <w:t>metrics</w:t>
      </w:r>
      <w:proofErr w:type="gramEnd"/>
      <w:r w:rsidR="0087653D">
        <w:t xml:space="preserve"> and fuel/raw materials</w:t>
      </w:r>
    </w:p>
    <w:p w14:paraId="6BC35416" w14:textId="5A1A29B6"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r w:rsidR="008B166C">
        <w:t xml:space="preserve">Below the plant diagram, </w:t>
      </w:r>
      <w:r w:rsidR="00CB1024">
        <w:t xml:space="preserve">the user </w:t>
      </w:r>
      <w:r w:rsidR="00066747">
        <w:t xml:space="preserve">can </w:t>
      </w:r>
      <w:r w:rsidR="00CB1024">
        <w:t xml:space="preserve">provide a written </w:t>
      </w:r>
      <w:r w:rsidR="008535F1">
        <w:t xml:space="preserve">description of the plant, and beside this </w:t>
      </w:r>
      <w:r w:rsidR="00CB1024">
        <w:t>a list of the plant units (sections) considered in the evaluation is</w:t>
      </w:r>
      <w:r w:rsidR="008535F1">
        <w:t xml:space="preserve"> detailed</w:t>
      </w:r>
      <w:r w:rsidR="008B166C">
        <w:t>. The names and codes of these units are linked to the appropriate sheet of each unit</w:t>
      </w:r>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r w:rsidR="00802839">
        <w:t>:</w:t>
      </w:r>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0AF3B25F" w:rsidR="006A51E3" w:rsidRDefault="0044233B" w:rsidP="0044233B">
      <w:pPr>
        <w:pStyle w:val="Caption"/>
        <w:jc w:val="center"/>
      </w:pPr>
      <w:bookmarkStart w:id="12" w:name="_Ref69741199"/>
      <w:r w:rsidRPr="0044233B">
        <w:t xml:space="preserve">Figure </w:t>
      </w:r>
      <w:r>
        <w:fldChar w:fldCharType="begin"/>
      </w:r>
      <w:r w:rsidRPr="0044233B">
        <w:instrText xml:space="preserve"> SEQ Figure \* ARABIC </w:instrText>
      </w:r>
      <w:r>
        <w:fldChar w:fldCharType="separate"/>
      </w:r>
      <w:r w:rsidR="00DF0309">
        <w:rPr>
          <w:noProof/>
        </w:rPr>
        <w:t>3</w:t>
      </w:r>
      <w:r>
        <w:fldChar w:fldCharType="end"/>
      </w:r>
      <w:bookmarkEnd w:id="12"/>
      <w:r w:rsidRPr="0044233B">
        <w:t xml:space="preserve"> Plant overview: plant Layout, and </w:t>
      </w:r>
      <w:r>
        <w:t>Unit</w:t>
      </w:r>
      <w:r w:rsidR="008D34FF">
        <w:t xml:space="preserve"> specification</w:t>
      </w:r>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r w:rsidR="008D34FF">
        <w:t xml:space="preserve">Besides, a menu to create a stream summary table is available. The user can define the nº of streams, </w:t>
      </w:r>
      <w:r w:rsidR="009F518B">
        <w:t>properties</w:t>
      </w:r>
      <w:r w:rsidR="00EF57D1">
        <w:t xml:space="preserve"> (temperature, pressure, flow rate etc.)</w:t>
      </w:r>
      <w:r w:rsidR="009F518B">
        <w:t>,</w:t>
      </w:r>
      <w:r w:rsidR="008D34FF">
        <w:t xml:space="preserve"> and components (to </w:t>
      </w:r>
      <w:r w:rsidR="009F518B">
        <w:t xml:space="preserve">input stream </w:t>
      </w:r>
      <w:r w:rsidR="008D34FF">
        <w:t xml:space="preserve">compositions) that are considered in the table with the </w:t>
      </w:r>
      <w:r w:rsidR="00B31E68">
        <w:t>add/remove buttons.</w:t>
      </w:r>
    </w:p>
    <w:p w14:paraId="336BD69E" w14:textId="484B8A7B" w:rsidR="00C929AF" w:rsidRDefault="00CB06E5" w:rsidP="00C929AF">
      <w:pPr>
        <w:keepNext/>
        <w:jc w:val="center"/>
      </w:pPr>
      <w:r>
        <w:rPr>
          <w:noProof/>
        </w:rPr>
        <w:drawing>
          <wp:inline distT="0" distB="0" distL="0" distR="0" wp14:anchorId="33AF996C" wp14:editId="63EAF87C">
            <wp:extent cx="5722620" cy="2979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979420"/>
                    </a:xfrm>
                    <a:prstGeom prst="rect">
                      <a:avLst/>
                    </a:prstGeom>
                    <a:noFill/>
                    <a:ln>
                      <a:noFill/>
                    </a:ln>
                  </pic:spPr>
                </pic:pic>
              </a:graphicData>
            </a:graphic>
          </wp:inline>
        </w:drawing>
      </w:r>
    </w:p>
    <w:p w14:paraId="4B152AA3" w14:textId="70844C7B" w:rsidR="00C929AF" w:rsidRDefault="00C929AF" w:rsidP="00C929AF">
      <w:pPr>
        <w:pStyle w:val="Caption"/>
        <w:jc w:val="center"/>
      </w:pPr>
      <w:bookmarkStart w:id="13" w:name="_Ref69743718"/>
      <w:r w:rsidRPr="00C929AF">
        <w:t xml:space="preserve">Figure </w:t>
      </w:r>
      <w:r>
        <w:fldChar w:fldCharType="begin"/>
      </w:r>
      <w:r w:rsidRPr="00C929AF">
        <w:instrText xml:space="preserve"> SEQ Figure \* ARABIC </w:instrText>
      </w:r>
      <w:r>
        <w:fldChar w:fldCharType="separate"/>
      </w:r>
      <w:r w:rsidR="00DF0309">
        <w:rPr>
          <w:noProof/>
        </w:rPr>
        <w:t>4</w:t>
      </w:r>
      <w:r>
        <w:fldChar w:fldCharType="end"/>
      </w:r>
      <w:bookmarkEnd w:id="13"/>
      <w:r w:rsidRPr="00C929AF">
        <w:t xml:space="preserve"> Shortcut buttons for navigation across the spreadsheet</w:t>
      </w:r>
      <w:r w:rsidR="00CB06E5">
        <w:t xml:space="preserve"> and stream summary generation</w:t>
      </w:r>
    </w:p>
    <w:p w14:paraId="766F6C31" w14:textId="5EE83CDF" w:rsidR="00B31E68" w:rsidRDefault="00B31E68" w:rsidP="00B31E68">
      <w:r>
        <w:lastRenderedPageBreak/>
        <w:t xml:space="preserve">The stream summary table is customized by the user </w:t>
      </w:r>
      <w:r w:rsidR="006632AE">
        <w:t>and in</w:t>
      </w:r>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r w:rsidR="006632AE">
        <w:t>a representation for 1 stream with 1 property and 1 component is shown.</w:t>
      </w:r>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231A937A" w:rsidR="000A3720" w:rsidRPr="00B31E68" w:rsidRDefault="009C69F5" w:rsidP="009C69F5">
      <w:pPr>
        <w:pStyle w:val="Caption"/>
        <w:jc w:val="center"/>
      </w:pPr>
      <w:bookmarkStart w:id="14" w:name="_Ref73356920"/>
      <w:r>
        <w:t xml:space="preserve">Figure </w:t>
      </w:r>
      <w:r>
        <w:fldChar w:fldCharType="begin"/>
      </w:r>
      <w:r>
        <w:instrText xml:space="preserve"> SEQ Figure \* ARABIC </w:instrText>
      </w:r>
      <w:r>
        <w:fldChar w:fldCharType="separate"/>
      </w:r>
      <w:r w:rsidR="00DF0309">
        <w:rPr>
          <w:noProof/>
        </w:rPr>
        <w:t>5</w:t>
      </w:r>
      <w:r>
        <w:fldChar w:fldCharType="end"/>
      </w:r>
      <w:bookmarkEnd w:id="14"/>
      <w:r w:rsidR="00DF0309">
        <w:t xml:space="preserve"> Plant stream summary</w:t>
      </w:r>
    </w:p>
    <w:p w14:paraId="6B841B95" w14:textId="77777777" w:rsidR="00EA353A" w:rsidRDefault="00F94EF2" w:rsidP="00033784">
      <w:pPr>
        <w:pStyle w:val="Heading2"/>
      </w:pPr>
      <w:r>
        <w:t>Unit – X0X – Equipment</w:t>
      </w:r>
    </w:p>
    <w:p w14:paraId="0DE2758E" w14:textId="686128DE" w:rsidR="00277FBD" w:rsidRDefault="00C929AF" w:rsidP="00D710FC">
      <w:pPr>
        <w:spacing w:before="240"/>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r w:rsidR="00D710FC">
        <w:t xml:space="preserve">the </w:t>
      </w:r>
      <w:r w:rsidR="00847CF0">
        <w:t>unit</w:t>
      </w:r>
      <w:r w:rsidR="00055A59">
        <w:t xml:space="preserve"> is </w:t>
      </w:r>
      <w:r w:rsidR="00055A59" w:rsidDel="00DA16CE">
        <w:t>composed</w:t>
      </w:r>
      <w:r w:rsidR="00DA16CE">
        <w:t xml:space="preserve"> and</w:t>
      </w:r>
      <w:r w:rsidR="00847CF0">
        <w:t xml:space="preserve"> add suitable items with the </w:t>
      </w:r>
      <w:r w:rsidR="00847CF0" w:rsidDel="00DA16CE">
        <w:t>drop</w:t>
      </w:r>
      <w:r w:rsidR="00DA16CE">
        <w:t>-down</w:t>
      </w:r>
      <w:r w:rsidR="00847CF0">
        <w:t xml:space="preserve"> menus. The capacity (size) for each equipment must be introduced in the corresponding units, as well as the operating pressure</w:t>
      </w:r>
      <w:r w:rsidR="00D710FC">
        <w:t>. Once equipment type and subtype are selected with the drop-down menus, the units at which the capacity value must be introduced is automatically shown</w:t>
      </w:r>
      <w:r w:rsidR="00847CF0">
        <w:t xml:space="preserve">. The materials of construction can be selected with a </w:t>
      </w:r>
      <w:r w:rsidR="006E777A">
        <w:t>drop-down</w:t>
      </w:r>
      <w:r w:rsidR="00847CF0">
        <w:t xml:space="preserve"> menu</w:t>
      </w:r>
      <w:r w:rsidR="00D710FC">
        <w:t xml:space="preserve"> as </w:t>
      </w:r>
      <w:proofErr w:type="gramStart"/>
      <w:r w:rsidR="00D710FC">
        <w:t>well</w:t>
      </w:r>
      <w:r w:rsidR="00847CF0">
        <w:t>, and</w:t>
      </w:r>
      <w:proofErr w:type="gramEnd"/>
      <w:r w:rsidR="00847CF0">
        <w:t xml:space="preserve"> are </w:t>
      </w:r>
      <w:r w:rsidR="00DA16CE">
        <w:t xml:space="preserve">specifically </w:t>
      </w:r>
      <w:r w:rsidR="00847CF0">
        <w:t xml:space="preserve">restricted to those available for each equipment subtype. </w:t>
      </w:r>
      <w:r w:rsidR="00055A59">
        <w:t>For certain equipment, in the column “other spec” an extra variable for the calculation of th</w:t>
      </w:r>
      <w:r w:rsidR="00CF2BA2">
        <w:t>e unit cost must be introduced (</w:t>
      </w:r>
      <w:proofErr w:type="gramStart"/>
      <w:r w:rsidR="00055A59">
        <w:t>i.e.</w:t>
      </w:r>
      <w:proofErr w:type="gramEnd"/>
      <w:r w:rsidR="00055A59">
        <w:t xml:space="preserve"> for vessels, the diameter in m is required to determine the pressure factor</w:t>
      </w:r>
      <w:r w:rsidR="00CF2BA2">
        <w:t>)</w:t>
      </w:r>
      <w:r w:rsidR="00055A59">
        <w:t xml:space="preserve">. </w:t>
      </w:r>
      <w:r w:rsidR="00D710FC">
        <w:t>In such a case, a message requesting a specific input will be prompted in the corresponding cell for the cost calculation.</w:t>
      </w:r>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71F42197" w:rsidR="008F5899" w:rsidRDefault="008F5899" w:rsidP="00F07A29">
      <w:pPr>
        <w:pStyle w:val="Caption"/>
        <w:jc w:val="center"/>
      </w:pPr>
      <w:bookmarkStart w:id="15" w:name="_Ref69804178"/>
      <w:r w:rsidRPr="00F07A29">
        <w:t xml:space="preserve">Figure </w:t>
      </w:r>
      <w:r>
        <w:fldChar w:fldCharType="begin"/>
      </w:r>
      <w:r w:rsidRPr="00F07A29">
        <w:instrText xml:space="preserve"> SEQ Figure \* ARABIC </w:instrText>
      </w:r>
      <w:r>
        <w:fldChar w:fldCharType="separate"/>
      </w:r>
      <w:r w:rsidR="00DF0309">
        <w:rPr>
          <w:noProof/>
        </w:rPr>
        <w:t>6</w:t>
      </w:r>
      <w:r>
        <w:fldChar w:fldCharType="end"/>
      </w:r>
      <w:bookmarkEnd w:id="15"/>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w:t>
      </w:r>
      <w:proofErr w:type="gramStart"/>
      <w:r w:rsidR="00AE5A55">
        <w:t>sections</w:t>
      </w:r>
      <w:proofErr w:type="gramEnd"/>
    </w:p>
    <w:p w14:paraId="1E594E43" w14:textId="1DF24236" w:rsidR="00F07A29" w:rsidRDefault="00F07A29" w:rsidP="00907D39">
      <w:r>
        <w:t xml:space="preserve">In the top left corner, a short summary of the unit is given, with a specific code and a fundamental task drop down menu selection. Fundamental tasks </w:t>
      </w:r>
      <w:proofErr w:type="gramStart"/>
      <w:r>
        <w:t>is</w:t>
      </w:r>
      <w:proofErr w:type="gramEnd"/>
      <w:r>
        <w:t xml:space="preserve"> a method of categorizing the unit with regards to the </w:t>
      </w:r>
      <w:r w:rsidR="00266D64">
        <w:t>function</w:t>
      </w:r>
      <w:r>
        <w:t xml:space="preserve"> it carries out within a plant. </w:t>
      </w:r>
      <w:r w:rsidDel="00266D64">
        <w:t>Also</w:t>
      </w:r>
      <w:r w:rsidR="00266D64">
        <w:t>,</w:t>
      </w:r>
      <w:r>
        <w:t xml:space="preserve"> a quick access button to the Plant Overview sheet is included to the left. Below the </w:t>
      </w:r>
      <w:r w:rsidR="00A0002F">
        <w:t>standard equipment input</w:t>
      </w:r>
      <w:r>
        <w:t xml:space="preserve"> region, a small space is available to introduce other miscellaneous items of the cost estimate which are expressed in terms of specific costs, with a </w:t>
      </w:r>
      <w:r>
        <w:lastRenderedPageBreak/>
        <w:t>certain capacity introduced to calculate total costs. Finally, in the bottom right of this section, the BEC estimates in the corresponding basis</w:t>
      </w:r>
      <w:r w:rsidRPr="00F07A29">
        <w:t xml:space="preserve"> </w:t>
      </w:r>
      <w:r>
        <w:t xml:space="preserve">are presented; </w:t>
      </w:r>
      <w:r w:rsidR="00A0002F">
        <w:t xml:space="preserve">Basis </w:t>
      </w:r>
      <w:r>
        <w:t>1 (US Gulf Coast, 2001 and $) always corresponds to the correlations from Turton for an equipment estimate</w:t>
      </w:r>
      <w:r w:rsidR="00A0002F">
        <w:t>, while Basis 2 can be used for adjusting costs from the Miscellaneous Items list.</w:t>
      </w:r>
      <w:r>
        <w:t xml:space="preserve"> In the cell to the left, the BEC adjusted to the </w:t>
      </w:r>
      <w:r w:rsidR="00A0002F">
        <w:t>targeted conditions specified in the top-left corner of the Plant Overview sheet</w:t>
      </w:r>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54880EEF" w:rsidR="00F07A29" w:rsidRPr="00AE5A55" w:rsidRDefault="00AE5A55" w:rsidP="00AE5A55">
      <w:pPr>
        <w:pStyle w:val="Caption"/>
        <w:jc w:val="center"/>
      </w:pPr>
      <w:bookmarkStart w:id="16" w:name="_Ref69804218"/>
      <w:r w:rsidRPr="00AE5A55">
        <w:t xml:space="preserve">Figure </w:t>
      </w:r>
      <w:r>
        <w:fldChar w:fldCharType="begin"/>
      </w:r>
      <w:r w:rsidRPr="00AE5A55">
        <w:instrText xml:space="preserve"> SEQ Figure \* ARABIC </w:instrText>
      </w:r>
      <w:r>
        <w:fldChar w:fldCharType="separate"/>
      </w:r>
      <w:r w:rsidR="00DF0309">
        <w:rPr>
          <w:noProof/>
        </w:rPr>
        <w:t>7</w:t>
      </w:r>
      <w:r>
        <w:fldChar w:fldCharType="end"/>
      </w:r>
      <w:bookmarkEnd w:id="16"/>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w:t>
      </w:r>
      <w:proofErr w:type="gramStart"/>
      <w:r>
        <w:t>sections</w:t>
      </w:r>
      <w:proofErr w:type="gramEnd"/>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0A0526DB" w:rsidR="001A4BA7" w:rsidRPr="001A4BA7" w:rsidRDefault="001A4BA7" w:rsidP="001A4BA7">
      <w:pPr>
        <w:pStyle w:val="Caption"/>
        <w:jc w:val="center"/>
        <w:rPr>
          <w:rFonts w:eastAsiaTheme="minorEastAsia"/>
        </w:rPr>
      </w:pPr>
      <w:bookmarkStart w:id="17" w:name="_Ref69810743"/>
      <w:r w:rsidRPr="001A4BA7">
        <w:t xml:space="preserve">Figure </w:t>
      </w:r>
      <w:r>
        <w:fldChar w:fldCharType="begin"/>
      </w:r>
      <w:r w:rsidRPr="001A4BA7">
        <w:instrText xml:space="preserve"> SEQ Figure \* ARABIC </w:instrText>
      </w:r>
      <w:r>
        <w:fldChar w:fldCharType="separate"/>
      </w:r>
      <w:r w:rsidR="00DF0309">
        <w:rPr>
          <w:noProof/>
        </w:rPr>
        <w:t>8</w:t>
      </w:r>
      <w:r>
        <w:fldChar w:fldCharType="end"/>
      </w:r>
      <w:bookmarkEnd w:id="17"/>
      <w:r w:rsidRPr="001A4BA7">
        <w:t xml:space="preserve"> Equipment </w:t>
      </w:r>
      <w:proofErr w:type="gramStart"/>
      <w:r w:rsidRPr="001A4BA7">
        <w:t>estimate</w:t>
      </w:r>
      <w:proofErr w:type="gramEnd"/>
      <w:r w:rsidRPr="001A4BA7">
        <w:t xml:space="preserve">: BEC distribution and </w:t>
      </w:r>
      <w:r>
        <w:t>comparison with reference sections</w:t>
      </w:r>
    </w:p>
    <w:p w14:paraId="07E347C2" w14:textId="1B884311" w:rsidR="00AE5A55" w:rsidRPr="00AE5A55" w:rsidRDefault="00AE5A55" w:rsidP="00907D39">
      <w:r>
        <w:t>Fi</w:t>
      </w:r>
      <w:r w:rsidR="001A4BA7">
        <w:t>nally,</w:t>
      </w:r>
      <w:r>
        <w:t xml:space="preserve"> below the BEC estimate region, a section is created to reflect the cost proportion of items (</w:t>
      </w:r>
      <w:r w:rsidR="001A4BA7">
        <w:t>by default those pertaining to Basis 1)</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1A4BA7">
        <w:t xml:space="preserve"> scope</w:t>
      </w:r>
      <w:r w:rsidR="00C962A2">
        <w:t xml:space="preserve"> (if available)</w:t>
      </w:r>
      <w:r w:rsidR="001A4BA7">
        <w:t>, as presented further to the right (</w:t>
      </w:r>
      <w:r w:rsidR="00FA5DFB">
        <w:t>ensuring appropriate scaling to the same basis</w:t>
      </w:r>
      <w:r w:rsidR="001A4BA7">
        <w:t xml:space="preserve">). A scaled cost from the original reference </w:t>
      </w:r>
      <w:r w:rsidR="00C962A2">
        <w:t>can</w:t>
      </w:r>
      <w:r w:rsidR="001A4BA7">
        <w:t xml:space="preserve"> also be plotted for a </w:t>
      </w:r>
      <w:r w:rsidR="00C962A2">
        <w:t>benchmarking</w:t>
      </w:r>
      <w:r w:rsidR="001A4BA7">
        <w:t xml:space="preserve"> at the same unit capacity of the estimate. The references used </w:t>
      </w:r>
      <w:r w:rsidR="00C962A2">
        <w:t>from literature sources</w:t>
      </w:r>
      <w:r w:rsidR="001A4BA7">
        <w:t xml:space="preserve"> are listed at the bottom with a number, a short </w:t>
      </w:r>
      <w:proofErr w:type="gramStart"/>
      <w:r w:rsidR="001A4BA7">
        <w:t>name</w:t>
      </w:r>
      <w:proofErr w:type="gramEnd"/>
      <w:r w:rsidR="001A4BA7">
        <w:t xml:space="preserve"> and a suitable description. </w:t>
      </w:r>
      <w:r w:rsidR="00C962A2">
        <w:t>The list of all references employed based on the numbering are provided in a dedicated sheet: “Bibliography”.</w:t>
      </w:r>
    </w:p>
    <w:p w14:paraId="35449FA4" w14:textId="77777777" w:rsidR="00F94EF2" w:rsidRDefault="00F94EF2" w:rsidP="00033784">
      <w:pPr>
        <w:pStyle w:val="Heading2"/>
      </w:pPr>
      <w:r>
        <w:t>Unit – X0X – Scaling</w:t>
      </w:r>
    </w:p>
    <w:p w14:paraId="24AD18F7" w14:textId="3B72D90F" w:rsidR="000340FF" w:rsidRPr="00C962A2" w:rsidRDefault="00C962A2" w:rsidP="00447EF5">
      <w:pPr>
        <w:spacing w:before="240"/>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xml:space="preserve">. The default coding for the cost concepts involved in the estimation are denoted with X-Y0Z coding, and a description, a source reference, currency, </w:t>
      </w:r>
      <w:proofErr w:type="gramStart"/>
      <w:r w:rsidR="00197706">
        <w:t>location</w:t>
      </w:r>
      <w:proofErr w:type="gramEnd"/>
      <w:r w:rsidR="00197706">
        <w:t xml:space="preserve">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36B6F1D1" w:rsidR="00C962A2" w:rsidRDefault="00AB67F8" w:rsidP="00197706">
      <w:pPr>
        <w:pStyle w:val="Caption"/>
        <w:jc w:val="center"/>
      </w:pPr>
      <w:bookmarkStart w:id="18" w:name="_Ref69812677"/>
      <w:r w:rsidRPr="00AB67F8">
        <w:t xml:space="preserve">Figure </w:t>
      </w:r>
      <w:r>
        <w:fldChar w:fldCharType="begin"/>
      </w:r>
      <w:r w:rsidRPr="00AB67F8">
        <w:instrText xml:space="preserve"> SEQ Figure \* ARABIC </w:instrText>
      </w:r>
      <w:r>
        <w:fldChar w:fldCharType="separate"/>
      </w:r>
      <w:r w:rsidR="00DF0309">
        <w:rPr>
          <w:noProof/>
        </w:rPr>
        <w:t>9</w:t>
      </w:r>
      <w:r>
        <w:fldChar w:fldCharType="end"/>
      </w:r>
      <w:bookmarkEnd w:id="18"/>
      <w:r w:rsidRPr="00AB67F8">
        <w:t xml:space="preserve"> Scaling estimate: unit summary, scaling </w:t>
      </w:r>
      <w:r>
        <w:t xml:space="preserve">&amp; Misc. items </w:t>
      </w:r>
      <w:r w:rsidRPr="00AB67F8">
        <w:t>specifications a</w:t>
      </w:r>
      <w:r w:rsidR="00197706">
        <w:t xml:space="preserve">nd estimate adjustment </w:t>
      </w:r>
      <w:proofErr w:type="gramStart"/>
      <w:r w:rsidR="00197706">
        <w:t>sections</w:t>
      </w:r>
      <w:proofErr w:type="gramEnd"/>
    </w:p>
    <w:p w14:paraId="3F45B639" w14:textId="1E86A6D0"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t xml:space="preserve"> with </w:t>
      </w:r>
      <w:r w:rsidR="00E64509">
        <w:t xml:space="preserve">the actual and scaled cost of the reference is provided. Other literature sources can be used for comparison, but the authors emphasize again that suitable adjustments be made to reach a consistent evaluation.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introduced in each concept.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2993D295">
            <wp:extent cx="5724525" cy="2752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0FF28E5A" w14:textId="1054A7C8" w:rsidR="001A2C20" w:rsidRPr="001A2C20" w:rsidRDefault="001A2C20" w:rsidP="001A2C20">
      <w:pPr>
        <w:pStyle w:val="Caption"/>
        <w:jc w:val="center"/>
      </w:pPr>
      <w:bookmarkStart w:id="19" w:name="_Ref69815337"/>
      <w:r w:rsidRPr="001A2C20">
        <w:t xml:space="preserve">Figure </w:t>
      </w:r>
      <w:r>
        <w:fldChar w:fldCharType="begin"/>
      </w:r>
      <w:r w:rsidRPr="001A2C20">
        <w:instrText xml:space="preserve"> SEQ Figure \* ARABIC </w:instrText>
      </w:r>
      <w:r>
        <w:fldChar w:fldCharType="separate"/>
      </w:r>
      <w:r w:rsidR="00DF0309">
        <w:rPr>
          <w:noProof/>
        </w:rPr>
        <w:t>10</w:t>
      </w:r>
      <w:r>
        <w:fldChar w:fldCharType="end"/>
      </w:r>
      <w:bookmarkEnd w:id="19"/>
      <w:r w:rsidRPr="001A2C20">
        <w:t xml:space="preserve"> Scaling estimate: BEC distribution, estimate comparison, list of references and scaling cost item list </w:t>
      </w:r>
      <w:proofErr w:type="gramStart"/>
      <w:r w:rsidRPr="001A2C20">
        <w:t>sections</w:t>
      </w:r>
      <w:proofErr w:type="gramEnd"/>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lastRenderedPageBreak/>
        <w:drawing>
          <wp:inline distT="0" distB="0" distL="0" distR="0" wp14:anchorId="0DCCCBDF" wp14:editId="0D3BE573">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6D75E055" w:rsidR="00545641" w:rsidRPr="009B2380" w:rsidRDefault="00545641" w:rsidP="00545641">
      <w:pPr>
        <w:pStyle w:val="Caption"/>
        <w:jc w:val="center"/>
      </w:pPr>
      <w:bookmarkStart w:id="20" w:name="_Ref69817089"/>
      <w:r w:rsidRPr="009B2380">
        <w:t xml:space="preserve">Figure </w:t>
      </w:r>
      <w:r>
        <w:fldChar w:fldCharType="begin"/>
      </w:r>
      <w:r w:rsidRPr="009B2380">
        <w:instrText xml:space="preserve"> SEQ Figure \* ARABIC </w:instrText>
      </w:r>
      <w:r>
        <w:fldChar w:fldCharType="separate"/>
      </w:r>
      <w:r w:rsidR="00DF0309">
        <w:rPr>
          <w:noProof/>
        </w:rPr>
        <w:t>11</w:t>
      </w:r>
      <w:r>
        <w:fldChar w:fldCharType="end"/>
      </w:r>
      <w:bookmarkEnd w:id="20"/>
      <w:r w:rsidRPr="009B2380">
        <w:t xml:space="preserve"> Plant CAPEX sheet distribution</w:t>
      </w:r>
    </w:p>
    <w:p w14:paraId="0EB4F2E4" w14:textId="3181F399" w:rsidR="00284731" w:rsidRDefault="00284731" w:rsidP="00907D39">
      <w:r>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A shortcut button allows to add and remove new units to the evaluation when required.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178E2CC0" w:rsidR="008C39C3" w:rsidRDefault="008C39C3" w:rsidP="008C39C3">
      <w:pPr>
        <w:pStyle w:val="Caption"/>
        <w:jc w:val="center"/>
      </w:pPr>
      <w:bookmarkStart w:id="21" w:name="_Ref71110348"/>
      <w:bookmarkStart w:id="22" w:name="_Ref71108726"/>
      <w:r>
        <w:t xml:space="preserve">Figure </w:t>
      </w:r>
      <w:r>
        <w:fldChar w:fldCharType="begin"/>
      </w:r>
      <w:r>
        <w:instrText xml:space="preserve"> SEQ Figure \* ARABIC </w:instrText>
      </w:r>
      <w:r>
        <w:fldChar w:fldCharType="separate"/>
      </w:r>
      <w:r w:rsidR="00DF0309">
        <w:rPr>
          <w:noProof/>
        </w:rPr>
        <w:t>12</w:t>
      </w:r>
      <w:r>
        <w:fldChar w:fldCharType="end"/>
      </w:r>
      <w:bookmarkEnd w:id="21"/>
      <w:r>
        <w:t xml:space="preserve"> Plant CAPEX summary sections</w:t>
      </w:r>
      <w:bookmarkEnd w:id="22"/>
      <w:r>
        <w:t xml:space="preserve"> </w:t>
      </w:r>
    </w:p>
    <w:p w14:paraId="5DF9AA6A" w14:textId="77777777" w:rsidR="00F94EF2" w:rsidRDefault="00F94EF2" w:rsidP="00033784">
      <w:pPr>
        <w:pStyle w:val="Heading2"/>
      </w:pPr>
      <w:r>
        <w:t xml:space="preserve">Plant OPEX </w:t>
      </w:r>
    </w:p>
    <w:p w14:paraId="4E0B9AD2" w14:textId="2E329AE6"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 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subsequent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CB4B3C2"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DF0309">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01BF478B" w14:textId="6FDB7983" w:rsidR="005B0D3D" w:rsidRDefault="005B0D3D" w:rsidP="00907D39">
      <w:r>
        <w:t>This feature allows to assess critically if the estimate obtained is reasonable and how it compares with previous economic studies. The user can specify to up to 5 references for benchmarking. It is recommended to thoroughly verify that the benchmarking references cover the same unit scope as the estimate for a consistent comparison. The estimate and references are also compared in terms of specific costs (per unit of capacity), as shown in Figure. A dedicated section is present to place the corresponding literature sources.</w:t>
      </w:r>
    </w:p>
    <w:p w14:paraId="1056EAD7" w14:textId="4E63A08D" w:rsidR="00335F38" w:rsidRDefault="00335F38" w:rsidP="00335F38">
      <w:pPr>
        <w:pStyle w:val="Heading2"/>
      </w:pPr>
      <w:r>
        <w:t>Estimate Benchmark</w:t>
      </w:r>
    </w:p>
    <w:p w14:paraId="33973867" w14:textId="7748232E" w:rsidR="00335F38" w:rsidRDefault="00335F38" w:rsidP="005B0D3D">
      <w:pPr>
        <w:spacing w:before="240"/>
      </w:pPr>
      <w:r>
        <w:t>SEA tool offers the user to benchmark their estimates of any given unit with analogous units from literature references</w:t>
      </w:r>
      <w:r w:rsidR="005B0D3D">
        <w:t xml:space="preserve"> as shown in </w:t>
      </w:r>
      <w:r w:rsidR="005B0D3D">
        <w:fldChar w:fldCharType="begin"/>
      </w:r>
      <w:r w:rsidR="005B0D3D">
        <w:instrText xml:space="preserve"> REF _Ref71110330 \h </w:instrText>
      </w:r>
      <w:r w:rsidR="005B0D3D">
        <w:fldChar w:fldCharType="separate"/>
      </w:r>
      <w:r w:rsidR="00DF0309">
        <w:t xml:space="preserve">Figure </w:t>
      </w:r>
      <w:r w:rsidR="00DF0309">
        <w:rPr>
          <w:noProof/>
        </w:rPr>
        <w:t>14</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Cost values from different references and source cost basis are introduced as well, providing a cost benchmark with a visual representation </w:t>
      </w:r>
      <w:r w:rsidR="005B0D3D">
        <w:t>for the actual capacity from the source/estimate and the scaled values.</w:t>
      </w:r>
    </w:p>
    <w:p w14:paraId="602F65EF" w14:textId="77777777" w:rsidR="005B0D3D" w:rsidRDefault="005B0D3D" w:rsidP="004262B3">
      <w:pPr>
        <w:keepNext/>
        <w:jc w:val="center"/>
      </w:pPr>
      <w:r>
        <w:rPr>
          <w:noProof/>
        </w:rPr>
        <w:lastRenderedPageBreak/>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2A1D5516" w:rsidR="005B0D3D" w:rsidRPr="00335F38" w:rsidRDefault="005B0D3D" w:rsidP="005B0D3D">
      <w:pPr>
        <w:pStyle w:val="Caption"/>
        <w:jc w:val="center"/>
      </w:pPr>
      <w:bookmarkStart w:id="23" w:name="_Ref71110330"/>
      <w:r>
        <w:t xml:space="preserve">Figure </w:t>
      </w:r>
      <w:r>
        <w:fldChar w:fldCharType="begin"/>
      </w:r>
      <w:r>
        <w:instrText xml:space="preserve"> SEQ Figure \* ARABIC </w:instrText>
      </w:r>
      <w:r>
        <w:fldChar w:fldCharType="separate"/>
      </w:r>
      <w:r w:rsidR="00DF0309">
        <w:rPr>
          <w:noProof/>
        </w:rPr>
        <w:t>14</w:t>
      </w:r>
      <w:r>
        <w:fldChar w:fldCharType="end"/>
      </w:r>
      <w:bookmarkEnd w:id="23"/>
      <w:r>
        <w:t xml:space="preserve"> Estimate benchmark sheet</w:t>
      </w:r>
    </w:p>
    <w:p w14:paraId="2753FA2A" w14:textId="7288E920" w:rsidR="00335F38" w:rsidRPr="00E33943" w:rsidRDefault="00C6571D" w:rsidP="00907D39">
      <w:r>
        <w:t xml:space="preserve">A macro button allows the user to add more benchmark tables according to the nº of units that need to be assessed. Reference values for cost and capacity 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p>
    <w:p w14:paraId="1DEBF494" w14:textId="77777777" w:rsidR="00F94EF2" w:rsidRDefault="00F94EF2" w:rsidP="00033784">
      <w:pPr>
        <w:pStyle w:val="Heading2"/>
      </w:pPr>
      <w:r>
        <w:t>Cash Flow Analysis</w:t>
      </w:r>
    </w:p>
    <w:p w14:paraId="001299DA" w14:textId="6B85029D"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DF0309" w:rsidRPr="0023391F">
        <w:t xml:space="preserve">Figure </w:t>
      </w:r>
      <w:r w:rsidR="00DF0309">
        <w:rPr>
          <w:noProof/>
        </w:rPr>
        <w:t>15</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r w:rsidR="000821AA">
        <w:t xml:space="preserve">several economic indicators. The user can select between determining </w:t>
      </w:r>
      <w:r>
        <w:t>the Levelized Cost of Product (LCOP)</w:t>
      </w:r>
      <w:r w:rsidR="0077093B">
        <w:t xml:space="preserve">, Internal Rate of Return (IRR) or Net Present Value (NPV) by specifying </w:t>
      </w:r>
      <w:r w:rsidR="00B96DEC">
        <w:t xml:space="preserve">initial values for product price and discount </w:t>
      </w:r>
      <w:r w:rsidR="002E78E1">
        <w:t>rate and</w:t>
      </w:r>
      <w:r w:rsidR="00902A79">
        <w:t xml:space="preserve"> running the </w:t>
      </w:r>
      <w:r w:rsidR="007D4106">
        <w:t>CFA</w:t>
      </w:r>
      <w:r w:rsidR="00902A79">
        <w:t xml:space="preserve"> macro</w:t>
      </w:r>
      <w:r w:rsidR="00B96DEC">
        <w:t xml:space="preserve">. Depending on the selected economic indicator, the </w:t>
      </w:r>
      <w:r w:rsidR="0076162C">
        <w:t>output table will display different values. LCOP and IRR are determin</w:t>
      </w:r>
      <w:r w:rsidR="00024C89">
        <w:t>ed by setting</w:t>
      </w:r>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r w:rsidR="00024C89">
        <w:t xml:space="preserve"> by changing product price or discount </w:t>
      </w:r>
      <w:r w:rsidR="002E78E1">
        <w:t>rate,</w:t>
      </w:r>
      <w:r w:rsidR="00024C89">
        <w:t xml:space="preserve"> respectively</w:t>
      </w:r>
      <w:r w:rsidR="0023391F">
        <w:t>. The NPV is calculat</w:t>
      </w:r>
      <w:r w:rsidR="001C59F5">
        <w:t>ed</w:t>
      </w:r>
      <w:r w:rsidR="0023391F">
        <w:t xml:space="preserve"> by adding the discounted annual cash flow rates</w:t>
      </w:r>
      <w:r w:rsidR="00335C1F">
        <w:t xml:space="preserve"> during the plant construction and operational lifetime</w:t>
      </w:r>
      <w:r w:rsidR="00024C89">
        <w:t xml:space="preserve"> (dependant on these two input </w:t>
      </w:r>
      <w:r w:rsidR="006A53AB">
        <w:t>variables)</w:t>
      </w:r>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24"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24"/>
          </w:p>
        </w:tc>
      </w:tr>
    </w:tbl>
    <w:p w14:paraId="0267FEC7" w14:textId="427632C0" w:rsidR="00AB7DE1" w:rsidRDefault="000D2B92" w:rsidP="00907D39">
      <w:r>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A827FD" w:rsidRPr="00A827FD">
        <w:rPr>
          <w:rFonts w:ascii="Calibri" w:hAnsi="Calibri" w:cs="Calibri"/>
          <w:bCs/>
        </w:rPr>
        <w:t>[14]</w:t>
      </w:r>
      <w:r w:rsidR="009E6219">
        <w:fldChar w:fldCharType="end"/>
      </w:r>
      <w:r w:rsidR="009E6219">
        <w:t>.</w:t>
      </w:r>
      <w:r w:rsidR="003B7D1D">
        <w:t xml:space="preserve"> </w:t>
      </w:r>
    </w:p>
    <w:p w14:paraId="6AA5DAAD" w14:textId="7AC1C23F" w:rsidR="0023391F" w:rsidRDefault="007D4106" w:rsidP="0023391F">
      <w:pPr>
        <w:keepNext/>
        <w:spacing w:before="240"/>
      </w:pPr>
      <w:r>
        <w:rPr>
          <w:noProof/>
        </w:rPr>
        <w:lastRenderedPageBreak/>
        <w:drawing>
          <wp:inline distT="0" distB="0" distL="0" distR="0" wp14:anchorId="0B72C726" wp14:editId="2C47756D">
            <wp:extent cx="5724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77C31C80" w14:textId="2F2C9FAE" w:rsidR="0023391F" w:rsidRDefault="0023391F" w:rsidP="0023391F">
      <w:pPr>
        <w:pStyle w:val="Caption"/>
        <w:jc w:val="center"/>
      </w:pPr>
      <w:bookmarkStart w:id="25" w:name="_Ref69841172"/>
      <w:r w:rsidRPr="0023391F">
        <w:t xml:space="preserve">Figure </w:t>
      </w:r>
      <w:r>
        <w:fldChar w:fldCharType="begin"/>
      </w:r>
      <w:r w:rsidRPr="0023391F">
        <w:instrText xml:space="preserve"> SEQ Figure \* ARABIC </w:instrText>
      </w:r>
      <w:r>
        <w:fldChar w:fldCharType="separate"/>
      </w:r>
      <w:r w:rsidR="00DF0309">
        <w:rPr>
          <w:noProof/>
        </w:rPr>
        <w:t>15</w:t>
      </w:r>
      <w:r>
        <w:fldChar w:fldCharType="end"/>
      </w:r>
      <w:bookmarkEnd w:id="25"/>
      <w:r w:rsidRPr="0023391F">
        <w:t xml:space="preserve"> CFA sheet: plant summary, economic </w:t>
      </w:r>
      <w:proofErr w:type="gramStart"/>
      <w:r w:rsidRPr="0023391F">
        <w:t>assumptions</w:t>
      </w:r>
      <w:proofErr w:type="gramEnd"/>
      <w:r w:rsidR="00E41032">
        <w:t xml:space="preserve"> and results</w:t>
      </w:r>
      <w:r w:rsidRPr="0023391F">
        <w:t xml:space="preserve">, </w:t>
      </w:r>
      <w:r>
        <w:t>LCOP breakdown and</w:t>
      </w:r>
      <w:r w:rsidR="00E41032">
        <w:t xml:space="preserve"> Cash Flow</w:t>
      </w:r>
      <w:r w:rsidR="00FD22DF">
        <w:t xml:space="preserve"> diagram</w:t>
      </w:r>
      <w:r w:rsidDel="00FD22DF">
        <w:t xml:space="preserve"> </w:t>
      </w:r>
      <w:r>
        <w:t>sections</w:t>
      </w:r>
    </w:p>
    <w:p w14:paraId="132962CC" w14:textId="3B8586D2" w:rsidR="00524B7E" w:rsidRDefault="008D5ED9" w:rsidP="00907D39">
      <w:r>
        <w:t xml:space="preserve">For LCOP </w:t>
      </w:r>
      <w:r w:rsidR="003815C3">
        <w:t>estimations</w:t>
      </w:r>
      <w:r>
        <w:t xml:space="preserve">, </w:t>
      </w:r>
      <w:r w:rsidR="00524B7E">
        <w:t xml:space="preserve">other economic metrics can be derived when evaluating a CCS plant alternative, if </w:t>
      </w:r>
      <w:r w:rsidR="000975D5">
        <w:t>several performance</w:t>
      </w:r>
      <w:r w:rsidR="00524B7E">
        <w:t xml:space="preserve"> parameters from a reference plant without CCS are known</w:t>
      </w:r>
      <w:r w:rsidR="00D3257A">
        <w:t xml:space="preserve"> and specified</w:t>
      </w:r>
      <w:r w:rsidR="00524B7E">
        <w:t>. For instance, the Cost of CO</w:t>
      </w:r>
      <w:r w:rsidR="00524B7E" w:rsidRPr="000F070C">
        <w:rPr>
          <w:vertAlign w:val="subscript"/>
        </w:rPr>
        <w:t>2</w:t>
      </w:r>
      <w:r w:rsidR="00524B7E">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00524B7E" w:rsidRPr="00CB693D">
        <w:t xml:space="preserve"> i</w:t>
      </w:r>
      <w:r w:rsidR="00524B7E">
        <w:t xml:space="preserve">s a common </w:t>
      </w:r>
      <w:r w:rsidR="0095250C">
        <w:t>indicator</w:t>
      </w:r>
      <w:r w:rsidR="00524B7E">
        <w:t xml:space="preserve"> to assess the potential of a CCS concept, as it directly reflects the CO</w:t>
      </w:r>
      <w:r w:rsidR="00524B7E" w:rsidRPr="00524B7E">
        <w:rPr>
          <w:vertAlign w:val="subscript"/>
        </w:rPr>
        <w:t>2</w:t>
      </w:r>
      <w:r w:rsidR="00524B7E">
        <w:t xml:space="preserve"> price at which such novel plant becomes</w:t>
      </w:r>
      <w:r w:rsidR="003812E1">
        <w:t xml:space="preserve"> economically</w:t>
      </w:r>
      <w:r w:rsidR="00524B7E">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26"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26"/>
          </w:p>
        </w:tc>
      </w:tr>
    </w:tbl>
    <w:p w14:paraId="4E461F0A" w14:textId="0C245407" w:rsidR="009E6219" w:rsidRDefault="009E6219" w:rsidP="00907D39">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7FE27950" w:rsidR="00E34F23" w:rsidRDefault="003815C3" w:rsidP="00907D39">
      <w:r>
        <w:t xml:space="preserve">Finally, the output table also presents </w:t>
      </w:r>
      <w:r w:rsidR="00A336AD">
        <w:t>basic economic performance metric</w:t>
      </w:r>
      <w:r w:rsidR="007A391C">
        <w:t>s</w:t>
      </w:r>
      <w:r w:rsidR="00A336AD">
        <w:t xml:space="preserve">: simple and discounted (if applicable) payback periods (SPP &amp; DPP), </w:t>
      </w:r>
      <w:r w:rsidR="007A391C">
        <w:t>which are defined as the</w:t>
      </w:r>
      <w:r w:rsidR="00D409D0">
        <w:t xml:space="preserve"> plant operation</w:t>
      </w:r>
      <w:r w:rsidR="007A391C">
        <w:t xml:space="preserve"> year at which </w:t>
      </w:r>
      <w:r w:rsidR="00CB4E7F">
        <w:t xml:space="preserve">the </w:t>
      </w:r>
      <w:r w:rsidR="007F4B97">
        <w:t xml:space="preserve">respective </w:t>
      </w:r>
      <w:r w:rsidR="00391F15">
        <w:t xml:space="preserve">cumulative </w:t>
      </w:r>
      <w:r w:rsidR="00CB4E7F">
        <w:t xml:space="preserve">cash flow </w:t>
      </w:r>
      <w:r w:rsidR="00D409D0">
        <w:t>become</w:t>
      </w:r>
      <w:r w:rsidR="00391F15">
        <w:t>s</w:t>
      </w:r>
      <w:r w:rsidR="00D409D0">
        <w:t xml:space="preserve"> positive.</w:t>
      </w:r>
      <w:r w:rsidR="00E34F23">
        <w:t xml:space="preserve"> To the right of the economic output table, graphical representations of the simple and discounted cash flows are shown as well as an LCOP decomposition</w:t>
      </w:r>
      <w:r w:rsidR="007C4B08">
        <w:t xml:space="preserve"> (based on each cost item contribution)</w:t>
      </w:r>
      <w:r w:rsidR="00E34F23">
        <w:t xml:space="preserve"> </w:t>
      </w:r>
      <w:r w:rsidR="005B724E">
        <w:t>with</w:t>
      </w:r>
      <w:r w:rsidR="00193223">
        <w:t xml:space="preserve"> respect</w:t>
      </w:r>
      <w:r w:rsidR="005B724E">
        <w:t xml:space="preserve"> a reference</w:t>
      </w:r>
      <w:r w:rsidR="00193223">
        <w:t xml:space="preserve"> plant</w:t>
      </w:r>
      <w:r w:rsidR="005B724E">
        <w:t xml:space="preserve"> benchmark.</w:t>
      </w:r>
      <w:r w:rsidR="00E34F23">
        <w:t xml:space="preserve"> </w:t>
      </w:r>
    </w:p>
    <w:p w14:paraId="35218AE0" w14:textId="47989A5D" w:rsidR="00426BEF" w:rsidRPr="00033784" w:rsidRDefault="00033784" w:rsidP="00033784">
      <w:pPr>
        <w:pStyle w:val="Heading1"/>
      </w:pPr>
      <w:r w:rsidRPr="00033784">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pPr>
      <w:r>
        <w:t>COCA</w:t>
      </w:r>
      <w:r>
        <w:tab/>
        <w:t>Cost of CO</w:t>
      </w:r>
      <w:r w:rsidRPr="00F743B4">
        <w:rPr>
          <w:vertAlign w:val="subscript"/>
        </w:rPr>
        <w:t>2</w:t>
      </w:r>
      <w:r>
        <w:t xml:space="preserve"> Avoidance</w:t>
      </w:r>
    </w:p>
    <w:p w14:paraId="0AA1DD1C" w14:textId="76E490F7" w:rsidR="00D409D0" w:rsidRDefault="00D409D0" w:rsidP="00907D39">
      <w:pPr>
        <w:pStyle w:val="NoSpacing"/>
      </w:pPr>
      <w:r>
        <w:t>DP</w:t>
      </w:r>
      <w:r w:rsidR="000975D5">
        <w:t>P</w:t>
      </w:r>
      <w:r w:rsidR="000975D5">
        <w:tab/>
        <w:t>Discounted Payback Period</w:t>
      </w:r>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lastRenderedPageBreak/>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10214E50" w:rsidR="00426BEF" w:rsidRDefault="00426BEF" w:rsidP="00907D39">
      <w:pPr>
        <w:pStyle w:val="NoSpacing"/>
      </w:pPr>
      <w:r>
        <w:t>TRL</w:t>
      </w:r>
      <w:r>
        <w:tab/>
        <w:t>Technology Readiness Level</w:t>
      </w:r>
    </w:p>
    <w:p w14:paraId="68C6118D" w14:textId="24103E13" w:rsidR="00033784" w:rsidRDefault="00D409D0" w:rsidP="00426BEF">
      <w:r>
        <w:t>SPP</w:t>
      </w:r>
      <w:r>
        <w:tab/>
        <w:t>Simple Payback Period</w:t>
      </w:r>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m:t>C</m:t>
        </m:r>
      </m:oMath>
      <w:r>
        <w:tab/>
        <w:t xml:space="preserve">Cost estimate </w:t>
      </w:r>
    </w:p>
    <w:p w14:paraId="258D855D" w14:textId="731B5069" w:rsidR="008054A9" w:rsidRDefault="00715B97"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 xml:space="preserve">Purchased cost with carbon steel at 1 </w:t>
      </w:r>
      <w:proofErr w:type="gramStart"/>
      <w:r w:rsidR="008054A9">
        <w:t>bar</w:t>
      </w:r>
      <w:proofErr w:type="gramEnd"/>
    </w:p>
    <w:p w14:paraId="6EDDF327" w14:textId="400C8E00" w:rsidR="001A3BEB" w:rsidRDefault="00715B97"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715B97"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715B97"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715B97"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715B97"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715B97"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t>References</w:t>
      </w:r>
    </w:p>
    <w:p w14:paraId="75015AD7" w14:textId="137981FF" w:rsidR="00A827FD" w:rsidRPr="00A827FD" w:rsidRDefault="00426BEF" w:rsidP="00A827FD">
      <w:pPr>
        <w:pStyle w:val="NormalWeb"/>
        <w:rPr>
          <w:rFonts w:ascii="Calibri" w:hAnsi="Calibri" w:cs="Calibri"/>
          <w:sz w:val="22"/>
        </w:rPr>
      </w:pPr>
      <w:r>
        <w:fldChar w:fldCharType="begin"/>
      </w:r>
      <w:r w:rsidR="00A827FD">
        <w:instrText>ADDIN RW.BIB</w:instrText>
      </w:r>
      <w:r>
        <w:fldChar w:fldCharType="separate"/>
      </w:r>
      <w:r w:rsidR="00A827FD" w:rsidRPr="00A827FD">
        <w:rPr>
          <w:rFonts w:ascii="Calibri" w:hAnsi="Calibri" w:cs="Calibri"/>
          <w:sz w:val="22"/>
        </w:rPr>
        <w:t>[1] J.M. Klara, M. Woods, O.J. Capicotto, J.T. Haslbeck, M. Matuszewski, L.L. Pinkerton, M.D. Rutkowski, R.L. Schoff and V. Vaysman, "Cost and performance baseline for fossil energy plants"</w:t>
      </w:r>
      <w:r w:rsidR="00A827FD" w:rsidRPr="00A827FD">
        <w:rPr>
          <w:rFonts w:ascii="Calibri" w:hAnsi="Calibri" w:cs="Calibri"/>
          <w:i/>
          <w:iCs/>
          <w:sz w:val="22"/>
        </w:rPr>
        <w:t xml:space="preserve"> National Energy Technology Laboratory, DOE/NETL-2007/1281. </w:t>
      </w:r>
      <w:r w:rsidR="00A827FD" w:rsidRPr="00A827FD">
        <w:rPr>
          <w:rFonts w:ascii="Calibri" w:hAnsi="Calibri" w:cs="Calibri"/>
          <w:sz w:val="22"/>
        </w:rPr>
        <w:t>2007.</w:t>
      </w:r>
    </w:p>
    <w:p w14:paraId="5006E12A" w14:textId="77777777" w:rsidR="00A827FD" w:rsidRPr="00A827FD" w:rsidRDefault="00A827FD" w:rsidP="00A827FD">
      <w:pPr>
        <w:pStyle w:val="NormalWeb"/>
        <w:rPr>
          <w:rFonts w:ascii="Calibri" w:hAnsi="Calibri" w:cs="Calibri"/>
          <w:sz w:val="22"/>
        </w:rPr>
      </w:pPr>
      <w:r w:rsidRPr="00A827FD">
        <w:rPr>
          <w:rFonts w:ascii="Calibri" w:hAnsi="Calibri" w:cs="Calibri"/>
          <w:sz w:val="22"/>
        </w:rPr>
        <w:t>[2] R.2. DOE/NETL-2010/1397, "Cost performance baseline for fossil energy plants. Volume 1: Bituminous coal and natural gas to electricity "</w:t>
      </w:r>
      <w:r w:rsidRPr="00A827FD">
        <w:rPr>
          <w:rFonts w:ascii="Calibri" w:hAnsi="Calibri" w:cs="Calibri"/>
          <w:i/>
          <w:iCs/>
          <w:sz w:val="22"/>
        </w:rPr>
        <w:t xml:space="preserve"> performance baseline for fossil energy plants.Volume 1: Bituminous coal and natural gas to electricity. </w:t>
      </w:r>
      <w:r w:rsidRPr="00A827FD">
        <w:rPr>
          <w:rFonts w:ascii="Calibri" w:hAnsi="Calibri" w:cs="Calibri"/>
          <w:sz w:val="22"/>
        </w:rPr>
        <w:t>2013.</w:t>
      </w:r>
    </w:p>
    <w:p w14:paraId="32F8FA3A" w14:textId="77777777" w:rsidR="00A827FD" w:rsidRPr="00A827FD" w:rsidRDefault="00A827FD" w:rsidP="00A827FD">
      <w:pPr>
        <w:pStyle w:val="NormalWeb"/>
        <w:rPr>
          <w:rFonts w:ascii="Calibri" w:hAnsi="Calibri" w:cs="Calibri"/>
          <w:sz w:val="22"/>
        </w:rPr>
      </w:pPr>
      <w:r w:rsidRPr="00A827F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A827FD">
        <w:rPr>
          <w:rFonts w:ascii="Calibri" w:hAnsi="Calibri" w:cs="Calibri"/>
          <w:i/>
          <w:iCs/>
          <w:sz w:val="22"/>
        </w:rPr>
        <w:t xml:space="preserve"> Cost and Performance Baseline for Fossil Energy Plants Volume 1b: Bituminous Coal (IGCC) to Electricity Revision 2b–Year Dollar Update. </w:t>
      </w:r>
      <w:r w:rsidRPr="00A827FD">
        <w:rPr>
          <w:rFonts w:ascii="Calibri" w:hAnsi="Calibri" w:cs="Calibri"/>
          <w:sz w:val="22"/>
        </w:rPr>
        <w:t>2015.</w:t>
      </w:r>
    </w:p>
    <w:p w14:paraId="14A4411D" w14:textId="77777777" w:rsidR="00A827FD" w:rsidRPr="00A827FD" w:rsidRDefault="00A827FD" w:rsidP="00A827FD">
      <w:pPr>
        <w:pStyle w:val="NormalWeb"/>
        <w:rPr>
          <w:rFonts w:ascii="Calibri" w:hAnsi="Calibri" w:cs="Calibri"/>
          <w:sz w:val="22"/>
        </w:rPr>
      </w:pPr>
      <w:r w:rsidRPr="00A827F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A827FD">
        <w:rPr>
          <w:rFonts w:ascii="Calibri" w:hAnsi="Calibri" w:cs="Calibri"/>
          <w:i/>
          <w:iCs/>
          <w:sz w:val="22"/>
        </w:rPr>
        <w:t xml:space="preserve"> Cost and Performance Baseline for Fossil Energy Plants, Volume 1: Bituminous Coal and Natural Gas to Electricity, Revision 4. </w:t>
      </w:r>
      <w:r w:rsidRPr="00A827FD">
        <w:rPr>
          <w:rFonts w:ascii="Calibri" w:hAnsi="Calibri" w:cs="Calibri"/>
          <w:sz w:val="22"/>
        </w:rPr>
        <w:t>2018.</w:t>
      </w:r>
    </w:p>
    <w:p w14:paraId="7C62B84B" w14:textId="77777777" w:rsidR="00A827FD" w:rsidRPr="00A827FD" w:rsidRDefault="00A827FD" w:rsidP="00A827FD">
      <w:pPr>
        <w:pStyle w:val="NormalWeb"/>
        <w:rPr>
          <w:rFonts w:ascii="Calibri" w:hAnsi="Calibri" w:cs="Calibri"/>
          <w:sz w:val="22"/>
        </w:rPr>
      </w:pPr>
      <w:r w:rsidRPr="00A827FD">
        <w:rPr>
          <w:rFonts w:ascii="Calibri" w:hAnsi="Calibri" w:cs="Calibri"/>
          <w:sz w:val="22"/>
        </w:rPr>
        <w:t>[5] IEAGHG R&amp;D Programme, "Effects of Plant Location on the Costs of CO2 Capture, Technical Report" 2018.</w:t>
      </w:r>
    </w:p>
    <w:p w14:paraId="72450F60" w14:textId="7B8EFF2B" w:rsidR="00A827FD" w:rsidRPr="00A827FD" w:rsidRDefault="00A827FD" w:rsidP="00A827FD">
      <w:pPr>
        <w:pStyle w:val="NormalWeb"/>
        <w:rPr>
          <w:rFonts w:ascii="Calibri" w:hAnsi="Calibri" w:cs="Calibri"/>
          <w:sz w:val="22"/>
        </w:rPr>
      </w:pPr>
      <w:r w:rsidRPr="00A827FD">
        <w:rPr>
          <w:rFonts w:ascii="Calibri" w:hAnsi="Calibri" w:cs="Calibri"/>
          <w:sz w:val="22"/>
        </w:rPr>
        <w:t>[6] Plant Cost Index Archives - Chemical Engineering</w:t>
      </w:r>
      <w:hyperlink r:id="rId31" w:tgtFrame="_blank" w:history="1">
        <w:r w:rsidRPr="00A827FD">
          <w:rPr>
            <w:rStyle w:val="Hyperlink"/>
            <w:rFonts w:ascii="Calibri" w:hAnsi="Calibri" w:cs="Calibri"/>
            <w:sz w:val="22"/>
          </w:rPr>
          <w:t>http://www.chemengonline.com</w:t>
        </w:r>
      </w:hyperlink>
      <w:r w:rsidRPr="00A827FD">
        <w:rPr>
          <w:rFonts w:ascii="Calibri" w:hAnsi="Calibri" w:cs="Calibri"/>
          <w:sz w:val="22"/>
        </w:rPr>
        <w:t xml:space="preserve"> 2018.</w:t>
      </w:r>
    </w:p>
    <w:p w14:paraId="5E6BD913" w14:textId="77777777" w:rsidR="00A827FD" w:rsidRPr="00A827FD" w:rsidRDefault="00A827FD" w:rsidP="00A827FD">
      <w:pPr>
        <w:pStyle w:val="NormalWeb"/>
        <w:rPr>
          <w:rFonts w:ascii="Calibri" w:hAnsi="Calibri" w:cs="Calibri"/>
          <w:sz w:val="22"/>
        </w:rPr>
      </w:pPr>
      <w:r w:rsidRPr="00A827FD">
        <w:rPr>
          <w:rFonts w:ascii="Calibri" w:hAnsi="Calibri" w:cs="Calibri"/>
          <w:sz w:val="22"/>
        </w:rPr>
        <w:lastRenderedPageBreak/>
        <w:t>[7] R. Turton, R.C. Bailie, W.B. Whiting and J.A. Shaeiwitz, "Analysis, synthesis and design of chemical processes", 2008.</w:t>
      </w:r>
    </w:p>
    <w:p w14:paraId="6A7389D6" w14:textId="77777777" w:rsidR="00A827FD" w:rsidRPr="00A827FD" w:rsidRDefault="00A827FD" w:rsidP="00A827FD">
      <w:pPr>
        <w:pStyle w:val="NormalWeb"/>
        <w:rPr>
          <w:rFonts w:ascii="Calibri" w:hAnsi="Calibri" w:cs="Calibri"/>
          <w:sz w:val="22"/>
        </w:rPr>
      </w:pPr>
      <w:r w:rsidRPr="00A827FD">
        <w:rPr>
          <w:rFonts w:ascii="Calibri" w:hAnsi="Calibri" w:cs="Calibri"/>
          <w:sz w:val="22"/>
        </w:rPr>
        <w:t>[8] K.M. Guthrie, "Data and Techniques for Preliminary Capital Cost Estimating", 1969.</w:t>
      </w:r>
    </w:p>
    <w:p w14:paraId="6D7BD212" w14:textId="77777777" w:rsidR="00A827FD" w:rsidRPr="00A827FD" w:rsidRDefault="00A827FD" w:rsidP="00A827FD">
      <w:pPr>
        <w:pStyle w:val="NormalWeb"/>
        <w:rPr>
          <w:rFonts w:ascii="Calibri" w:hAnsi="Calibri" w:cs="Calibri"/>
          <w:sz w:val="22"/>
        </w:rPr>
      </w:pPr>
      <w:r w:rsidRPr="00A827FD">
        <w:rPr>
          <w:rFonts w:ascii="Calibri" w:hAnsi="Calibri" w:cs="Calibri"/>
          <w:sz w:val="22"/>
        </w:rPr>
        <w:t>[9] W.D. Seider, J.D. Seader and D.R. Lewin, "PRODUCT &amp; PROCESS DESIGN PRINCIPLES: SYNTHESIS, ANALYSIS AND EVALUATION, (With CD)", 2009.</w:t>
      </w:r>
    </w:p>
    <w:p w14:paraId="4236FBFE" w14:textId="77777777" w:rsidR="00A827FD" w:rsidRPr="00A827FD" w:rsidRDefault="00A827FD" w:rsidP="00A827FD">
      <w:pPr>
        <w:pStyle w:val="NormalWeb"/>
        <w:rPr>
          <w:rFonts w:ascii="Calibri" w:hAnsi="Calibri" w:cs="Calibri"/>
          <w:sz w:val="22"/>
        </w:rPr>
      </w:pPr>
      <w:r w:rsidRPr="00A827FD">
        <w:rPr>
          <w:rFonts w:ascii="Calibri" w:hAnsi="Calibri" w:cs="Calibri"/>
          <w:sz w:val="22"/>
        </w:rPr>
        <w:t>[10] Robin Smith, "Chemical Process Design and Integration" John Wiley &amp; Sons Ltd, 2005.</w:t>
      </w:r>
    </w:p>
    <w:p w14:paraId="526E1810" w14:textId="77777777" w:rsidR="00A827FD" w:rsidRPr="00A827FD" w:rsidRDefault="00A827FD" w:rsidP="00A827FD">
      <w:pPr>
        <w:pStyle w:val="NormalWeb"/>
        <w:rPr>
          <w:rFonts w:ascii="Calibri" w:hAnsi="Calibri" w:cs="Calibri"/>
          <w:sz w:val="22"/>
        </w:rPr>
      </w:pPr>
      <w:r w:rsidRPr="00A827FD">
        <w:rPr>
          <w:rFonts w:ascii="Calibri" w:hAnsi="Calibri" w:cs="Calibri"/>
          <w:sz w:val="22"/>
        </w:rPr>
        <w:t>[11] R. Anantharaman, O. Bolland, N. Booth, E. Van Dorst, E. Sanchez Fernandez, F. Franco, E. Macchi, G. Manzolini, D. Nikolic, A. Pfeffer, M. Prins, S. Rezvani and L. Robinson, "Cesar Deliverable D2.4.3. European Best Practice Guidelines For Assessment Of Co2 Capture Technologies" 2018.</w:t>
      </w:r>
    </w:p>
    <w:p w14:paraId="649E0104" w14:textId="77777777" w:rsidR="00A827FD" w:rsidRPr="00A827FD" w:rsidRDefault="00A827FD" w:rsidP="00A827FD">
      <w:pPr>
        <w:pStyle w:val="NormalWeb"/>
        <w:rPr>
          <w:rFonts w:ascii="Calibri" w:hAnsi="Calibri" w:cs="Calibri"/>
          <w:sz w:val="22"/>
        </w:rPr>
      </w:pPr>
      <w:r w:rsidRPr="00A827FD">
        <w:rPr>
          <w:rFonts w:ascii="Calibri" w:hAnsi="Calibri" w:cs="Calibri"/>
          <w:sz w:val="22"/>
        </w:rPr>
        <w:t>[12] C.O. IEAGHG, "Capture at coal based power and hydrogen plants, Report 2014/3" 2014.</w:t>
      </w:r>
    </w:p>
    <w:p w14:paraId="1C99E32D" w14:textId="77777777" w:rsidR="00A827FD" w:rsidRPr="00A827FD" w:rsidRDefault="00A827FD" w:rsidP="00A827FD">
      <w:pPr>
        <w:pStyle w:val="NormalWeb"/>
        <w:rPr>
          <w:rFonts w:ascii="Calibri" w:hAnsi="Calibri" w:cs="Calibri"/>
          <w:sz w:val="22"/>
        </w:rPr>
      </w:pPr>
      <w:r w:rsidRPr="00A827FD">
        <w:rPr>
          <w:rFonts w:ascii="Calibri" w:hAnsi="Calibri" w:cs="Calibri"/>
          <w:sz w:val="22"/>
        </w:rPr>
        <w:t>[13] M. Babcock, "Oxy combustion processes for CO2 capture from power plant"</w:t>
      </w:r>
      <w:r w:rsidRPr="00A827FD">
        <w:rPr>
          <w:rFonts w:ascii="Calibri" w:hAnsi="Calibri" w:cs="Calibri"/>
          <w:i/>
          <w:iCs/>
          <w:sz w:val="22"/>
        </w:rPr>
        <w:t xml:space="preserve"> IEA, Report. </w:t>
      </w:r>
      <w:r w:rsidRPr="00A827FD">
        <w:rPr>
          <w:rFonts w:ascii="Calibri" w:hAnsi="Calibri" w:cs="Calibri"/>
          <w:sz w:val="22"/>
        </w:rPr>
        <w:t>2005, no. 2005/9.</w:t>
      </w:r>
    </w:p>
    <w:p w14:paraId="56ACFE54" w14:textId="77777777" w:rsidR="00A827FD" w:rsidRPr="00A827FD" w:rsidRDefault="00A827FD" w:rsidP="00A827FD">
      <w:pPr>
        <w:pStyle w:val="NormalWeb"/>
        <w:rPr>
          <w:rFonts w:ascii="Calibri" w:hAnsi="Calibri" w:cs="Calibri"/>
          <w:sz w:val="22"/>
        </w:rPr>
      </w:pPr>
      <w:r w:rsidRPr="00A827FD">
        <w:rPr>
          <w:rFonts w:ascii="Calibri" w:hAnsi="Calibri" w:cs="Calibri"/>
          <w:sz w:val="22"/>
        </w:rPr>
        <w:t>[14] S. Roussanaly, E. Rubin, M.V. Der Spek, N. Berghout, G. Booras, T. Fout, M. Garcia, S. Gardarsdottir, M. Matuszewsk and S. McCoy, "Towards improved guidelines for cost evaluation of CO2 capture technologies" 2019.</w:t>
      </w:r>
    </w:p>
    <w:p w14:paraId="75A33AEC" w14:textId="377CDD54" w:rsidR="009E6219" w:rsidRPr="009E6219" w:rsidRDefault="00A827FD" w:rsidP="00A827FD">
      <w:r w:rsidRPr="00A827F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alk Cloete" w:date="2021-04-22T19:22:00Z" w:initials="SC">
    <w:p w14:paraId="132466D0" w14:textId="251C9C51" w:rsidR="00A827FD" w:rsidRPr="00BA7206" w:rsidRDefault="00A827FD">
      <w:pPr>
        <w:pStyle w:val="CommentText"/>
      </w:pPr>
      <w:r w:rsidRPr="00BA7206">
        <w:rPr>
          <w:rStyle w:val="CommentReference"/>
        </w:rPr>
        <w:annotationRef/>
      </w:r>
      <w:r w:rsidR="00B1581B">
        <w:t xml:space="preserve">We will hopefully make the repository public next week. Then we can put a link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2466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C4B6B" w16cex:dateUtc="2021-04-22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2466D0" w16cid:durableId="242C4B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989AE" w14:textId="77777777" w:rsidR="001E2520" w:rsidRDefault="001E2520" w:rsidP="001B776F">
      <w:pPr>
        <w:spacing w:after="0" w:line="240" w:lineRule="auto"/>
      </w:pPr>
      <w:r>
        <w:separator/>
      </w:r>
    </w:p>
  </w:endnote>
  <w:endnote w:type="continuationSeparator" w:id="0">
    <w:p w14:paraId="7A776B4A" w14:textId="77777777" w:rsidR="001E2520" w:rsidRDefault="001E2520" w:rsidP="001B776F">
      <w:pPr>
        <w:spacing w:after="0" w:line="240" w:lineRule="auto"/>
      </w:pPr>
      <w:r>
        <w:continuationSeparator/>
      </w:r>
    </w:p>
  </w:endnote>
  <w:endnote w:type="continuationNotice" w:id="1">
    <w:p w14:paraId="299862CC" w14:textId="77777777" w:rsidR="001E2520" w:rsidRDefault="001E25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D5B5" w14:textId="77777777" w:rsidR="00E96B7A" w:rsidRDefault="00E96B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C10C" w14:textId="77777777" w:rsidR="00E96B7A" w:rsidRDefault="00E96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82430" w14:textId="77777777" w:rsidR="001E2520" w:rsidRDefault="001E2520" w:rsidP="001B776F">
      <w:pPr>
        <w:spacing w:after="0" w:line="240" w:lineRule="auto"/>
      </w:pPr>
      <w:r>
        <w:separator/>
      </w:r>
    </w:p>
  </w:footnote>
  <w:footnote w:type="continuationSeparator" w:id="0">
    <w:p w14:paraId="5B810239" w14:textId="77777777" w:rsidR="001E2520" w:rsidRDefault="001E2520" w:rsidP="001B776F">
      <w:pPr>
        <w:spacing w:after="0" w:line="240" w:lineRule="auto"/>
      </w:pPr>
      <w:r>
        <w:continuationSeparator/>
      </w:r>
    </w:p>
  </w:footnote>
  <w:footnote w:type="continuationNotice" w:id="1">
    <w:p w14:paraId="33D14F0A" w14:textId="77777777" w:rsidR="001E2520" w:rsidRDefault="001E25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1894" w14:textId="77777777" w:rsidR="00E96B7A" w:rsidRDefault="00E96B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r w:rsidR="00E96B7A" w:rsidRPr="00C6571D">
      <w:rPr>
        <w:sz w:val="18"/>
        <w:lang w:val="es-ES"/>
      </w:rPr>
      <w:t>User Guide</w:t>
    </w:r>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733E" w14:textId="77777777" w:rsidR="00E96B7A" w:rsidRDefault="00E96B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alk Cloete">
    <w15:presenceInfo w15:providerId="AD" w15:userId="S::schalk.cloete@sintef.no::05eb9288-bb9b-427a-addd-5bca163b72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rgUAs1Zb5CwAAAA="/>
  </w:docVars>
  <w:rsids>
    <w:rsidRoot w:val="00AF72F7"/>
    <w:rsid w:val="00013478"/>
    <w:rsid w:val="0001715C"/>
    <w:rsid w:val="000239B1"/>
    <w:rsid w:val="00024C89"/>
    <w:rsid w:val="00033784"/>
    <w:rsid w:val="000340FF"/>
    <w:rsid w:val="00051B0B"/>
    <w:rsid w:val="00055A59"/>
    <w:rsid w:val="0006306C"/>
    <w:rsid w:val="00066747"/>
    <w:rsid w:val="000821AA"/>
    <w:rsid w:val="000975D5"/>
    <w:rsid w:val="000A3720"/>
    <w:rsid w:val="000A4845"/>
    <w:rsid w:val="000D29F7"/>
    <w:rsid w:val="000D2B92"/>
    <w:rsid w:val="000F070C"/>
    <w:rsid w:val="000F0C27"/>
    <w:rsid w:val="000F1EE2"/>
    <w:rsid w:val="001115A7"/>
    <w:rsid w:val="00125F64"/>
    <w:rsid w:val="00136A38"/>
    <w:rsid w:val="0015008D"/>
    <w:rsid w:val="00154DB8"/>
    <w:rsid w:val="00164629"/>
    <w:rsid w:val="00180C23"/>
    <w:rsid w:val="00184251"/>
    <w:rsid w:val="00191A0F"/>
    <w:rsid w:val="00193223"/>
    <w:rsid w:val="00197706"/>
    <w:rsid w:val="001A2C20"/>
    <w:rsid w:val="001A3BEB"/>
    <w:rsid w:val="001A4BA7"/>
    <w:rsid w:val="001B776F"/>
    <w:rsid w:val="001C1ABC"/>
    <w:rsid w:val="001C59F5"/>
    <w:rsid w:val="001E2520"/>
    <w:rsid w:val="002141F3"/>
    <w:rsid w:val="002219F2"/>
    <w:rsid w:val="0023391F"/>
    <w:rsid w:val="0024052A"/>
    <w:rsid w:val="00245031"/>
    <w:rsid w:val="00245453"/>
    <w:rsid w:val="0026681A"/>
    <w:rsid w:val="00266D64"/>
    <w:rsid w:val="00277FBD"/>
    <w:rsid w:val="0028279B"/>
    <w:rsid w:val="00284731"/>
    <w:rsid w:val="0029010D"/>
    <w:rsid w:val="002901E1"/>
    <w:rsid w:val="0029269B"/>
    <w:rsid w:val="002E6017"/>
    <w:rsid w:val="002E78E1"/>
    <w:rsid w:val="00301A70"/>
    <w:rsid w:val="003149A6"/>
    <w:rsid w:val="00335C1F"/>
    <w:rsid w:val="00335F38"/>
    <w:rsid w:val="003373C5"/>
    <w:rsid w:val="0034198D"/>
    <w:rsid w:val="00380483"/>
    <w:rsid w:val="003812E1"/>
    <w:rsid w:val="003815C3"/>
    <w:rsid w:val="00384E08"/>
    <w:rsid w:val="00391F15"/>
    <w:rsid w:val="003A5D16"/>
    <w:rsid w:val="003A7275"/>
    <w:rsid w:val="003B7D1D"/>
    <w:rsid w:val="003E3CAE"/>
    <w:rsid w:val="003F129D"/>
    <w:rsid w:val="00406DF7"/>
    <w:rsid w:val="004262B3"/>
    <w:rsid w:val="00426BEF"/>
    <w:rsid w:val="004339CE"/>
    <w:rsid w:val="0044233B"/>
    <w:rsid w:val="00447EF5"/>
    <w:rsid w:val="004647A3"/>
    <w:rsid w:val="00485DEF"/>
    <w:rsid w:val="004A1343"/>
    <w:rsid w:val="004D6AE4"/>
    <w:rsid w:val="004F296D"/>
    <w:rsid w:val="00506C94"/>
    <w:rsid w:val="005117F2"/>
    <w:rsid w:val="005149D2"/>
    <w:rsid w:val="00522D76"/>
    <w:rsid w:val="00524636"/>
    <w:rsid w:val="00524B7E"/>
    <w:rsid w:val="00524FAC"/>
    <w:rsid w:val="00525082"/>
    <w:rsid w:val="00525C78"/>
    <w:rsid w:val="00537528"/>
    <w:rsid w:val="00540CA5"/>
    <w:rsid w:val="00545641"/>
    <w:rsid w:val="00561E0D"/>
    <w:rsid w:val="00562486"/>
    <w:rsid w:val="00574BDF"/>
    <w:rsid w:val="00587B4F"/>
    <w:rsid w:val="00591445"/>
    <w:rsid w:val="005A31D2"/>
    <w:rsid w:val="005A478C"/>
    <w:rsid w:val="005B05B9"/>
    <w:rsid w:val="005B0D3D"/>
    <w:rsid w:val="005B4AB8"/>
    <w:rsid w:val="005B724E"/>
    <w:rsid w:val="005C21F2"/>
    <w:rsid w:val="005E2535"/>
    <w:rsid w:val="005E71F1"/>
    <w:rsid w:val="00610BD2"/>
    <w:rsid w:val="00632B63"/>
    <w:rsid w:val="006348B6"/>
    <w:rsid w:val="00646484"/>
    <w:rsid w:val="006632AE"/>
    <w:rsid w:val="00675F0A"/>
    <w:rsid w:val="00682EE9"/>
    <w:rsid w:val="00683A46"/>
    <w:rsid w:val="006A51E3"/>
    <w:rsid w:val="006A53AB"/>
    <w:rsid w:val="006C5FB7"/>
    <w:rsid w:val="006D5091"/>
    <w:rsid w:val="006E7619"/>
    <w:rsid w:val="006E777A"/>
    <w:rsid w:val="006F34F0"/>
    <w:rsid w:val="00715B97"/>
    <w:rsid w:val="00761021"/>
    <w:rsid w:val="0076162C"/>
    <w:rsid w:val="00767664"/>
    <w:rsid w:val="0077093B"/>
    <w:rsid w:val="007766BC"/>
    <w:rsid w:val="0077673F"/>
    <w:rsid w:val="007A391C"/>
    <w:rsid w:val="007C4B08"/>
    <w:rsid w:val="007D4106"/>
    <w:rsid w:val="007F4B97"/>
    <w:rsid w:val="00802839"/>
    <w:rsid w:val="008054A9"/>
    <w:rsid w:val="008219FE"/>
    <w:rsid w:val="00831FB7"/>
    <w:rsid w:val="00843CCC"/>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2A79"/>
    <w:rsid w:val="00907D39"/>
    <w:rsid w:val="009100BA"/>
    <w:rsid w:val="00921EDE"/>
    <w:rsid w:val="00934FDD"/>
    <w:rsid w:val="00944C8B"/>
    <w:rsid w:val="00951836"/>
    <w:rsid w:val="0095250C"/>
    <w:rsid w:val="00975D96"/>
    <w:rsid w:val="00987C96"/>
    <w:rsid w:val="009A043B"/>
    <w:rsid w:val="009A5A48"/>
    <w:rsid w:val="009B2380"/>
    <w:rsid w:val="009C69F5"/>
    <w:rsid w:val="009D0FDE"/>
    <w:rsid w:val="009E6219"/>
    <w:rsid w:val="009F518B"/>
    <w:rsid w:val="00A0002F"/>
    <w:rsid w:val="00A3278F"/>
    <w:rsid w:val="00A336AD"/>
    <w:rsid w:val="00A3794B"/>
    <w:rsid w:val="00A37B61"/>
    <w:rsid w:val="00A73462"/>
    <w:rsid w:val="00A827FD"/>
    <w:rsid w:val="00A82D98"/>
    <w:rsid w:val="00A83D7B"/>
    <w:rsid w:val="00AA6FD5"/>
    <w:rsid w:val="00AB46E5"/>
    <w:rsid w:val="00AB67F8"/>
    <w:rsid w:val="00AB7DE1"/>
    <w:rsid w:val="00AD57B1"/>
    <w:rsid w:val="00AE5A55"/>
    <w:rsid w:val="00AF245B"/>
    <w:rsid w:val="00AF72F7"/>
    <w:rsid w:val="00B1581B"/>
    <w:rsid w:val="00B24526"/>
    <w:rsid w:val="00B31E68"/>
    <w:rsid w:val="00B370EC"/>
    <w:rsid w:val="00B42A5F"/>
    <w:rsid w:val="00B6219D"/>
    <w:rsid w:val="00B65FBD"/>
    <w:rsid w:val="00B96DEC"/>
    <w:rsid w:val="00BA04F9"/>
    <w:rsid w:val="00BA7206"/>
    <w:rsid w:val="00BB39FE"/>
    <w:rsid w:val="00BB4118"/>
    <w:rsid w:val="00BD3E6D"/>
    <w:rsid w:val="00BE1793"/>
    <w:rsid w:val="00C01556"/>
    <w:rsid w:val="00C06EA3"/>
    <w:rsid w:val="00C17F37"/>
    <w:rsid w:val="00C31C22"/>
    <w:rsid w:val="00C5659C"/>
    <w:rsid w:val="00C6571D"/>
    <w:rsid w:val="00C929AF"/>
    <w:rsid w:val="00C962A2"/>
    <w:rsid w:val="00C962BB"/>
    <w:rsid w:val="00CB06E5"/>
    <w:rsid w:val="00CB1024"/>
    <w:rsid w:val="00CB4E7F"/>
    <w:rsid w:val="00CB693D"/>
    <w:rsid w:val="00CC3A85"/>
    <w:rsid w:val="00CF2BA2"/>
    <w:rsid w:val="00D3257A"/>
    <w:rsid w:val="00D33DBB"/>
    <w:rsid w:val="00D409D0"/>
    <w:rsid w:val="00D47451"/>
    <w:rsid w:val="00D50905"/>
    <w:rsid w:val="00D710FC"/>
    <w:rsid w:val="00D82702"/>
    <w:rsid w:val="00D87C90"/>
    <w:rsid w:val="00D94140"/>
    <w:rsid w:val="00DA0F72"/>
    <w:rsid w:val="00DA16CE"/>
    <w:rsid w:val="00DA730C"/>
    <w:rsid w:val="00DB1339"/>
    <w:rsid w:val="00DB72DD"/>
    <w:rsid w:val="00DC5838"/>
    <w:rsid w:val="00DF0309"/>
    <w:rsid w:val="00E052A9"/>
    <w:rsid w:val="00E11447"/>
    <w:rsid w:val="00E33943"/>
    <w:rsid w:val="00E349D7"/>
    <w:rsid w:val="00E34F23"/>
    <w:rsid w:val="00E41032"/>
    <w:rsid w:val="00E5719B"/>
    <w:rsid w:val="00E64509"/>
    <w:rsid w:val="00E91C31"/>
    <w:rsid w:val="00E96B7A"/>
    <w:rsid w:val="00EA353A"/>
    <w:rsid w:val="00EA47C8"/>
    <w:rsid w:val="00EA7CE5"/>
    <w:rsid w:val="00EC5550"/>
    <w:rsid w:val="00EC7C5F"/>
    <w:rsid w:val="00ED34B8"/>
    <w:rsid w:val="00EE1824"/>
    <w:rsid w:val="00EE70E7"/>
    <w:rsid w:val="00EF57D1"/>
    <w:rsid w:val="00F06C03"/>
    <w:rsid w:val="00F07A29"/>
    <w:rsid w:val="00F10B0F"/>
    <w:rsid w:val="00F155DE"/>
    <w:rsid w:val="00F67E65"/>
    <w:rsid w:val="00F743B4"/>
    <w:rsid w:val="00F92C88"/>
    <w:rsid w:val="00F94EF2"/>
    <w:rsid w:val="00FA5DFB"/>
    <w:rsid w:val="00FC52BC"/>
    <w:rsid w:val="00FD1975"/>
    <w:rsid w:val="00FD22DF"/>
    <w:rsid w:val="00FE4028"/>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image" Target="media/image11.png"/><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nu.org/licenses/gpl-3.0.tx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www.chemengonlin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81B32-342B-4F1F-92E7-6BDCD9A21D56}">
  <ds:schemaRefs>
    <ds:schemaRef ds:uri="http://purl.org/dc/dcmitype/"/>
    <ds:schemaRef ds:uri="http://schemas.microsoft.com/office/infopath/2007/PartnerControls"/>
    <ds:schemaRef ds:uri="http://purl.org/dc/elements/1.1/"/>
    <ds:schemaRef ds:uri="http://schemas.microsoft.com/office/2006/metadata/properties"/>
    <ds:schemaRef ds:uri="8bbd4995-53b7-43e2-b62f-10947586ac31"/>
    <ds:schemaRef ds:uri="http://schemas.microsoft.com/office/2006/documentManagement/types"/>
    <ds:schemaRef ds:uri="http://purl.org/dc/terms/"/>
    <ds:schemaRef ds:uri="http://schemas.openxmlformats.org/package/2006/metadata/core-properties"/>
    <ds:schemaRef ds:uri="35c35788-dca2-4064-b918-caad7388341a"/>
    <ds:schemaRef ds:uri="http://www.w3.org/XML/1998/namespace"/>
  </ds:schemaRefs>
</ds:datastoreItem>
</file>

<file path=customXml/itemProps2.xml><?xml version="1.0" encoding="utf-8"?>
<ds:datastoreItem xmlns:ds="http://schemas.openxmlformats.org/officeDocument/2006/customXml" ds:itemID="{CAAF4C9E-9029-4FE3-B36E-B08B849B0C71}">
  <ds:schemaRefs>
    <ds:schemaRef ds:uri="http://schemas.microsoft.com/sharepoint/v3/contenttype/forms"/>
  </ds:schemaRefs>
</ds:datastoreItem>
</file>

<file path=customXml/itemProps3.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5316</Words>
  <Characters>29242</Characters>
  <Application>Microsoft Office Word</Application>
  <DocSecurity>0</DocSecurity>
  <Lines>243</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CARLOS RAFAEL ARNAIZ DEL POZO</cp:lastModifiedBy>
  <cp:revision>2</cp:revision>
  <dcterms:created xsi:type="dcterms:W3CDTF">2021-06-12T08:37:00Z</dcterms:created>
  <dcterms:modified xsi:type="dcterms:W3CDTF">2021-06-12T08:37:00Z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User Guide - v3</vt:lpwstr>
  </property>
  <property fmtid="{D5CDD505-2E9C-101B-9397-08002B2CF9AE}" pid="8" name="ContentTypeId">
    <vt:lpwstr>0x01010031B82B69D2361148B4D8F7EC15680213080064A8C3CD78C859468EAC224A42287968</vt:lpwstr>
  </property>
</Properties>
</file>