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512C15B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Sh</w:t>
        </w:r>
        <w:r w:rsidR="004757E4" w:rsidRPr="004757E4">
          <w:rPr>
            <w:rStyle w:val="Hyperlink"/>
          </w:rPr>
          <w:t>a</w:t>
        </w:r>
        <w:r w:rsidR="004757E4" w:rsidRPr="004757E4">
          <w:rPr>
            <w:rStyle w:val="Hyperlink"/>
          </w:rPr>
          <w:t>rePoint repository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BD42BB"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0EFBDE54"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C948D2">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BD42BB"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BD42BB"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BD42BB"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BD42BB"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BD42BB"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A505B7">
      <w:pPr>
        <w:spacing w:before="240"/>
      </w:pPr>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5CD6DB15"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C948D2">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5B593F13"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C948D2">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16E76F34" w:rsidR="00C929AF" w:rsidRDefault="006E2424" w:rsidP="00C929AF">
      <w:pPr>
        <w:keepNext/>
        <w:jc w:val="center"/>
      </w:pPr>
      <w:r>
        <w:rPr>
          <w:noProof/>
        </w:rPr>
        <w:drawing>
          <wp:inline distT="0" distB="0" distL="0" distR="0" wp14:anchorId="47A1CED2" wp14:editId="565E28F5">
            <wp:extent cx="5731510" cy="2939415"/>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939415"/>
                    </a:xfrm>
                    <a:prstGeom prst="rect">
                      <a:avLst/>
                    </a:prstGeom>
                  </pic:spPr>
                </pic:pic>
              </a:graphicData>
            </a:graphic>
          </wp:inline>
        </w:drawing>
      </w:r>
    </w:p>
    <w:p w14:paraId="4B152AA3" w14:textId="3B85AF18"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C948D2">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5CE03314"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C948D2">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00A5A59B"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C948D2">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326FE1F1"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C948D2">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505C943"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C948D2">
        <w:rPr>
          <w:noProof/>
        </w:rPr>
        <w:t>8</w:t>
      </w:r>
      <w:r>
        <w:fldChar w:fldCharType="end"/>
      </w:r>
      <w:bookmarkEnd w:id="16"/>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w:t>
      </w:r>
      <w:proofErr w:type="gramStart"/>
      <w:r w:rsidR="001A4BA7">
        <w:t>name</w:t>
      </w:r>
      <w:proofErr w:type="gramEnd"/>
      <w:r w:rsidR="001A4BA7">
        <w:t xml:space="preserv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62D480B0"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C948D2">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47B8C632">
            <wp:extent cx="5239096" cy="2519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906" cy="2523535"/>
                    </a:xfrm>
                    <a:prstGeom prst="rect">
                      <a:avLst/>
                    </a:prstGeom>
                    <a:noFill/>
                    <a:ln>
                      <a:noFill/>
                    </a:ln>
                  </pic:spPr>
                </pic:pic>
              </a:graphicData>
            </a:graphic>
          </wp:inline>
        </w:drawing>
      </w:r>
    </w:p>
    <w:p w14:paraId="0FF28E5A" w14:textId="0F4092E3"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C948D2">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3679C945"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C948D2">
        <w:rPr>
          <w:noProof/>
        </w:rPr>
        <w:t>11</w:t>
      </w:r>
      <w:r>
        <w:fldChar w:fldCharType="end"/>
      </w:r>
      <w:bookmarkEnd w:id="19"/>
      <w:r w:rsidRPr="009B2380">
        <w:t xml:space="preserve"> Plant CAPEX sheet distribution</w:t>
      </w:r>
    </w:p>
    <w:p w14:paraId="0EB4F2E4" w14:textId="3181F399" w:rsidR="00284731" w:rsidRDefault="00284731" w:rsidP="00907D39">
      <w:r>
        <w:lastRenderedPageBreak/>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32742F83"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C948D2">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0506ED0"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C948D2">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4207C99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317EB7A5" w14:textId="7F36E7D3" w:rsidR="00C948D2" w:rsidRDefault="00C948D2" w:rsidP="00C948D2">
      <w:pPr>
        <w:pStyle w:val="Heading2"/>
      </w:pPr>
      <w:r>
        <w:t>Input to System</w:t>
      </w:r>
      <w:r w:rsidR="006E2424">
        <w:t>-</w:t>
      </w:r>
      <w:r>
        <w:t>Scale Model (SSM)</w:t>
      </w:r>
    </w:p>
    <w:p w14:paraId="436D6733" w14:textId="14E6BF83" w:rsidR="00C948D2" w:rsidRDefault="00C948D2" w:rsidP="00C948D2">
      <w:pPr>
        <w:spacing w:before="240"/>
      </w:pPr>
      <w:r>
        <w:t xml:space="preserve">A sheet is included in the SEA tool </w:t>
      </w:r>
      <w:r w:rsidR="006E2424">
        <w:t xml:space="preserve">allowing </w:t>
      </w:r>
      <w:r>
        <w:t>the user to provide a list of inputs for the system scale model (SSM) used to optimize an energy system</w:t>
      </w:r>
      <w:r w:rsidR="006E2424">
        <w:t xml:space="preserve"> comprising several advanced technologies</w:t>
      </w:r>
      <w:r>
        <w:t xml:space="preserve">. These inputs must be determined from efficiencies, emissions performance, </w:t>
      </w:r>
      <w:proofErr w:type="gramStart"/>
      <w:r>
        <w:t>capital</w:t>
      </w:r>
      <w:proofErr w:type="gramEnd"/>
      <w:r>
        <w:t xml:space="preserve"> and operational costs estimations delivered by the tool, and can be tuned to any </w:t>
      </w:r>
      <w:r w:rsidR="006E2424">
        <w:t xml:space="preserve">required </w:t>
      </w:r>
      <w:r>
        <w:t>number</w:t>
      </w:r>
      <w:r w:rsidR="00DD567B">
        <w:t xml:space="preserve"> of items</w:t>
      </w:r>
      <w:r>
        <w:t xml:space="preserve"> using add/remove macros. The sheet </w:t>
      </w:r>
      <w:r w:rsidR="006E2424">
        <w:t>also provides</w:t>
      </w:r>
      <w:r>
        <w:t xml:space="preserve"> a summary of the target cost estimate basis and a section for the user to include any relevant notes for the system level assessment, as depicted in </w:t>
      </w:r>
      <w:r w:rsidR="006E2424">
        <w:fldChar w:fldCharType="begin"/>
      </w:r>
      <w:r w:rsidR="006E2424">
        <w:instrText xml:space="preserve"> REF _Ref75949340 \h </w:instrText>
      </w:r>
      <w:r w:rsidR="006E2424">
        <w:fldChar w:fldCharType="separate"/>
      </w:r>
      <w:r w:rsidR="006E2424">
        <w:t xml:space="preserve">Figure </w:t>
      </w:r>
      <w:r w:rsidR="006E2424">
        <w:rPr>
          <w:noProof/>
        </w:rPr>
        <w:t>14</w:t>
      </w:r>
      <w:r w:rsidR="006E2424">
        <w:fldChar w:fldCharType="end"/>
      </w:r>
      <w:r w:rsidR="006E2424">
        <w:t>.</w:t>
      </w:r>
    </w:p>
    <w:p w14:paraId="68BCA419" w14:textId="77777777" w:rsidR="00C948D2" w:rsidRDefault="00C948D2" w:rsidP="00C948D2">
      <w:pPr>
        <w:keepNext/>
        <w:spacing w:before="240"/>
        <w:jc w:val="center"/>
      </w:pPr>
      <w:r>
        <w:rPr>
          <w:noProof/>
        </w:rPr>
        <w:lastRenderedPageBreak/>
        <w:drawing>
          <wp:inline distT="0" distB="0" distL="0" distR="0" wp14:anchorId="5473A296" wp14:editId="29316519">
            <wp:extent cx="5262245" cy="22812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107" cy="2283800"/>
                    </a:xfrm>
                    <a:prstGeom prst="rect">
                      <a:avLst/>
                    </a:prstGeom>
                    <a:noFill/>
                    <a:ln>
                      <a:noFill/>
                    </a:ln>
                  </pic:spPr>
                </pic:pic>
              </a:graphicData>
            </a:graphic>
          </wp:inline>
        </w:drawing>
      </w:r>
    </w:p>
    <w:p w14:paraId="1E949C69" w14:textId="68323C4F" w:rsidR="00C948D2" w:rsidRPr="00C948D2" w:rsidRDefault="00C948D2" w:rsidP="00C948D2">
      <w:pPr>
        <w:pStyle w:val="Caption"/>
        <w:jc w:val="center"/>
      </w:pPr>
      <w:bookmarkStart w:id="22" w:name="_Ref75949340"/>
      <w:r>
        <w:t xml:space="preserve">Figure </w:t>
      </w:r>
      <w:r>
        <w:fldChar w:fldCharType="begin"/>
      </w:r>
      <w:r>
        <w:instrText xml:space="preserve"> SEQ Figure \* ARABIC </w:instrText>
      </w:r>
      <w:r>
        <w:fldChar w:fldCharType="separate"/>
      </w:r>
      <w:r>
        <w:rPr>
          <w:noProof/>
        </w:rPr>
        <w:t>14</w:t>
      </w:r>
      <w:r>
        <w:fldChar w:fldCharType="end"/>
      </w:r>
      <w:bookmarkEnd w:id="22"/>
      <w:r>
        <w:t xml:space="preserve"> Input to SSM</w:t>
      </w:r>
      <w:r w:rsidR="006E2424">
        <w:t xml:space="preserve"> sheet</w:t>
      </w:r>
    </w:p>
    <w:p w14:paraId="1056EAD7" w14:textId="4E63A08D" w:rsidR="00335F38" w:rsidRDefault="00335F38" w:rsidP="00335F38">
      <w:pPr>
        <w:pStyle w:val="Heading2"/>
      </w:pPr>
      <w:r>
        <w:t>Estimate Benchmark</w:t>
      </w:r>
    </w:p>
    <w:p w14:paraId="33973867" w14:textId="46E4E30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is provided below. These figures can be then incorporated to the Estimate Benchmark region provided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36A93931"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C948D2">
        <w:rPr>
          <w:noProof/>
        </w:rPr>
        <w:t>15</w:t>
      </w:r>
      <w:r>
        <w:fldChar w:fldCharType="end"/>
      </w:r>
      <w:bookmarkEnd w:id="23"/>
      <w:r>
        <w:t xml:space="preserve"> Estimate benchmark sheet</w:t>
      </w:r>
    </w:p>
    <w:p w14:paraId="2753FA2A" w14:textId="245E8A62" w:rsidR="00335F38" w:rsidRPr="00E33943" w:rsidRDefault="00C6571D" w:rsidP="00907D39">
      <w:r>
        <w:t>A macro button allows the user to add more benchmark tables according to the nº of units</w:t>
      </w:r>
      <w:r w:rsidR="00CA4E15">
        <w:t>/items</w:t>
      </w:r>
      <w:r>
        <w:t xml:space="preserve">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p>
    <w:p w14:paraId="1DEBF494" w14:textId="77777777" w:rsidR="00F94EF2" w:rsidRDefault="00F94EF2" w:rsidP="00033784">
      <w:pPr>
        <w:pStyle w:val="Heading2"/>
      </w:pPr>
      <w:r>
        <w:lastRenderedPageBreak/>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16DD2594"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78F9EB5D"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C948D2">
        <w:rPr>
          <w:noProof/>
        </w:rPr>
        <w:t>16</w:t>
      </w:r>
      <w:r>
        <w:fldChar w:fldCharType="end"/>
      </w:r>
      <w:bookmarkEnd w:id="25"/>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lastRenderedPageBreak/>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786890F9" w:rsidR="00426BEF" w:rsidRDefault="00426BEF" w:rsidP="00907D39">
      <w:pPr>
        <w:pStyle w:val="NoSpacing"/>
      </w:pPr>
      <w:r>
        <w:t>TRL</w:t>
      </w:r>
      <w:r>
        <w:tab/>
        <w:t>Technology Readiness Level</w:t>
      </w:r>
    </w:p>
    <w:p w14:paraId="5E8E9305" w14:textId="12EAE32B" w:rsidR="006E2424" w:rsidRDefault="006E2424" w:rsidP="00907D39">
      <w:pPr>
        <w:pStyle w:val="NoSpacing"/>
      </w:pPr>
      <w:r>
        <w:t>SSM</w:t>
      </w:r>
      <w:r>
        <w:tab/>
        <w:t>System-Scale Model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BD42BB"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BD42BB"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BD42B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BD42B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BD42B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BD42B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BD42BB"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lastRenderedPageBreak/>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0"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B8FB" w14:textId="77777777" w:rsidR="00BD42BB" w:rsidRDefault="00BD42BB" w:rsidP="001B776F">
      <w:pPr>
        <w:spacing w:after="0" w:line="240" w:lineRule="auto"/>
      </w:pPr>
      <w:r>
        <w:separator/>
      </w:r>
    </w:p>
  </w:endnote>
  <w:endnote w:type="continuationSeparator" w:id="0">
    <w:p w14:paraId="746F6081" w14:textId="77777777" w:rsidR="00BD42BB" w:rsidRDefault="00BD42BB" w:rsidP="001B776F">
      <w:pPr>
        <w:spacing w:after="0" w:line="240" w:lineRule="auto"/>
      </w:pPr>
      <w:r>
        <w:continuationSeparator/>
      </w:r>
    </w:p>
  </w:endnote>
  <w:endnote w:type="continuationNotice" w:id="1">
    <w:p w14:paraId="04438704" w14:textId="77777777" w:rsidR="00BD42BB" w:rsidRDefault="00BD42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E703" w14:textId="77777777" w:rsidR="00BD42BB" w:rsidRDefault="00BD42BB" w:rsidP="001B776F">
      <w:pPr>
        <w:spacing w:after="0" w:line="240" w:lineRule="auto"/>
      </w:pPr>
      <w:r>
        <w:separator/>
      </w:r>
    </w:p>
  </w:footnote>
  <w:footnote w:type="continuationSeparator" w:id="0">
    <w:p w14:paraId="36E1274D" w14:textId="77777777" w:rsidR="00BD42BB" w:rsidRDefault="00BD42BB" w:rsidP="001B776F">
      <w:pPr>
        <w:spacing w:after="0" w:line="240" w:lineRule="auto"/>
      </w:pPr>
      <w:r>
        <w:continuationSeparator/>
      </w:r>
    </w:p>
  </w:footnote>
  <w:footnote w:type="continuationNotice" w:id="1">
    <w:p w14:paraId="77F119E6" w14:textId="77777777" w:rsidR="00BD42BB" w:rsidRDefault="00BD42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74EE0"/>
    <w:rsid w:val="00380483"/>
    <w:rsid w:val="003812E1"/>
    <w:rsid w:val="003815C3"/>
    <w:rsid w:val="00384E08"/>
    <w:rsid w:val="00391F15"/>
    <w:rsid w:val="003A5D16"/>
    <w:rsid w:val="003A7275"/>
    <w:rsid w:val="003A7479"/>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2424"/>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505B7"/>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D42BB"/>
    <w:rsid w:val="00BE1793"/>
    <w:rsid w:val="00BF0C1B"/>
    <w:rsid w:val="00C01556"/>
    <w:rsid w:val="00C06EA3"/>
    <w:rsid w:val="00C17F37"/>
    <w:rsid w:val="00C31C22"/>
    <w:rsid w:val="00C5659C"/>
    <w:rsid w:val="00C6571D"/>
    <w:rsid w:val="00C929AF"/>
    <w:rsid w:val="00C948D2"/>
    <w:rsid w:val="00C95E50"/>
    <w:rsid w:val="00C962A2"/>
    <w:rsid w:val="00C962BB"/>
    <w:rsid w:val="00CA4E15"/>
    <w:rsid w:val="00CB06E5"/>
    <w:rsid w:val="00CB1024"/>
    <w:rsid w:val="00CB4E7F"/>
    <w:rsid w:val="00CB693D"/>
    <w:rsid w:val="00CC3A85"/>
    <w:rsid w:val="00CF2BA2"/>
    <w:rsid w:val="00D3257A"/>
    <w:rsid w:val="00D33DBB"/>
    <w:rsid w:val="00D409D0"/>
    <w:rsid w:val="00D47451"/>
    <w:rsid w:val="00D50905"/>
    <w:rsid w:val="00D710FC"/>
    <w:rsid w:val="00D76634"/>
    <w:rsid w:val="00D82702"/>
    <w:rsid w:val="00D87C90"/>
    <w:rsid w:val="00D9330A"/>
    <w:rsid w:val="00D94140"/>
    <w:rsid w:val="00DA0F72"/>
    <w:rsid w:val="00DA16CE"/>
    <w:rsid w:val="00DA730C"/>
    <w:rsid w:val="00DB1339"/>
    <w:rsid w:val="00DB72DD"/>
    <w:rsid w:val="00DC5838"/>
    <w:rsid w:val="00DD567B"/>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hyF1TT"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chemengonlin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2.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3.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18</Pages>
  <Words>5604</Words>
  <Characters>30828</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9</cp:revision>
  <dcterms:created xsi:type="dcterms:W3CDTF">2021-06-12T08:37:00Z</dcterms:created>
  <dcterms:modified xsi:type="dcterms:W3CDTF">2021-07-19T19:32:00Z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