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39011F0D"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27AFA7AF"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069F70E9"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23B446D"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the following</w:t>
      </w:r>
      <w:r w:rsidRPr="00C35A7E">
        <w:t xml:space="preserve"> three quantitative factors: risk, momentum, and mean reversion. </w:t>
      </w:r>
      <w:r w:rsidR="002D6F10">
        <w:t>Through its downside protection</w:t>
      </w:r>
      <w:r w:rsidRPr="00C35A7E">
        <w:t xml:space="preserve">, SPY3 </w:t>
      </w:r>
      <w:r w:rsidR="005042C7">
        <w:t>aims to</w:t>
      </w:r>
      <w:r w:rsidR="00840246">
        <w:t xml:space="preserve"> offer</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 xml:space="preserve">both </w:t>
      </w:r>
      <w:r w:rsidR="00EB125C">
        <w:t xml:space="preserve">active and passive strategies </w:t>
      </w:r>
      <w:r w:rsidR="002D6F10">
        <w:t xml:space="preserve">– particularly for risk-averse investors. </w:t>
      </w:r>
    </w:p>
    <w:p w14:paraId="663B164C" w14:textId="2EBE6B8E" w:rsidR="001C5E06" w:rsidRPr="00E21949" w:rsidRDefault="004F011D">
      <w:pPr>
        <w:pStyle w:val="berschrift2"/>
      </w:pPr>
      <w:r>
        <w:rPr>
          <w:noProof/>
        </w:rPr>
        <w:lastRenderedPageBreak/>
        <w:drawing>
          <wp:anchor distT="0" distB="0" distL="114300" distR="114300" simplePos="0" relativeHeight="251657728" behindDoc="0" locked="0" layoutInCell="1" allowOverlap="1" wp14:anchorId="712A490C" wp14:editId="0DA1C916">
            <wp:simplePos x="0" y="0"/>
            <wp:positionH relativeFrom="column">
              <wp:posOffset>3502025</wp:posOffset>
            </wp:positionH>
            <wp:positionV relativeFrom="paragraph">
              <wp:posOffset>-21167</wp:posOffset>
            </wp:positionV>
            <wp:extent cx="3152775" cy="2017395"/>
            <wp:effectExtent l="0" t="0" r="9525" b="190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8">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r w:rsidR="00697E9F">
        <w:t>Risk Management</w:t>
      </w:r>
    </w:p>
    <w:p w14:paraId="03D35022" w14:textId="197DA050"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3914910F"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3D69D6BA" w:rsidR="00805D4F" w:rsidRDefault="009C6E01" w:rsidP="00DD0646">
      <w:pPr>
        <w:pStyle w:val="Text"/>
      </w:pPr>
      <w:r w:rsidRPr="009C6E01">
        <w:t xml:space="preserve">The SPY3 model </w:t>
      </w:r>
      <w:proofErr w:type="gramStart"/>
      <w:r w:rsidR="00644737">
        <w:t>is able to</w:t>
      </w:r>
      <w:proofErr w:type="gramEnd"/>
      <w:r w:rsidR="00644737">
        <w:t xml:space="preserve"> </w:t>
      </w:r>
      <w:r w:rsidRPr="009C6E01">
        <w:t>capture bull</w:t>
      </w:r>
      <w:r>
        <w:t xml:space="preserve"> markets</w:t>
      </w:r>
      <w:r w:rsidR="0062337B">
        <w:t>,</w:t>
      </w:r>
      <w:r w:rsidR="00644737">
        <w:t xml:space="preserve"> a</w:t>
      </w:r>
      <w:r w:rsidR="00CC46D3">
        <w:t xml:space="preserve">void </w:t>
      </w:r>
      <w:r w:rsidR="006B3AAD">
        <w:t>big losses</w:t>
      </w:r>
      <w:r w:rsidR="00CC46D3">
        <w:t>,</w:t>
      </w:r>
      <w:r w:rsidR="00353A99">
        <w:t xml:space="preserve"> and deliver </w:t>
      </w:r>
      <w:r w:rsidR="00353A99" w:rsidRPr="009C6E01">
        <w:t>more</w:t>
      </w:r>
      <w:r w:rsidR="007B2DE0">
        <w:t xml:space="preserve"> stable and</w:t>
      </w:r>
      <w:r w:rsidR="00353A99" w:rsidRPr="009C6E01">
        <w:t xml:space="preserve"> consistent returns</w:t>
      </w:r>
      <w:r w:rsidR="00353A99">
        <w:t xml:space="preserve">, </w:t>
      </w:r>
      <w:r w:rsidR="00CC46D3">
        <w:t xml:space="preserve">by </w:t>
      </w:r>
      <w:r w:rsidR="00D7663D">
        <w:t xml:space="preserve">actively </w:t>
      </w:r>
      <w:r w:rsidR="00CC46D3">
        <w:t>shifting between risky and safety assets</w:t>
      </w:r>
      <w:r w:rsidR="00353A99">
        <w:t xml:space="preserve">. </w:t>
      </w:r>
      <w:r w:rsidR="00805D4F" w:rsidRPr="00012797">
        <w:t xml:space="preserve">The </w:t>
      </w:r>
      <w:r w:rsidR="00F70067">
        <w:t>main</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an annual alpha of 4.</w:t>
      </w:r>
      <w:r w:rsidR="00337AFE">
        <w:t>4</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9"/>
                    <a:stretch>
                      <a:fillRect/>
                    </a:stretch>
                  </pic:blipFill>
                  <pic:spPr>
                    <a:xfrm>
                      <a:off x="0" y="0"/>
                      <a:ext cx="3088574" cy="2492587"/>
                    </a:xfrm>
                    <a:prstGeom prst="rect">
                      <a:avLst/>
                    </a:prstGeom>
                  </pic:spPr>
                </pic:pic>
              </a:graphicData>
            </a:graphic>
          </wp:inline>
        </w:drawing>
      </w:r>
    </w:p>
    <w:p w14:paraId="1CF89065" w14:textId="5AD81585" w:rsidR="00CC38D0" w:rsidRDefault="00CC38D0" w:rsidP="00A5350A">
      <w:pPr>
        <w:pStyle w:val="Text"/>
        <w:ind w:firstLine="0"/>
      </w:pP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0C2C898F" w14:textId="77777777" w:rsidR="001C5E06" w:rsidRDefault="005C1D6D">
      <w:pPr>
        <w:pStyle w:val="berschrift1"/>
        <w:rPr>
          <w:b/>
        </w:rPr>
      </w:pPr>
      <w:r>
        <w:rPr>
          <w:b/>
        </w:rPr>
        <w:t xml:space="preserve">Concluding Remarks </w:t>
      </w:r>
    </w:p>
    <w:p w14:paraId="23A5EAB3" w14:textId="66FACAB6"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FF2893" w:rsidRDefault="00FF2893" w:rsidP="00605485">
      <w:pPr>
        <w:pStyle w:val="FigureCaption"/>
        <w:numPr>
          <w:ilvl w:val="0"/>
          <w:numId w:val="12"/>
        </w:numPr>
        <w:rPr>
          <w:bCs/>
          <w:sz w:val="18"/>
          <w:szCs w:val="18"/>
        </w:rPr>
      </w:pPr>
      <w:r w:rsidRPr="00FF2893">
        <w:rPr>
          <w:bCs/>
          <w:sz w:val="18"/>
          <w:szCs w:val="18"/>
        </w:rPr>
        <w:t xml:space="preserve">Harvey, C., R. (2021), “Why Is Systematic Investing Important?”, </w:t>
      </w:r>
      <w:r w:rsidRPr="007E408C">
        <w:rPr>
          <w:bCs/>
          <w:i/>
          <w:iCs/>
          <w:sz w:val="18"/>
          <w:szCs w:val="18"/>
        </w:rPr>
        <w:t>Journal of Systematic Investing, 2-6</w:t>
      </w:r>
      <w:r w:rsidR="00894A1E" w:rsidRPr="00FF2893">
        <w:rPr>
          <w:bCs/>
          <w:sz w:val="18"/>
          <w:szCs w:val="18"/>
        </w:rPr>
        <w:t>.</w:t>
      </w:r>
    </w:p>
    <w:p w14:paraId="306B3CB8" w14:textId="77777777" w:rsidR="00FF2893" w:rsidRPr="00FF2893" w:rsidRDefault="00FF2893" w:rsidP="00605485">
      <w:pPr>
        <w:pStyle w:val="References"/>
        <w:rPr>
          <w:lang w:val="en-GB"/>
        </w:rPr>
      </w:pPr>
      <w:r w:rsidRPr="00FF2893">
        <w:rPr>
          <w:bCs/>
          <w:sz w:val="18"/>
          <w:szCs w:val="18"/>
        </w:rPr>
        <w:t>Richardson, S., A. (2022), “Systematic Fixed Income: An Investor’s Guide”, Wiley, 41-56</w:t>
      </w:r>
    </w:p>
    <w:p w14:paraId="1D053996" w14:textId="77777777" w:rsidR="00894A1E" w:rsidRPr="007E408C" w:rsidRDefault="00FF2893" w:rsidP="00605485">
      <w:pPr>
        <w:pStyle w:val="References"/>
        <w:rPr>
          <w:lang w:val="en-GB"/>
        </w:rPr>
      </w:pPr>
      <w:r w:rsidRPr="00FF2893">
        <w:rPr>
          <w:bCs/>
          <w:sz w:val="18"/>
          <w:szCs w:val="18"/>
        </w:rPr>
        <w:t>Fama, E. F. (1970), „Efficient Capital Markets: A Review of Theory and Empirical Work”, The Journal of Finance 25(2)</w:t>
      </w:r>
    </w:p>
    <w:p w14:paraId="6C7EE1B1" w14:textId="77777777" w:rsidR="00FF2893" w:rsidRPr="007E408C" w:rsidRDefault="00FF2893" w:rsidP="00605485">
      <w:pPr>
        <w:pStyle w:val="References"/>
        <w:rPr>
          <w:lang w:val="en-GB"/>
        </w:rPr>
      </w:pPr>
      <w:r w:rsidRPr="007E408C">
        <w:rPr>
          <w:lang w:val="en-GB"/>
        </w:rPr>
        <w:t xml:space="preserve">Markowitz, H. (1959), “Portfolio Selection: Efficient Diversification of Investments”, Vol. 16, </w:t>
      </w:r>
      <w:r w:rsidRPr="007E408C">
        <w:rPr>
          <w:i/>
          <w:iCs/>
          <w:lang w:val="en-GB"/>
        </w:rPr>
        <w:t>John Wiley New York</w:t>
      </w:r>
    </w:p>
    <w:p w14:paraId="5AA537F6" w14:textId="77777777" w:rsidR="00FF2893" w:rsidRDefault="00FF2893" w:rsidP="00605485">
      <w:pPr>
        <w:pStyle w:val="References"/>
        <w:rPr>
          <w:lang w:val="en-GB"/>
        </w:rPr>
      </w:pPr>
      <w:r w:rsidRPr="00FF2893">
        <w:rPr>
          <w:lang w:val="en-GB"/>
        </w:rPr>
        <w:t xml:space="preserve">Bodie, Z., Kane, A. and Marcus, A. J. (2014), </w:t>
      </w:r>
      <w:r w:rsidRPr="005B7B69">
        <w:rPr>
          <w:i/>
          <w:iCs/>
          <w:lang w:val="en-GB"/>
        </w:rPr>
        <w:t>“Investments”, 10th edition, McGraw-Hill Education.</w:t>
      </w:r>
    </w:p>
    <w:p w14:paraId="2B8A2F99" w14:textId="7401B611" w:rsidR="007E408C" w:rsidRPr="007E408C" w:rsidRDefault="00FF2893" w:rsidP="007E408C">
      <w:pPr>
        <w:pStyle w:val="References"/>
        <w:rPr>
          <w:lang w:val="en-GB"/>
        </w:rPr>
      </w:pPr>
      <w:r w:rsidRPr="00FF2893">
        <w:rPr>
          <w:lang w:val="en-GB"/>
        </w:rPr>
        <w:t>Treynor, J. (1962), “Toward a Theory of Market Value of Risky Assets”</w:t>
      </w:r>
    </w:p>
    <w:p w14:paraId="1052F6DF" w14:textId="61082D4E" w:rsidR="00FF2893" w:rsidRDefault="00FF2893" w:rsidP="00605485">
      <w:pPr>
        <w:pStyle w:val="References"/>
        <w:rPr>
          <w:lang w:val="en-GB"/>
        </w:rPr>
      </w:pPr>
      <w:r w:rsidRPr="00FF2893">
        <w:rPr>
          <w:lang w:val="en-GB"/>
        </w:rPr>
        <w:t xml:space="preserve">De Bondt, W. F. and Thaler, R. (1985), „Does the Stock Market Overreact?”, </w:t>
      </w:r>
      <w:r w:rsidRPr="005B7B69">
        <w:rPr>
          <w:i/>
          <w:iCs/>
          <w:lang w:val="en-GB"/>
        </w:rPr>
        <w:t>The Journal</w:t>
      </w:r>
      <w:r w:rsidR="006061FA" w:rsidRPr="005B7B69">
        <w:rPr>
          <w:i/>
          <w:iCs/>
          <w:lang w:val="en-GB"/>
        </w:rPr>
        <w:t xml:space="preserve"> of Finance</w:t>
      </w:r>
    </w:p>
    <w:p w14:paraId="59D57FC8" w14:textId="77777777" w:rsidR="00FF2893" w:rsidRPr="00C302BA" w:rsidRDefault="00FF2893" w:rsidP="00605485">
      <w:pPr>
        <w:pStyle w:val="References"/>
        <w:rPr>
          <w:lang w:val="en-GB"/>
        </w:rPr>
      </w:pPr>
      <w:r w:rsidRPr="00C302BA">
        <w:rPr>
          <w:lang w:val="en-GB"/>
        </w:rPr>
        <w:t xml:space="preserve">De Bondt, W. F. and Thaler, R. (1987), „Further Evidence on Investor Overreaction and Stock Market Seasonality”, </w:t>
      </w:r>
      <w:r w:rsidRPr="00C302BA">
        <w:rPr>
          <w:i/>
          <w:iCs/>
          <w:lang w:val="en-GB"/>
        </w:rPr>
        <w:t>The Journal of Finance</w:t>
      </w:r>
      <w:r w:rsidRPr="00C302BA">
        <w:rPr>
          <w:lang w:val="en-GB"/>
        </w:rPr>
        <w:t xml:space="preserve"> </w:t>
      </w:r>
    </w:p>
    <w:p w14:paraId="6E941364" w14:textId="77777777" w:rsidR="00FF2893" w:rsidRPr="00C302BA" w:rsidRDefault="00FF2893" w:rsidP="00605485">
      <w:pPr>
        <w:pStyle w:val="References"/>
        <w:rPr>
          <w:lang w:val="en-GB"/>
        </w:rPr>
      </w:pPr>
      <w:r w:rsidRPr="00C302BA">
        <w:rPr>
          <w:lang w:val="en-GB"/>
        </w:rPr>
        <w:t xml:space="preserve">Fama, E. F. and French, K. R. (1993), „Common Risk Factors in the Returns on Stocks and Bonds”, </w:t>
      </w:r>
      <w:r w:rsidRPr="00C302BA">
        <w:rPr>
          <w:i/>
          <w:iCs/>
          <w:lang w:val="en-GB"/>
        </w:rPr>
        <w:t>Journal of Financial Economics</w:t>
      </w:r>
      <w:r w:rsidRPr="00C302BA">
        <w:rPr>
          <w:lang w:val="en-GB"/>
        </w:rPr>
        <w:t xml:space="preserve"> 33(1)</w:t>
      </w:r>
    </w:p>
    <w:p w14:paraId="41B8C735" w14:textId="77777777" w:rsidR="00FF2893" w:rsidRPr="00C302BA" w:rsidRDefault="00FF2893" w:rsidP="00605485">
      <w:pPr>
        <w:pStyle w:val="References"/>
        <w:rPr>
          <w:lang w:val="en-GB"/>
        </w:rPr>
      </w:pPr>
      <w:r w:rsidRPr="00C302BA">
        <w:rPr>
          <w:lang w:val="en-GB"/>
        </w:rPr>
        <w:t xml:space="preserve">Fama, E. F. and French, K. R. (2004), „The Capital Asset Pricing Model: Theory and Evidence”, </w:t>
      </w:r>
      <w:r w:rsidRPr="00C302BA">
        <w:rPr>
          <w:i/>
          <w:iCs/>
          <w:lang w:val="en-GB"/>
        </w:rPr>
        <w:t>Journal of Economic Perspectives</w:t>
      </w:r>
      <w:r w:rsidRPr="00C302BA">
        <w:rPr>
          <w:lang w:val="en-GB"/>
        </w:rPr>
        <w:t xml:space="preserve"> 18(3), 25–46. </w:t>
      </w:r>
    </w:p>
    <w:p w14:paraId="68BF1B09" w14:textId="77777777" w:rsidR="00FF2893" w:rsidRPr="007E408C" w:rsidRDefault="00FF2893" w:rsidP="00605485">
      <w:pPr>
        <w:pStyle w:val="References"/>
        <w:rPr>
          <w:lang w:val="en-GB"/>
        </w:rPr>
      </w:pPr>
      <w:proofErr w:type="spellStart"/>
      <w:r w:rsidRPr="00C302BA">
        <w:rPr>
          <w:lang w:val="en-GB"/>
        </w:rPr>
        <w:t>Asness</w:t>
      </w:r>
      <w:proofErr w:type="spellEnd"/>
      <w:r w:rsidRPr="00C302BA">
        <w:rPr>
          <w:lang w:val="en-GB"/>
        </w:rPr>
        <w:t xml:space="preserve">, C., Moskowitz, T. J. and Pedersen, L. H. (2013), „Value and Momentum Everywhere”, </w:t>
      </w:r>
      <w:r w:rsidRPr="00C302BA">
        <w:rPr>
          <w:i/>
          <w:iCs/>
          <w:lang w:val="en-GB"/>
        </w:rPr>
        <w:t>The Journal of Finance</w:t>
      </w:r>
      <w:r w:rsidRPr="00C302BA">
        <w:rPr>
          <w:lang w:val="en-GB"/>
        </w:rPr>
        <w:t xml:space="preserve"> 68(3)</w:t>
      </w:r>
    </w:p>
    <w:p w14:paraId="067D1FDC" w14:textId="77777777" w:rsidR="00FF2893" w:rsidRPr="007E408C" w:rsidRDefault="00FF2893" w:rsidP="00605485">
      <w:pPr>
        <w:pStyle w:val="References"/>
        <w:rPr>
          <w:lang w:val="en-GB"/>
        </w:rPr>
      </w:pPr>
      <w:r w:rsidRPr="007E408C">
        <w:rPr>
          <w:lang w:val="en-GB"/>
        </w:rPr>
        <w:t xml:space="preserve">Barroso, P., Santa-Clara, P. (2012), “Momentum has its moments”, </w:t>
      </w:r>
      <w:r w:rsidRPr="007E408C">
        <w:rPr>
          <w:i/>
          <w:iCs/>
          <w:lang w:val="en-GB"/>
        </w:rPr>
        <w:t>Journal of Financial Economics, Vol. 116, No. 1, 111-120</w:t>
      </w:r>
    </w:p>
    <w:p w14:paraId="093BEA81" w14:textId="77777777" w:rsidR="00775E40" w:rsidRDefault="00CB29C8" w:rsidP="00775E40">
      <w:pPr>
        <w:pStyle w:val="References"/>
        <w:rPr>
          <w:lang w:val="en-GB"/>
        </w:rPr>
      </w:pPr>
      <w:r w:rsidRPr="00C302BA">
        <w:rPr>
          <w:lang w:val="en-GB"/>
        </w:rPr>
        <w:t xml:space="preserve">Kent, D., D. (2011), “Momentum Crashes”, </w:t>
      </w:r>
      <w:r w:rsidRPr="00C302BA">
        <w:rPr>
          <w:i/>
          <w:iCs/>
          <w:lang w:val="en-GB"/>
        </w:rPr>
        <w:t>Columbia Business School Research Paper</w:t>
      </w:r>
      <w:r w:rsidRPr="00C302BA">
        <w:rPr>
          <w:lang w:val="en-GB"/>
        </w:rPr>
        <w:t xml:space="preserve"> </w:t>
      </w:r>
      <w:r w:rsidRPr="007E408C">
        <w:rPr>
          <w:i/>
          <w:iCs/>
          <w:lang w:val="en-GB"/>
        </w:rPr>
        <w:t xml:space="preserve">11(03), 3–12 </w:t>
      </w:r>
    </w:p>
    <w:p w14:paraId="5AA01773" w14:textId="77777777" w:rsidR="00775E40" w:rsidRPr="00775E40" w:rsidRDefault="00FF2893" w:rsidP="00775E40">
      <w:pPr>
        <w:pStyle w:val="References"/>
        <w:rPr>
          <w:lang w:val="en-GB"/>
        </w:rPr>
      </w:pPr>
      <w:r w:rsidRPr="00775E40">
        <w:rPr>
          <w:lang w:val="en-GB"/>
        </w:rPr>
        <w:t xml:space="preserve">Sharpe, W. F. (1964), „Capital Asset Prices: A Theory of Market Equilibrium Under Conditions of Risk”, </w:t>
      </w:r>
      <w:r w:rsidRPr="00775E40">
        <w:rPr>
          <w:i/>
          <w:iCs/>
          <w:lang w:val="en-GB"/>
        </w:rPr>
        <w:t>The Journal of Financ</w:t>
      </w:r>
      <w:r w:rsidR="00775E40">
        <w:rPr>
          <w:i/>
          <w:iCs/>
          <w:lang w:val="en-GB"/>
        </w:rPr>
        <w:t>e 19(3)</w:t>
      </w:r>
    </w:p>
    <w:p w14:paraId="3262F744" w14:textId="03C2F17A" w:rsidR="0079213A" w:rsidRPr="005E5D8C" w:rsidRDefault="00775E40" w:rsidP="005E5D8C">
      <w:pPr>
        <w:pStyle w:val="References"/>
        <w:numPr>
          <w:ilvl w:val="0"/>
          <w:numId w:val="0"/>
        </w:numPr>
        <w:rPr>
          <w:b/>
          <w:bCs/>
          <w:sz w:val="20"/>
          <w:szCs w:val="20"/>
          <w:lang w:val="en-GB"/>
        </w:rPr>
      </w:pPr>
      <w:r w:rsidRPr="005E5D8C">
        <w:rPr>
          <w:lang w:val="en-GB"/>
        </w:rPr>
        <w:t>Lamont, O. A. and Thaler, R. H. (2003a), „Anomalies: The Law of One Price in Financial Markets”,</w:t>
      </w:r>
      <w:r w:rsidRPr="005E5D8C">
        <w:rPr>
          <w:i/>
          <w:iCs/>
          <w:lang w:val="en-GB"/>
        </w:rPr>
        <w:t xml:space="preserve"> Journal of Economic Perspectives 17(4</w:t>
      </w:r>
      <w:r w:rsidR="005E5D8C">
        <w:rPr>
          <w:i/>
          <w:iCs/>
          <w:lang w:val="en-GB"/>
        </w:rPr>
        <w:t>)</w:t>
      </w:r>
    </w:p>
    <w:sectPr w:rsidR="0079213A" w:rsidRPr="005E5D8C"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06A35" w14:textId="77777777" w:rsidR="00047419" w:rsidRDefault="00047419">
      <w:r>
        <w:separator/>
      </w:r>
    </w:p>
  </w:endnote>
  <w:endnote w:type="continuationSeparator" w:id="0">
    <w:p w14:paraId="5C5C87B7" w14:textId="77777777" w:rsidR="00047419" w:rsidRDefault="00047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57BA7" w14:textId="77777777" w:rsidR="00047419" w:rsidRDefault="00047419"/>
  </w:footnote>
  <w:footnote w:type="continuationSeparator" w:id="0">
    <w:p w14:paraId="2F86E09A" w14:textId="77777777" w:rsidR="00047419" w:rsidRDefault="000474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378AEC35">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03433" w:rsidRDefault="00CE46C3" w:rsidP="003D4CD8">
    <w:pPr>
      <w:ind w:right="360"/>
      <w:jc w:val="center"/>
      <w:rPr>
        <w:b/>
        <w:color w:val="7F7F7F"/>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66994751"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03433">
      <w:rPr>
        <w:b/>
        <w:color w:val="7F7F7F"/>
        <w:sz w:val="16"/>
        <w:szCs w:val="16"/>
      </w:rPr>
      <w:t xml:space="preserve">  </w:t>
    </w:r>
  </w:p>
  <w:p w14:paraId="1CB776F3" w14:textId="4577259A" w:rsidR="00290F4F" w:rsidRPr="00903433" w:rsidRDefault="00290F4F" w:rsidP="00290F4F">
    <w:pPr>
      <w:tabs>
        <w:tab w:val="center" w:pos="4837"/>
      </w:tabs>
      <w:ind w:right="360"/>
      <w:rPr>
        <w:b/>
        <w:color w:val="7F7F7F"/>
        <w:sz w:val="16"/>
        <w:szCs w:val="16"/>
      </w:rPr>
    </w:pPr>
    <w:r w:rsidRPr="00903433">
      <w:rPr>
        <w:b/>
        <w:color w:val="7F7F7F"/>
        <w:sz w:val="16"/>
        <w:szCs w:val="16"/>
      </w:rPr>
      <w:t xml:space="preserve">This content is for informational purposes only. </w:t>
    </w:r>
  </w:p>
  <w:p w14:paraId="455AFA2E" w14:textId="77777777" w:rsidR="005960B3" w:rsidRPr="00903433" w:rsidRDefault="00290F4F" w:rsidP="00290F4F">
    <w:pPr>
      <w:tabs>
        <w:tab w:val="left" w:pos="9072"/>
      </w:tabs>
      <w:ind w:right="360"/>
      <w:rPr>
        <w:b/>
        <w:color w:val="7F7F7F"/>
        <w:sz w:val="16"/>
        <w:szCs w:val="16"/>
      </w:rPr>
    </w:pPr>
    <w:r w:rsidRPr="00903433">
      <w:rPr>
        <w:b/>
        <w:color w:val="7F7F7F"/>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3FAB"/>
    <w:rsid w:val="00036808"/>
    <w:rsid w:val="000401B6"/>
    <w:rsid w:val="00047419"/>
    <w:rsid w:val="000479C3"/>
    <w:rsid w:val="00053099"/>
    <w:rsid w:val="0006545C"/>
    <w:rsid w:val="00075884"/>
    <w:rsid w:val="00092DDB"/>
    <w:rsid w:val="0009450F"/>
    <w:rsid w:val="000B3D86"/>
    <w:rsid w:val="000F6DE4"/>
    <w:rsid w:val="000F6F0F"/>
    <w:rsid w:val="00106077"/>
    <w:rsid w:val="00120134"/>
    <w:rsid w:val="00157376"/>
    <w:rsid w:val="00161C5E"/>
    <w:rsid w:val="00165EDD"/>
    <w:rsid w:val="00173C6A"/>
    <w:rsid w:val="00182A8D"/>
    <w:rsid w:val="00197A87"/>
    <w:rsid w:val="001B042D"/>
    <w:rsid w:val="001B310F"/>
    <w:rsid w:val="001B6317"/>
    <w:rsid w:val="001C4830"/>
    <w:rsid w:val="001C5E06"/>
    <w:rsid w:val="00200999"/>
    <w:rsid w:val="00204494"/>
    <w:rsid w:val="00205BA8"/>
    <w:rsid w:val="002123BA"/>
    <w:rsid w:val="002322DB"/>
    <w:rsid w:val="002369CF"/>
    <w:rsid w:val="00240E9B"/>
    <w:rsid w:val="00253E19"/>
    <w:rsid w:val="00257183"/>
    <w:rsid w:val="002725FF"/>
    <w:rsid w:val="00274584"/>
    <w:rsid w:val="00280979"/>
    <w:rsid w:val="00290F4F"/>
    <w:rsid w:val="002B0E4A"/>
    <w:rsid w:val="002B6F01"/>
    <w:rsid w:val="002D4C67"/>
    <w:rsid w:val="002D6F10"/>
    <w:rsid w:val="00312F8A"/>
    <w:rsid w:val="00337AFE"/>
    <w:rsid w:val="003452F5"/>
    <w:rsid w:val="003464D0"/>
    <w:rsid w:val="0035124B"/>
    <w:rsid w:val="00353A99"/>
    <w:rsid w:val="00363CC7"/>
    <w:rsid w:val="003A037C"/>
    <w:rsid w:val="003A4286"/>
    <w:rsid w:val="003B1CB5"/>
    <w:rsid w:val="003B2F07"/>
    <w:rsid w:val="003B45AE"/>
    <w:rsid w:val="003D226A"/>
    <w:rsid w:val="003D44E5"/>
    <w:rsid w:val="003D4CD8"/>
    <w:rsid w:val="003E0A95"/>
    <w:rsid w:val="003E1B3E"/>
    <w:rsid w:val="003E5ED6"/>
    <w:rsid w:val="004156BE"/>
    <w:rsid w:val="004257EB"/>
    <w:rsid w:val="00426B5B"/>
    <w:rsid w:val="00434059"/>
    <w:rsid w:val="004A6849"/>
    <w:rsid w:val="004D01B1"/>
    <w:rsid w:val="004D06CD"/>
    <w:rsid w:val="004D33B3"/>
    <w:rsid w:val="004F011D"/>
    <w:rsid w:val="005042C7"/>
    <w:rsid w:val="0051250C"/>
    <w:rsid w:val="00515DAE"/>
    <w:rsid w:val="00525574"/>
    <w:rsid w:val="005262F1"/>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E35D9"/>
    <w:rsid w:val="005E5D8C"/>
    <w:rsid w:val="005F2365"/>
    <w:rsid w:val="006002C1"/>
    <w:rsid w:val="00605485"/>
    <w:rsid w:val="006061FA"/>
    <w:rsid w:val="00612E1F"/>
    <w:rsid w:val="0062337B"/>
    <w:rsid w:val="006235E3"/>
    <w:rsid w:val="006254B3"/>
    <w:rsid w:val="00627508"/>
    <w:rsid w:val="00642242"/>
    <w:rsid w:val="00643AAC"/>
    <w:rsid w:val="00644737"/>
    <w:rsid w:val="0065458A"/>
    <w:rsid w:val="00666A6D"/>
    <w:rsid w:val="00674D4D"/>
    <w:rsid w:val="00676696"/>
    <w:rsid w:val="00695EB9"/>
    <w:rsid w:val="00697E9F"/>
    <w:rsid w:val="006B07DC"/>
    <w:rsid w:val="006B3AAD"/>
    <w:rsid w:val="006C2C91"/>
    <w:rsid w:val="006C4E75"/>
    <w:rsid w:val="006D6216"/>
    <w:rsid w:val="006F2B5F"/>
    <w:rsid w:val="00720142"/>
    <w:rsid w:val="00721758"/>
    <w:rsid w:val="00721FCA"/>
    <w:rsid w:val="00731AC2"/>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0246"/>
    <w:rsid w:val="008444B8"/>
    <w:rsid w:val="00855805"/>
    <w:rsid w:val="0086146A"/>
    <w:rsid w:val="0087023B"/>
    <w:rsid w:val="00885992"/>
    <w:rsid w:val="00894A1E"/>
    <w:rsid w:val="008B4747"/>
    <w:rsid w:val="008B48D1"/>
    <w:rsid w:val="00903433"/>
    <w:rsid w:val="00904445"/>
    <w:rsid w:val="00925E7C"/>
    <w:rsid w:val="009357C3"/>
    <w:rsid w:val="00935BB2"/>
    <w:rsid w:val="00936230"/>
    <w:rsid w:val="00953432"/>
    <w:rsid w:val="00960ABD"/>
    <w:rsid w:val="0096637C"/>
    <w:rsid w:val="009758D0"/>
    <w:rsid w:val="00985F19"/>
    <w:rsid w:val="009B5BB2"/>
    <w:rsid w:val="009C0274"/>
    <w:rsid w:val="009C6E01"/>
    <w:rsid w:val="009D06A4"/>
    <w:rsid w:val="009D6E5A"/>
    <w:rsid w:val="009F1954"/>
    <w:rsid w:val="00A016DD"/>
    <w:rsid w:val="00A51C47"/>
    <w:rsid w:val="00A5350A"/>
    <w:rsid w:val="00A538BA"/>
    <w:rsid w:val="00A56A47"/>
    <w:rsid w:val="00A61EBB"/>
    <w:rsid w:val="00A67A07"/>
    <w:rsid w:val="00A96BED"/>
    <w:rsid w:val="00A97C82"/>
    <w:rsid w:val="00AB6558"/>
    <w:rsid w:val="00AB6661"/>
    <w:rsid w:val="00AC7AD8"/>
    <w:rsid w:val="00B03A26"/>
    <w:rsid w:val="00B15A92"/>
    <w:rsid w:val="00B346ED"/>
    <w:rsid w:val="00B50BF0"/>
    <w:rsid w:val="00B532D9"/>
    <w:rsid w:val="00B56B40"/>
    <w:rsid w:val="00B73705"/>
    <w:rsid w:val="00B97714"/>
    <w:rsid w:val="00BA5AC9"/>
    <w:rsid w:val="00BA5C01"/>
    <w:rsid w:val="00BB3FCD"/>
    <w:rsid w:val="00BB5D70"/>
    <w:rsid w:val="00BC28D1"/>
    <w:rsid w:val="00BE0B69"/>
    <w:rsid w:val="00C00AA6"/>
    <w:rsid w:val="00C012D0"/>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D0150E"/>
    <w:rsid w:val="00D02CDF"/>
    <w:rsid w:val="00D11B53"/>
    <w:rsid w:val="00D12B04"/>
    <w:rsid w:val="00D5325D"/>
    <w:rsid w:val="00D66039"/>
    <w:rsid w:val="00D66FC5"/>
    <w:rsid w:val="00D7663D"/>
    <w:rsid w:val="00D76AA1"/>
    <w:rsid w:val="00D9137F"/>
    <w:rsid w:val="00DB30D9"/>
    <w:rsid w:val="00DD0646"/>
    <w:rsid w:val="00E06321"/>
    <w:rsid w:val="00E21949"/>
    <w:rsid w:val="00E32B22"/>
    <w:rsid w:val="00E45B96"/>
    <w:rsid w:val="00E63757"/>
    <w:rsid w:val="00E63D0E"/>
    <w:rsid w:val="00E9006E"/>
    <w:rsid w:val="00E950F6"/>
    <w:rsid w:val="00E953EF"/>
    <w:rsid w:val="00EA4DFB"/>
    <w:rsid w:val="00EB092C"/>
    <w:rsid w:val="00EB125C"/>
    <w:rsid w:val="00EB629D"/>
    <w:rsid w:val="00EE3DFF"/>
    <w:rsid w:val="00EE771C"/>
    <w:rsid w:val="00EF1C1B"/>
    <w:rsid w:val="00EF4164"/>
    <w:rsid w:val="00F403F0"/>
    <w:rsid w:val="00F40991"/>
    <w:rsid w:val="00F42F8B"/>
    <w:rsid w:val="00F50ABA"/>
    <w:rsid w:val="00F63546"/>
    <w:rsid w:val="00F70067"/>
    <w:rsid w:val="00F85D50"/>
    <w:rsid w:val="00F86191"/>
    <w:rsid w:val="00F87565"/>
    <w:rsid w:val="00F9275E"/>
    <w:rsid w:val="00F93E8F"/>
    <w:rsid w:val="00FA7A6F"/>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2783</Words>
  <Characters>15570</Characters>
  <Application>Microsoft Office Word</Application>
  <DocSecurity>0</DocSecurity>
  <Lines>129</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18317</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133</cp:revision>
  <cp:lastPrinted>2025-02-21T17:26:00Z</cp:lastPrinted>
  <dcterms:created xsi:type="dcterms:W3CDTF">2025-02-21T09:42:00Z</dcterms:created>
  <dcterms:modified xsi:type="dcterms:W3CDTF">2025-02-21T18:08:00Z</dcterms:modified>
</cp:coreProperties>
</file>