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53EF19BA"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6725B6">
        <w:rPr>
          <w:i/>
        </w:rPr>
        <w:t>historical</w:t>
      </w:r>
      <w:r w:rsidR="00A61EBB">
        <w:rPr>
          <w:i/>
        </w:rPr>
        <w:t xml:space="preserve">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1C3F22">
        <w:rPr>
          <w:i/>
        </w:rPr>
        <w:t>has shown</w:t>
      </w:r>
      <w:r w:rsidR="00E45B96">
        <w:rPr>
          <w:i/>
        </w:rPr>
        <w:t xml:space="preserve">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F6640E">
        <w:rPr>
          <w:i/>
        </w:rPr>
        <w:t>model</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 xml:space="preserve">y replicable </w:t>
      </w:r>
      <w:r w:rsidR="00F6640E">
        <w:rPr>
          <w:i/>
        </w:rPr>
        <w:t>approach</w:t>
      </w:r>
      <w:r w:rsidR="001C4830">
        <w:rPr>
          <w:i/>
        </w:rPr>
        <w:t xml:space="preserve">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0A8A6E80"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4D65D0">
        <w:rPr>
          <w:lang w:val="en-GB"/>
        </w:rPr>
        <w:t xml:space="preserve">dynamic risk management </w:t>
      </w:r>
      <w:r w:rsidR="0007149D" w:rsidRPr="00F20573">
        <w:rPr>
          <w:lang w:val="en-GB"/>
        </w:rPr>
        <w:t>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050CD23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488B2C52"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which states that people prefer to maintain the status quo and are reluctant to part with assets that have lost value</w:t>
      </w:r>
      <w:r w:rsidR="00E779B7">
        <w:rPr>
          <w:lang w:val="en-GB"/>
        </w:rPr>
        <w:t xml:space="preserve">.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even though the EMH assumes that all investors are rational, in reality investors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7250A99E"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outperform the market consistently. However, even if most</w:t>
      </w:r>
      <w:r w:rsidR="00466337">
        <w:rPr>
          <w:lang w:val="en-GB"/>
        </w:rPr>
        <w:t xml:space="preserve"> active</w:t>
      </w:r>
      <w:r w:rsidRPr="006F2B5F">
        <w:rPr>
          <w:lang w:val="en-GB"/>
        </w:rPr>
        <w:t xml:space="preserve">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68ADFA0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 xml:space="preserve">The survivorship bias ignores assets that have disappeared during the test period and only considers investments that are still present at the end of the test period. The look ahead bias occurs, when investment decisions are done based on information, which </w:t>
      </w:r>
      <w:r w:rsidR="007B691F">
        <w:rPr>
          <w:lang w:val="en-GB"/>
        </w:rPr>
        <w:t>is</w:t>
      </w:r>
      <w:r w:rsidRPr="00EB629D">
        <w:rPr>
          <w:lang w:val="en-GB"/>
        </w:rPr>
        <w:t xml:space="preserv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w:t>
      </w:r>
      <w:r w:rsidR="00BD3A10">
        <w:rPr>
          <w:lang w:val="en-GB"/>
        </w:rPr>
        <w:t>’</w:t>
      </w:r>
      <w:r w:rsidRPr="006F2B5F">
        <w:rPr>
          <w:lang w:val="en-GB"/>
        </w:rPr>
        <w:t>s</w:t>
      </w:r>
      <w:r w:rsidRPr="00BD3A10">
        <w:rPr>
          <w:sz w:val="16"/>
          <w:szCs w:val="16"/>
          <w:lang w:val="en-GB"/>
        </w:rPr>
        <w:t xml:space="preserve"> </w:t>
      </w:r>
      <w:r w:rsidRPr="006F2B5F">
        <w:rPr>
          <w:lang w:val="en-GB"/>
        </w:rPr>
        <w:t>genuine</w:t>
      </w:r>
      <w:r w:rsidR="00BD3A10" w:rsidRPr="00BD3A10">
        <w:rPr>
          <w:sz w:val="16"/>
          <w:szCs w:val="16"/>
          <w:lang w:val="en-GB"/>
        </w:rPr>
        <w:t xml:space="preserve"> </w:t>
      </w:r>
      <w:r w:rsidRPr="006F2B5F">
        <w:rPr>
          <w:lang w:val="en-GB"/>
        </w:rPr>
        <w:t xml:space="preserve">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56DD4233"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w:t>
      </w:r>
      <w:r w:rsidRPr="00C35A7E">
        <w:t xml:space="preserve">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xml:space="preserve">– particularly for risk-averse investors. </w:t>
      </w:r>
    </w:p>
    <w:p w14:paraId="663B164C" w14:textId="58CFDA29" w:rsidR="001C5E06" w:rsidRPr="00E21949" w:rsidRDefault="00697E9F">
      <w:pPr>
        <w:pStyle w:val="berschrift2"/>
      </w:pPr>
      <w:r>
        <w:lastRenderedPageBreak/>
        <w:t>Risk Management</w:t>
      </w:r>
    </w:p>
    <w:p w14:paraId="03D35022" w14:textId="41FD5960" w:rsidR="00CF117B" w:rsidRPr="00CF117B" w:rsidRDefault="00CF117B" w:rsidP="005C1D6D">
      <w:pPr>
        <w:pStyle w:val="Text"/>
      </w:pPr>
      <w:r w:rsidRPr="00CF117B">
        <w:t>Value-at-Risk (</w:t>
      </w:r>
      <w:proofErr w:type="spellStart"/>
      <w:r w:rsidRPr="00CF117B">
        <w:t>VaR</w:t>
      </w:r>
      <w:proofErr w:type="spellEnd"/>
      <w:r w:rsidRPr="00CF117B">
        <w:t xml:space="preserve">) is the most commonly used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proofErr w:type="spellStart"/>
      <w:r w:rsidR="005C1D6D" w:rsidRPr="00A16169">
        <w:t>VaR</w:t>
      </w:r>
      <w:proofErr w:type="spellEnd"/>
      <w:r w:rsidR="005C1D6D" w:rsidRPr="00A16169">
        <w:t xml:space="preserve"> is a measure of potential loss over a given time period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286BD0">
        <w:t xml:space="preserve">– and hedge against rising </w:t>
      </w:r>
      <w:r w:rsidR="00503986">
        <w:t>equity volatility</w:t>
      </w:r>
      <w:r w:rsidR="00EE4660">
        <w:t xml:space="preserve">. </w:t>
      </w:r>
    </w:p>
    <w:p w14:paraId="5CB5D8C1" w14:textId="77777777" w:rsidR="001C5E06" w:rsidRPr="00E21949" w:rsidRDefault="005C1D6D">
      <w:pPr>
        <w:pStyle w:val="berschrift2"/>
      </w:pPr>
      <w:r>
        <w:t>Momentum</w:t>
      </w:r>
    </w:p>
    <w:p w14:paraId="47494AFD" w14:textId="52C087B0" w:rsidR="005C1D6D" w:rsidRDefault="005C1D6D" w:rsidP="005C1D6D">
      <w:pPr>
        <w:pStyle w:val="Text"/>
      </w:pPr>
      <w:r>
        <w:t xml:space="preserve">We are </w:t>
      </w:r>
      <w:r w:rsidR="00D66FC5">
        <w:t>t</w:t>
      </w:r>
      <w:r>
        <w:t>rend-</w:t>
      </w:r>
      <w:r w:rsidR="00F61180">
        <w:t xml:space="preserve">followers; </w:t>
      </w:r>
      <w:r>
        <w:t>therefore, we want to stay invested in upward trends and be cautious in downturn trends. For this reason, our</w:t>
      </w:r>
      <w:r w:rsidRPr="005C1D6D">
        <w:t xml:space="preserve"> momentum factor consists of two moving average</w:t>
      </w:r>
      <w:r w:rsidR="00986531">
        <w:t xml:space="preserve"> </w:t>
      </w:r>
      <w:r w:rsidR="00337AFE">
        <w:t>(MA)</w:t>
      </w:r>
      <w:r w:rsidR="00986531">
        <w:t xml:space="preserve"> pairs</w:t>
      </w:r>
      <w:r>
        <w:t xml:space="preserve">, </w:t>
      </w:r>
      <w:r w:rsidRPr="005C1D6D">
        <w:t xml:space="preserve">35-day and 200-day. The model </w:t>
      </w:r>
      <w:r w:rsidR="00986531">
        <w:t>identifies</w:t>
      </w:r>
      <w:r w:rsidR="009D4B3F">
        <w:t xml:space="preserve"> an</w:t>
      </w:r>
      <w:r w:rsidRPr="005C1D6D">
        <w:t xml:space="preserve"> </w:t>
      </w:r>
      <w:r w:rsidR="009D4B3F" w:rsidRPr="005C1D6D">
        <w:t>upward trend</w:t>
      </w:r>
      <w:r w:rsidRPr="005C1D6D">
        <w:t xml:space="preserve"> </w:t>
      </w:r>
      <w:r w:rsidR="00D66FC5">
        <w:t>as long as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57119E2A"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drops to at least</w:t>
      </w:r>
      <w:r w:rsidRPr="005C1D6D">
        <w:t xml:space="preserve"> 30% </w:t>
      </w:r>
      <w:r w:rsidR="002A4C59">
        <w:t>of</w:t>
      </w:r>
      <w:r w:rsidRPr="005C1D6D">
        <w:t xml:space="preserve">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08C178CA" w:rsidR="00805D4F" w:rsidRDefault="004E41A3" w:rsidP="00DD0646">
      <w:pPr>
        <w:pStyle w:val="Text"/>
      </w:pPr>
      <w:r w:rsidRPr="004E41A3">
        <w:t>The SPY3 model has consistently outperformed the S&amp;P 500</w:t>
      </w:r>
      <w:r w:rsidR="00150AB0">
        <w:t xml:space="preserve"> since 2000</w:t>
      </w:r>
      <w:r w:rsidR="00FB6D24">
        <w:t xml:space="preserve"> </w:t>
      </w:r>
      <w:r w:rsidR="003F3A3A">
        <w:t>by</w:t>
      </w:r>
      <w:r w:rsidRPr="004E41A3">
        <w:t xml:space="preserve"> </w:t>
      </w:r>
      <w:r w:rsidR="00071DC8">
        <w:t xml:space="preserve">actively </w:t>
      </w:r>
      <w:r w:rsidRPr="004E41A3">
        <w:t xml:space="preserve">shifting between </w:t>
      </w:r>
      <w:r w:rsidR="00FB6D24">
        <w:t>risky</w:t>
      </w:r>
      <w:r w:rsidRPr="004E41A3">
        <w:t xml:space="preserve"> and </w:t>
      </w:r>
      <w:r w:rsidR="003F3A3A">
        <w:t>safety</w:t>
      </w:r>
      <w:r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w:t>
      </w:r>
      <w:r w:rsidR="00912251">
        <w:t xml:space="preserve">n annual Jensen’s </w:t>
      </w:r>
      <w:r w:rsidR="00805D4F" w:rsidRPr="00012797">
        <w:t xml:space="preserve">alpha of </w:t>
      </w:r>
      <w:r w:rsidR="00912251">
        <w:t>6</w:t>
      </w:r>
      <w:r w:rsidR="00805D4F" w:rsidRPr="00012797">
        <w:t>.</w:t>
      </w:r>
      <w:r w:rsidR="00912251">
        <w:t>8</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088574" cy="2492587"/>
                    </a:xfrm>
                    <a:prstGeom prst="rect">
                      <a:avLst/>
                    </a:prstGeom>
                  </pic:spPr>
                </pic:pic>
              </a:graphicData>
            </a:graphic>
          </wp:inline>
        </w:drawing>
      </w:r>
    </w:p>
    <w:p w14:paraId="1CF89065" w14:textId="38F13D66" w:rsidR="00CC38D0" w:rsidRDefault="008A6257" w:rsidP="00A5350A">
      <w:pPr>
        <w:pStyle w:val="Text"/>
        <w:ind w:firstLine="0"/>
      </w:pPr>
      <w:r>
        <w:rPr>
          <w:noProof/>
        </w:rPr>
        <w:drawing>
          <wp:anchor distT="0" distB="0" distL="114300" distR="114300" simplePos="0" relativeHeight="251657728" behindDoc="0" locked="0" layoutInCell="1" allowOverlap="1" wp14:anchorId="712A490C" wp14:editId="4A3AB117">
            <wp:simplePos x="0" y="0"/>
            <wp:positionH relativeFrom="column">
              <wp:posOffset>35845</wp:posOffset>
            </wp:positionH>
            <wp:positionV relativeFrom="paragraph">
              <wp:posOffset>26342</wp:posOffset>
            </wp:positionV>
            <wp:extent cx="3210910" cy="2049517"/>
            <wp:effectExtent l="0" t="0" r="8890" b="8255"/>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214069" cy="205153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64A6C2E3" w14:textId="77777777" w:rsidR="008A6257" w:rsidRPr="008A6257" w:rsidRDefault="008A6257" w:rsidP="00A5350A">
      <w:pPr>
        <w:pStyle w:val="Text"/>
        <w:ind w:firstLine="0"/>
        <w:rPr>
          <w:sz w:val="18"/>
          <w:szCs w:val="18"/>
        </w:rPr>
      </w:pPr>
    </w:p>
    <w:p w14:paraId="0C2C898F" w14:textId="77777777" w:rsidR="001C5E06" w:rsidRDefault="005C1D6D">
      <w:pPr>
        <w:pStyle w:val="berschrift1"/>
        <w:rPr>
          <w:b/>
        </w:rPr>
      </w:pPr>
      <w:r>
        <w:rPr>
          <w:b/>
        </w:rPr>
        <w:t xml:space="preserve">Concluding Remarks </w:t>
      </w:r>
    </w:p>
    <w:p w14:paraId="23A5EAB3" w14:textId="2E91390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w:t>
      </w:r>
      <w:r w:rsidR="009952BB">
        <w:t xml:space="preserve"> and</w:t>
      </w:r>
      <w:r w:rsidRPr="00835875">
        <w:t xml:space="preserve"> trading rules are transparent and automated, allowing fast, cost-efficient, and </w:t>
      </w:r>
      <w:r w:rsidR="009952BB">
        <w:t>real-time t</w:t>
      </w:r>
      <w:r w:rsidRPr="00835875">
        <w:t xml:space="preserve">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in reality these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beats the</w:t>
      </w:r>
      <w:r w:rsidR="00337AFE">
        <w:t xml:space="preserve"> </w:t>
      </w:r>
      <w:r w:rsidR="00605485">
        <w:t>S&amp;P500</w:t>
      </w:r>
      <w:r w:rsidRPr="00835875">
        <w:t xml:space="preserve"> by both, limiting risk and generating steady excess return. </w:t>
      </w:r>
      <w:r w:rsidR="00CC38D0">
        <w:t>In regard to</w:t>
      </w:r>
      <w:r w:rsidRPr="00835875">
        <w:t xml:space="preserve"> </w:t>
      </w:r>
      <w:proofErr w:type="spellStart"/>
      <w:r w:rsidRPr="00835875">
        <w:t>backtesting</w:t>
      </w:r>
      <w:proofErr w:type="spellEnd"/>
      <w:r w:rsidRPr="00835875">
        <w:t xml:space="preserve">, </w:t>
      </w:r>
      <w:r w:rsidR="00605485">
        <w:t xml:space="preserve">we </w:t>
      </w:r>
      <w:r w:rsidR="00D310C0">
        <w:t>stay</w:t>
      </w:r>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proofErr w:type="spellStart"/>
      <w:r w:rsidRPr="008A6257">
        <w:rPr>
          <w:lang w:val="en-GB"/>
        </w:rPr>
        <w:t>Asness</w:t>
      </w:r>
      <w:proofErr w:type="spellEnd"/>
      <w:r w:rsidRPr="008A6257">
        <w:rPr>
          <w:lang w:val="en-GB"/>
        </w:rPr>
        <w:t xml:space="preserve">,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D0C90" w14:textId="77777777" w:rsidR="00307705" w:rsidRDefault="00307705">
      <w:r>
        <w:separator/>
      </w:r>
    </w:p>
  </w:endnote>
  <w:endnote w:type="continuationSeparator" w:id="0">
    <w:p w14:paraId="4224C331" w14:textId="77777777" w:rsidR="00307705" w:rsidRDefault="003077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B3144" w14:textId="77777777" w:rsidR="00307705" w:rsidRDefault="00307705"/>
  </w:footnote>
  <w:footnote w:type="continuationSeparator" w:id="0">
    <w:p w14:paraId="1110BF1A" w14:textId="77777777" w:rsidR="00307705" w:rsidRDefault="003077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2C17BE6D">
          <wp:simplePos x="0" y="0"/>
          <wp:positionH relativeFrom="column">
            <wp:posOffset>4989195</wp:posOffset>
          </wp:positionH>
          <wp:positionV relativeFrom="paragraph">
            <wp:posOffset>0</wp:posOffset>
          </wp:positionV>
          <wp:extent cx="1541780" cy="452120"/>
          <wp:effectExtent l="0" t="0" r="1270" b="5080"/>
          <wp:wrapNone/>
          <wp:docPr id="166994751" name="Bild 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4751" name="Bild 6">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452F30C2" w:rsidR="00290F4F" w:rsidRPr="003A6FB6" w:rsidRDefault="00290F4F" w:rsidP="00290F4F">
    <w:pPr>
      <w:tabs>
        <w:tab w:val="center" w:pos="4837"/>
      </w:tabs>
      <w:ind w:right="360"/>
      <w:rPr>
        <w:b/>
        <w:color w:val="808080" w:themeColor="background1" w:themeShade="80"/>
        <w:sz w:val="16"/>
        <w:szCs w:val="16"/>
      </w:rPr>
    </w:pPr>
    <w:r w:rsidRPr="003A6FB6">
      <w:rPr>
        <w:b/>
        <w:color w:val="808080" w:themeColor="background1" w:themeShade="80"/>
        <w:sz w:val="16"/>
        <w:szCs w:val="16"/>
      </w:rPr>
      <w:t>This content is for informational purposes only</w:t>
    </w:r>
  </w:p>
  <w:p w14:paraId="455AFA2E" w14:textId="1FCAE13A"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gutterAtTop/>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46C2"/>
    <w:rsid w:val="00020485"/>
    <w:rsid w:val="00023FAB"/>
    <w:rsid w:val="0002432C"/>
    <w:rsid w:val="000307E2"/>
    <w:rsid w:val="00036808"/>
    <w:rsid w:val="000401B6"/>
    <w:rsid w:val="00047419"/>
    <w:rsid w:val="000479C3"/>
    <w:rsid w:val="00053099"/>
    <w:rsid w:val="0006545C"/>
    <w:rsid w:val="0007149D"/>
    <w:rsid w:val="00071DC8"/>
    <w:rsid w:val="00075884"/>
    <w:rsid w:val="0008094D"/>
    <w:rsid w:val="00092DDB"/>
    <w:rsid w:val="0009450F"/>
    <w:rsid w:val="000B3D86"/>
    <w:rsid w:val="000B63D9"/>
    <w:rsid w:val="000F6DE4"/>
    <w:rsid w:val="000F6F0F"/>
    <w:rsid w:val="00106077"/>
    <w:rsid w:val="00120134"/>
    <w:rsid w:val="00150AB0"/>
    <w:rsid w:val="00157376"/>
    <w:rsid w:val="00161C5E"/>
    <w:rsid w:val="00165EDD"/>
    <w:rsid w:val="00173C6A"/>
    <w:rsid w:val="00182A8D"/>
    <w:rsid w:val="00197A87"/>
    <w:rsid w:val="001B042D"/>
    <w:rsid w:val="001B310F"/>
    <w:rsid w:val="001B6317"/>
    <w:rsid w:val="001C3F22"/>
    <w:rsid w:val="001C4830"/>
    <w:rsid w:val="001C5E06"/>
    <w:rsid w:val="001E3E4D"/>
    <w:rsid w:val="00200999"/>
    <w:rsid w:val="00204494"/>
    <w:rsid w:val="00205BA8"/>
    <w:rsid w:val="002123BA"/>
    <w:rsid w:val="00214FCB"/>
    <w:rsid w:val="00216739"/>
    <w:rsid w:val="0022475A"/>
    <w:rsid w:val="002322DB"/>
    <w:rsid w:val="002369CF"/>
    <w:rsid w:val="00240E9B"/>
    <w:rsid w:val="00253740"/>
    <w:rsid w:val="00253E19"/>
    <w:rsid w:val="00257183"/>
    <w:rsid w:val="002725FF"/>
    <w:rsid w:val="00274584"/>
    <w:rsid w:val="00280979"/>
    <w:rsid w:val="00286BD0"/>
    <w:rsid w:val="00290F4F"/>
    <w:rsid w:val="002911C3"/>
    <w:rsid w:val="002A4C59"/>
    <w:rsid w:val="002B0E4A"/>
    <w:rsid w:val="002B6F01"/>
    <w:rsid w:val="002D4C67"/>
    <w:rsid w:val="002D6F10"/>
    <w:rsid w:val="00307705"/>
    <w:rsid w:val="00312F8A"/>
    <w:rsid w:val="0032565B"/>
    <w:rsid w:val="00337AFE"/>
    <w:rsid w:val="003452F5"/>
    <w:rsid w:val="003464D0"/>
    <w:rsid w:val="0035124B"/>
    <w:rsid w:val="00353A99"/>
    <w:rsid w:val="00363CC7"/>
    <w:rsid w:val="003648FB"/>
    <w:rsid w:val="003A037C"/>
    <w:rsid w:val="003A2242"/>
    <w:rsid w:val="003A4286"/>
    <w:rsid w:val="003A6FB6"/>
    <w:rsid w:val="003A74D4"/>
    <w:rsid w:val="003B1CB5"/>
    <w:rsid w:val="003B2F07"/>
    <w:rsid w:val="003B45AE"/>
    <w:rsid w:val="003D226A"/>
    <w:rsid w:val="003D44E5"/>
    <w:rsid w:val="003D4CD8"/>
    <w:rsid w:val="003E0A95"/>
    <w:rsid w:val="003E1B3E"/>
    <w:rsid w:val="003E4232"/>
    <w:rsid w:val="003E5ED6"/>
    <w:rsid w:val="003F3A3A"/>
    <w:rsid w:val="004015C6"/>
    <w:rsid w:val="00403B80"/>
    <w:rsid w:val="004156BE"/>
    <w:rsid w:val="004257EB"/>
    <w:rsid w:val="00425962"/>
    <w:rsid w:val="00426B5B"/>
    <w:rsid w:val="00434059"/>
    <w:rsid w:val="00466337"/>
    <w:rsid w:val="0047293C"/>
    <w:rsid w:val="004A6849"/>
    <w:rsid w:val="004C09C2"/>
    <w:rsid w:val="004D01B1"/>
    <w:rsid w:val="004D06CD"/>
    <w:rsid w:val="004D33B3"/>
    <w:rsid w:val="004D65D0"/>
    <w:rsid w:val="004D7210"/>
    <w:rsid w:val="004E41A3"/>
    <w:rsid w:val="004F011D"/>
    <w:rsid w:val="00503986"/>
    <w:rsid w:val="005042C7"/>
    <w:rsid w:val="0051250C"/>
    <w:rsid w:val="00515DAE"/>
    <w:rsid w:val="00525574"/>
    <w:rsid w:val="005262F1"/>
    <w:rsid w:val="00535976"/>
    <w:rsid w:val="0053663A"/>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458A"/>
    <w:rsid w:val="00662461"/>
    <w:rsid w:val="00666A6D"/>
    <w:rsid w:val="006725B6"/>
    <w:rsid w:val="00674D4D"/>
    <w:rsid w:val="00676696"/>
    <w:rsid w:val="00695B15"/>
    <w:rsid w:val="00695EB9"/>
    <w:rsid w:val="00697E9F"/>
    <w:rsid w:val="006A0A61"/>
    <w:rsid w:val="006A6F82"/>
    <w:rsid w:val="006A7979"/>
    <w:rsid w:val="006B07DC"/>
    <w:rsid w:val="006B3AAD"/>
    <w:rsid w:val="006C2C91"/>
    <w:rsid w:val="006C4E75"/>
    <w:rsid w:val="006D6216"/>
    <w:rsid w:val="006F2B5F"/>
    <w:rsid w:val="006F6919"/>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956A9"/>
    <w:rsid w:val="007A5BBE"/>
    <w:rsid w:val="007A7A88"/>
    <w:rsid w:val="007B18AA"/>
    <w:rsid w:val="007B2DE0"/>
    <w:rsid w:val="007B691F"/>
    <w:rsid w:val="007C0E6D"/>
    <w:rsid w:val="007C5EB3"/>
    <w:rsid w:val="007E408C"/>
    <w:rsid w:val="007E53C6"/>
    <w:rsid w:val="007F08A9"/>
    <w:rsid w:val="00804F80"/>
    <w:rsid w:val="00805D4F"/>
    <w:rsid w:val="0082268C"/>
    <w:rsid w:val="00835875"/>
    <w:rsid w:val="008358C4"/>
    <w:rsid w:val="00840246"/>
    <w:rsid w:val="008444B8"/>
    <w:rsid w:val="00855805"/>
    <w:rsid w:val="0086146A"/>
    <w:rsid w:val="00867FBA"/>
    <w:rsid w:val="0087023B"/>
    <w:rsid w:val="00877082"/>
    <w:rsid w:val="00883190"/>
    <w:rsid w:val="00885992"/>
    <w:rsid w:val="00894A1E"/>
    <w:rsid w:val="008A6257"/>
    <w:rsid w:val="008B09D8"/>
    <w:rsid w:val="008B4747"/>
    <w:rsid w:val="008B48D1"/>
    <w:rsid w:val="008F5DF0"/>
    <w:rsid w:val="0090091A"/>
    <w:rsid w:val="00903433"/>
    <w:rsid w:val="00904445"/>
    <w:rsid w:val="00912165"/>
    <w:rsid w:val="00912251"/>
    <w:rsid w:val="00925E7C"/>
    <w:rsid w:val="009357C3"/>
    <w:rsid w:val="00935BB2"/>
    <w:rsid w:val="00936230"/>
    <w:rsid w:val="00944F15"/>
    <w:rsid w:val="00953432"/>
    <w:rsid w:val="00960ABD"/>
    <w:rsid w:val="0096637C"/>
    <w:rsid w:val="009750BA"/>
    <w:rsid w:val="009758D0"/>
    <w:rsid w:val="00981EBD"/>
    <w:rsid w:val="00985F19"/>
    <w:rsid w:val="00986531"/>
    <w:rsid w:val="009952BB"/>
    <w:rsid w:val="009B5BB2"/>
    <w:rsid w:val="009C0274"/>
    <w:rsid w:val="009C6E01"/>
    <w:rsid w:val="009D06A4"/>
    <w:rsid w:val="009D4B3F"/>
    <w:rsid w:val="009D6E5A"/>
    <w:rsid w:val="009F1954"/>
    <w:rsid w:val="00A016DD"/>
    <w:rsid w:val="00A047D8"/>
    <w:rsid w:val="00A107AA"/>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65CE"/>
    <w:rsid w:val="00AC7AD8"/>
    <w:rsid w:val="00B03A26"/>
    <w:rsid w:val="00B15A92"/>
    <w:rsid w:val="00B23FB0"/>
    <w:rsid w:val="00B346ED"/>
    <w:rsid w:val="00B50BF0"/>
    <w:rsid w:val="00B532D9"/>
    <w:rsid w:val="00B56B40"/>
    <w:rsid w:val="00B72478"/>
    <w:rsid w:val="00B73705"/>
    <w:rsid w:val="00B74F04"/>
    <w:rsid w:val="00B75999"/>
    <w:rsid w:val="00B97714"/>
    <w:rsid w:val="00BA5AC9"/>
    <w:rsid w:val="00BA5C01"/>
    <w:rsid w:val="00BB1D47"/>
    <w:rsid w:val="00BB3FCD"/>
    <w:rsid w:val="00BB5D70"/>
    <w:rsid w:val="00BC1FA1"/>
    <w:rsid w:val="00BC28D1"/>
    <w:rsid w:val="00BD3A10"/>
    <w:rsid w:val="00BE0B69"/>
    <w:rsid w:val="00C00AA6"/>
    <w:rsid w:val="00C012D0"/>
    <w:rsid w:val="00C0634F"/>
    <w:rsid w:val="00C247EB"/>
    <w:rsid w:val="00C30EE6"/>
    <w:rsid w:val="00C35A7E"/>
    <w:rsid w:val="00C50267"/>
    <w:rsid w:val="00C51965"/>
    <w:rsid w:val="00C571A2"/>
    <w:rsid w:val="00C64A13"/>
    <w:rsid w:val="00C82000"/>
    <w:rsid w:val="00C857E1"/>
    <w:rsid w:val="00C8649E"/>
    <w:rsid w:val="00CA2017"/>
    <w:rsid w:val="00CB29C8"/>
    <w:rsid w:val="00CB654C"/>
    <w:rsid w:val="00CC38D0"/>
    <w:rsid w:val="00CC46D3"/>
    <w:rsid w:val="00CD1B76"/>
    <w:rsid w:val="00CD5F3B"/>
    <w:rsid w:val="00CE46C3"/>
    <w:rsid w:val="00CE46FC"/>
    <w:rsid w:val="00CF117B"/>
    <w:rsid w:val="00CF42D5"/>
    <w:rsid w:val="00D0150E"/>
    <w:rsid w:val="00D02CDF"/>
    <w:rsid w:val="00D11B53"/>
    <w:rsid w:val="00D12B04"/>
    <w:rsid w:val="00D21D81"/>
    <w:rsid w:val="00D310C0"/>
    <w:rsid w:val="00D31A45"/>
    <w:rsid w:val="00D379FC"/>
    <w:rsid w:val="00D5325D"/>
    <w:rsid w:val="00D66039"/>
    <w:rsid w:val="00D66FC5"/>
    <w:rsid w:val="00D7663D"/>
    <w:rsid w:val="00D76AA1"/>
    <w:rsid w:val="00D9137F"/>
    <w:rsid w:val="00DB30D9"/>
    <w:rsid w:val="00DD0646"/>
    <w:rsid w:val="00DE5D56"/>
    <w:rsid w:val="00E06321"/>
    <w:rsid w:val="00E21949"/>
    <w:rsid w:val="00E32B22"/>
    <w:rsid w:val="00E342DB"/>
    <w:rsid w:val="00E43C61"/>
    <w:rsid w:val="00E45B96"/>
    <w:rsid w:val="00E63757"/>
    <w:rsid w:val="00E63D0E"/>
    <w:rsid w:val="00E7628E"/>
    <w:rsid w:val="00E779B7"/>
    <w:rsid w:val="00E9006E"/>
    <w:rsid w:val="00E940BA"/>
    <w:rsid w:val="00E950F6"/>
    <w:rsid w:val="00E953EF"/>
    <w:rsid w:val="00EA4DFB"/>
    <w:rsid w:val="00EB092C"/>
    <w:rsid w:val="00EB125C"/>
    <w:rsid w:val="00EB629D"/>
    <w:rsid w:val="00EE3DFF"/>
    <w:rsid w:val="00EE4660"/>
    <w:rsid w:val="00EE771C"/>
    <w:rsid w:val="00EF1C1B"/>
    <w:rsid w:val="00EF4164"/>
    <w:rsid w:val="00F20573"/>
    <w:rsid w:val="00F403F0"/>
    <w:rsid w:val="00F40991"/>
    <w:rsid w:val="00F42F8B"/>
    <w:rsid w:val="00F50ABA"/>
    <w:rsid w:val="00F61180"/>
    <w:rsid w:val="00F63546"/>
    <w:rsid w:val="00F6640E"/>
    <w:rsid w:val="00F70067"/>
    <w:rsid w:val="00F71CC9"/>
    <w:rsid w:val="00F81CF6"/>
    <w:rsid w:val="00F85D50"/>
    <w:rsid w:val="00F86191"/>
    <w:rsid w:val="00F87537"/>
    <w:rsid w:val="00F87565"/>
    <w:rsid w:val="00F9275E"/>
    <w:rsid w:val="00F93E8F"/>
    <w:rsid w:val="00FA7A6F"/>
    <w:rsid w:val="00FB6D24"/>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403265788">
      <w:bodyDiv w:val="1"/>
      <w:marLeft w:val="0"/>
      <w:marRight w:val="0"/>
      <w:marTop w:val="0"/>
      <w:marBottom w:val="0"/>
      <w:divBdr>
        <w:top w:val="none" w:sz="0" w:space="0" w:color="auto"/>
        <w:left w:val="none" w:sz="0" w:space="0" w:color="auto"/>
        <w:bottom w:val="none" w:sz="0" w:space="0" w:color="auto"/>
        <w:right w:val="none" w:sz="0" w:space="0" w:color="auto"/>
      </w:divBdr>
      <w:divsChild>
        <w:div w:id="1031951590">
          <w:marLeft w:val="0"/>
          <w:marRight w:val="0"/>
          <w:marTop w:val="0"/>
          <w:marBottom w:val="0"/>
          <w:divBdr>
            <w:top w:val="none" w:sz="0" w:space="0" w:color="auto"/>
            <w:left w:val="none" w:sz="0" w:space="0" w:color="auto"/>
            <w:bottom w:val="none" w:sz="0" w:space="0" w:color="auto"/>
            <w:right w:val="none" w:sz="0" w:space="0" w:color="auto"/>
          </w:divBdr>
          <w:divsChild>
            <w:div w:id="953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082917188">
      <w:bodyDiv w:val="1"/>
      <w:marLeft w:val="0"/>
      <w:marRight w:val="0"/>
      <w:marTop w:val="0"/>
      <w:marBottom w:val="0"/>
      <w:divBdr>
        <w:top w:val="none" w:sz="0" w:space="0" w:color="auto"/>
        <w:left w:val="none" w:sz="0" w:space="0" w:color="auto"/>
        <w:bottom w:val="none" w:sz="0" w:space="0" w:color="auto"/>
        <w:right w:val="none" w:sz="0" w:space="0" w:color="auto"/>
      </w:divBdr>
      <w:divsChild>
        <w:div w:id="1104110147">
          <w:marLeft w:val="0"/>
          <w:marRight w:val="0"/>
          <w:marTop w:val="0"/>
          <w:marBottom w:val="0"/>
          <w:divBdr>
            <w:top w:val="none" w:sz="0" w:space="0" w:color="auto"/>
            <w:left w:val="none" w:sz="0" w:space="0" w:color="auto"/>
            <w:bottom w:val="none" w:sz="0" w:space="0" w:color="auto"/>
            <w:right w:val="none" w:sz="0" w:space="0" w:color="auto"/>
          </w:divBdr>
          <w:divsChild>
            <w:div w:id="145852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hyperlink" Target="http://www.sintro.eu"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2753</Words>
  <Characters>15693</Characters>
  <Application>Microsoft Office Word</Application>
  <DocSecurity>0</DocSecurity>
  <Lines>130</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18410</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214</cp:revision>
  <cp:lastPrinted>2025-03-04T16:34:00Z</cp:lastPrinted>
  <dcterms:created xsi:type="dcterms:W3CDTF">2025-02-21T09:42:00Z</dcterms:created>
  <dcterms:modified xsi:type="dcterms:W3CDTF">2025-03-04T16:38:00Z</dcterms:modified>
</cp:coreProperties>
</file>