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4742D3" w14:textId="77777777" w:rsidR="001C5E06" w:rsidRPr="005A7985" w:rsidRDefault="001C5E06" w:rsidP="00855805">
      <w:pPr>
        <w:pStyle w:val="Text"/>
        <w:ind w:firstLine="0"/>
        <w:rPr>
          <w:sz w:val="18"/>
          <w:szCs w:val="18"/>
        </w:rPr>
      </w:pPr>
    </w:p>
    <w:p w14:paraId="30DB5C50" w14:textId="77777777" w:rsidR="001C5E06" w:rsidRPr="005A7985" w:rsidRDefault="009D06A4" w:rsidP="00E45B96">
      <w:pPr>
        <w:pStyle w:val="Titel"/>
        <w:framePr w:wrap="notBeside"/>
      </w:pPr>
      <w:r>
        <w:t xml:space="preserve">SPY3 – Whitepaper </w:t>
      </w:r>
    </w:p>
    <w:p w14:paraId="6A7143B9" w14:textId="77777777" w:rsidR="001C4830" w:rsidRPr="006061FA" w:rsidRDefault="00E45B96" w:rsidP="003A037C">
      <w:pPr>
        <w:pStyle w:val="Authors"/>
        <w:framePr w:wrap="notBeside" w:x="1335" w:y="-359"/>
        <w:spacing w:after="0"/>
        <w:rPr>
          <w:sz w:val="20"/>
          <w:szCs w:val="20"/>
        </w:rPr>
      </w:pPr>
      <w:r w:rsidRPr="006061FA">
        <w:t xml:space="preserve">Denis Keller, </w:t>
      </w:r>
      <w:hyperlink r:id="rId7" w:history="1">
        <w:r w:rsidRPr="006061FA">
          <w:rPr>
            <w:rStyle w:val="Hyperlink"/>
            <w:color w:val="0D0D0D"/>
            <w:u w:val="none"/>
          </w:rPr>
          <w:t>dk@sintro.eu</w:t>
        </w:r>
      </w:hyperlink>
      <w:r w:rsidR="003A037C" w:rsidRPr="006061FA">
        <w:rPr>
          <w:sz w:val="20"/>
          <w:szCs w:val="20"/>
        </w:rPr>
        <w:t xml:space="preserve"> </w:t>
      </w:r>
    </w:p>
    <w:p w14:paraId="1640082C" w14:textId="77777777" w:rsidR="001C4830" w:rsidRPr="00BB5D70" w:rsidRDefault="001C4830" w:rsidP="003A037C">
      <w:pPr>
        <w:pStyle w:val="Authors"/>
        <w:framePr w:wrap="notBeside" w:x="1335" w:y="-359"/>
        <w:spacing w:after="0"/>
      </w:pPr>
      <w:r w:rsidRPr="00BB5D70">
        <w:t>Marian Mashayekhi, marian.mashayekhi@sintro.eu</w:t>
      </w:r>
      <w:r w:rsidR="003A037C" w:rsidRPr="00BB5D70">
        <w:t xml:space="preserve">  </w:t>
      </w:r>
    </w:p>
    <w:p w14:paraId="31862C0B" w14:textId="77777777" w:rsidR="003A037C" w:rsidRPr="00BE0B69" w:rsidRDefault="001C4830" w:rsidP="003A037C">
      <w:pPr>
        <w:pStyle w:val="Authors"/>
        <w:framePr w:wrap="notBeside" w:x="1335" w:y="-359"/>
        <w:spacing w:after="0"/>
      </w:pPr>
      <w:r w:rsidRPr="00BE0B69">
        <w:t>www.sintro.eu</w:t>
      </w:r>
      <w:r w:rsidR="003A037C" w:rsidRPr="00BE0B69">
        <w:t xml:space="preserve">           </w:t>
      </w:r>
    </w:p>
    <w:p w14:paraId="03547459" w14:textId="4D0D3EEC" w:rsidR="001C5E06" w:rsidRPr="00A61EBB" w:rsidRDefault="001C5E06" w:rsidP="001C4830">
      <w:pPr>
        <w:pStyle w:val="Abstract"/>
        <w:rPr>
          <w:i/>
        </w:rPr>
      </w:pPr>
      <w:r w:rsidRPr="005A7985">
        <w:rPr>
          <w:i/>
          <w:iCs/>
        </w:rPr>
        <w:t>Abstract</w:t>
      </w:r>
      <w:r w:rsidRPr="005A7985">
        <w:rPr>
          <w:i/>
        </w:rPr>
        <w:t>—</w:t>
      </w:r>
      <w:r w:rsidR="00E63757" w:rsidRPr="005A7985">
        <w:rPr>
          <w:i/>
        </w:rPr>
        <w:t xml:space="preserve"> </w:t>
      </w:r>
      <w:r w:rsidR="006F2B5F">
        <w:rPr>
          <w:i/>
        </w:rPr>
        <w:t xml:space="preserve">In this paper, we </w:t>
      </w:r>
      <w:r w:rsidR="00697E9F">
        <w:rPr>
          <w:i/>
        </w:rPr>
        <w:t>present evidence against the prevailing theory about financial markets.</w:t>
      </w:r>
      <w:r w:rsidR="006F2B5F">
        <w:rPr>
          <w:i/>
        </w:rPr>
        <w:t xml:space="preserve"> </w:t>
      </w:r>
      <w:r w:rsidR="00E45B96" w:rsidRPr="00E45B96">
        <w:rPr>
          <w:i/>
        </w:rPr>
        <w:t xml:space="preserve">In academic </w:t>
      </w:r>
      <w:r w:rsidR="00697E9F">
        <w:rPr>
          <w:i/>
        </w:rPr>
        <w:t xml:space="preserve">research, </w:t>
      </w:r>
      <w:r w:rsidR="00E45B96" w:rsidRPr="00E45B96">
        <w:rPr>
          <w:i/>
        </w:rPr>
        <w:t xml:space="preserve">questions revolve around the assumption that asset prices reflect all available information and exhibit a random walk. </w:t>
      </w:r>
      <w:r w:rsidR="00697E9F" w:rsidRPr="00E45B96">
        <w:rPr>
          <w:i/>
        </w:rPr>
        <w:t>The direct</w:t>
      </w:r>
      <w:r w:rsidR="00E45B96" w:rsidRPr="00E45B96">
        <w:rPr>
          <w:i/>
        </w:rPr>
        <w:t xml:space="preserve"> implication of this </w:t>
      </w:r>
      <w:r w:rsidR="00A61EBB" w:rsidRPr="00E45B96">
        <w:rPr>
          <w:i/>
        </w:rPr>
        <w:t>hypothesis</w:t>
      </w:r>
      <w:r w:rsidR="00E45B96" w:rsidRPr="00E45B96">
        <w:rPr>
          <w:i/>
        </w:rPr>
        <w:t xml:space="preserve"> </w:t>
      </w:r>
      <w:r w:rsidR="00A61EBB">
        <w:rPr>
          <w:i/>
        </w:rPr>
        <w:t>is</w:t>
      </w:r>
      <w:r w:rsidR="00E45B96" w:rsidRPr="00E45B96">
        <w:rPr>
          <w:i/>
        </w:rPr>
        <w:t xml:space="preserve"> that no market participant can consistently earn excess returns on a risk-adjusted basis, except by luck or by using non-public information.</w:t>
      </w:r>
      <w:r w:rsidR="00A61EBB">
        <w:rPr>
          <w:i/>
        </w:rPr>
        <w:t xml:space="preserve"> </w:t>
      </w:r>
      <w:r w:rsidR="00E45B96" w:rsidRPr="00E45B96">
        <w:rPr>
          <w:i/>
        </w:rPr>
        <w:t xml:space="preserve">This </w:t>
      </w:r>
      <w:r w:rsidR="00E45B96">
        <w:rPr>
          <w:i/>
        </w:rPr>
        <w:t>paper</w:t>
      </w:r>
      <w:r w:rsidR="00E45B96" w:rsidRPr="00E45B96">
        <w:rPr>
          <w:i/>
        </w:rPr>
        <w:t xml:space="preserve"> examines whether the assumption that </w:t>
      </w:r>
      <w:r w:rsidR="00A61EBB">
        <w:rPr>
          <w:i/>
        </w:rPr>
        <w:t>past information</w:t>
      </w:r>
      <w:r w:rsidR="00E45B96" w:rsidRPr="00E45B96">
        <w:rPr>
          <w:i/>
        </w:rPr>
        <w:t xml:space="preserve"> cannot be enough to consistently outperform the market holds. </w:t>
      </w:r>
      <w:r w:rsidR="00E45B96">
        <w:rPr>
          <w:i/>
        </w:rPr>
        <w:t>E</w:t>
      </w:r>
      <w:r w:rsidR="00E45B96" w:rsidRPr="00E45B96">
        <w:rPr>
          <w:i/>
        </w:rPr>
        <w:t xml:space="preserve">mpirical </w:t>
      </w:r>
      <w:r w:rsidR="00A61EBB">
        <w:rPr>
          <w:i/>
        </w:rPr>
        <w:t>data</w:t>
      </w:r>
      <w:r w:rsidR="00E45B96" w:rsidRPr="00E45B96">
        <w:rPr>
          <w:i/>
        </w:rPr>
        <w:t xml:space="preserve"> </w:t>
      </w:r>
      <w:r w:rsidR="00E45B96">
        <w:rPr>
          <w:i/>
        </w:rPr>
        <w:t xml:space="preserve">shows </w:t>
      </w:r>
      <w:r w:rsidR="00E45B96" w:rsidRPr="00E45B96">
        <w:rPr>
          <w:i/>
        </w:rPr>
        <w:t>that asset returns are negatively skewed with a</w:t>
      </w:r>
      <w:r w:rsidR="00092DDB">
        <w:rPr>
          <w:i/>
        </w:rPr>
        <w:t xml:space="preserve"> so-called</w:t>
      </w:r>
      <w:r w:rsidR="00E45B96" w:rsidRPr="00E45B96">
        <w:rPr>
          <w:i/>
        </w:rPr>
        <w:t xml:space="preserve"> </w:t>
      </w:r>
      <w:r w:rsidR="00092DDB">
        <w:rPr>
          <w:i/>
        </w:rPr>
        <w:t>“</w:t>
      </w:r>
      <w:r w:rsidR="00E45B96" w:rsidRPr="00E45B96">
        <w:rPr>
          <w:i/>
        </w:rPr>
        <w:t>fat-tail distribution</w:t>
      </w:r>
      <w:r w:rsidR="00092DDB">
        <w:rPr>
          <w:i/>
        </w:rPr>
        <w:t>”. T</w:t>
      </w:r>
      <w:r w:rsidR="00E45B96" w:rsidRPr="00E45B96">
        <w:rPr>
          <w:i/>
        </w:rPr>
        <w:t xml:space="preserve">he systematic </w:t>
      </w:r>
      <w:r w:rsidR="001C4830">
        <w:rPr>
          <w:i/>
        </w:rPr>
        <w:t>approach</w:t>
      </w:r>
      <w:r w:rsidR="00E45B96" w:rsidRPr="00E45B96">
        <w:rPr>
          <w:i/>
        </w:rPr>
        <w:t xml:space="preserve"> </w:t>
      </w:r>
      <w:r w:rsidR="001C4830">
        <w:rPr>
          <w:i/>
        </w:rPr>
        <w:t>outlined</w:t>
      </w:r>
      <w:r w:rsidR="00092DDB">
        <w:rPr>
          <w:i/>
        </w:rPr>
        <w:t xml:space="preserve"> in this paper</w:t>
      </w:r>
      <w:r w:rsidR="00E45B96" w:rsidRPr="00E45B96">
        <w:rPr>
          <w:i/>
        </w:rPr>
        <w:t xml:space="preserve"> </w:t>
      </w:r>
      <w:r w:rsidR="001C4830">
        <w:rPr>
          <w:i/>
        </w:rPr>
        <w:t>provides an eas</w:t>
      </w:r>
      <w:r w:rsidR="00A56A47">
        <w:rPr>
          <w:i/>
        </w:rPr>
        <w:t>il</w:t>
      </w:r>
      <w:r w:rsidR="001C4830">
        <w:rPr>
          <w:i/>
        </w:rPr>
        <w:t>y replicable model which</w:t>
      </w:r>
      <w:r w:rsidR="00CE46C3">
        <w:rPr>
          <w:i/>
        </w:rPr>
        <w:t xml:space="preserve"> more than</w:t>
      </w:r>
      <w:r w:rsidR="001C4830">
        <w:rPr>
          <w:i/>
        </w:rPr>
        <w:t xml:space="preserve"> </w:t>
      </w:r>
      <w:r w:rsidR="00E45B96">
        <w:rPr>
          <w:i/>
        </w:rPr>
        <w:t>doubles</w:t>
      </w:r>
      <w:r w:rsidR="00E45B96" w:rsidRPr="00E45B96">
        <w:rPr>
          <w:i/>
        </w:rPr>
        <w:t xml:space="preserve"> the </w:t>
      </w:r>
      <w:r w:rsidR="001C4830">
        <w:rPr>
          <w:i/>
        </w:rPr>
        <w:t>Sharpe ratio</w:t>
      </w:r>
      <w:r w:rsidR="00E45B96" w:rsidRPr="00E45B96">
        <w:rPr>
          <w:i/>
        </w:rPr>
        <w:t xml:space="preserve"> </w:t>
      </w:r>
      <w:r w:rsidR="00925E7C" w:rsidRPr="00925E7C">
        <w:rPr>
          <w:i/>
        </w:rPr>
        <w:t xml:space="preserve">relative </w:t>
      </w:r>
      <w:r w:rsidR="00E45B96" w:rsidRPr="00E45B96">
        <w:rPr>
          <w:i/>
        </w:rPr>
        <w:t>to</w:t>
      </w:r>
      <w:r w:rsidR="00697E9F">
        <w:rPr>
          <w:i/>
        </w:rPr>
        <w:t xml:space="preserve"> a</w:t>
      </w:r>
      <w:r w:rsidR="00E45B96">
        <w:rPr>
          <w:i/>
        </w:rPr>
        <w:t xml:space="preserve"> buy-and-hold strateg</w:t>
      </w:r>
      <w:r w:rsidR="00290F4F">
        <w:rPr>
          <w:i/>
        </w:rPr>
        <w:t>y</w:t>
      </w:r>
      <w:r w:rsidR="00E45B96" w:rsidRPr="00E45B96">
        <w:rPr>
          <w:i/>
        </w:rPr>
        <w:t xml:space="preserve"> </w:t>
      </w:r>
      <w:r w:rsidR="00092DDB">
        <w:rPr>
          <w:i/>
        </w:rPr>
        <w:t>for the S&amp;P500. The</w:t>
      </w:r>
      <w:r w:rsidR="001C4830">
        <w:rPr>
          <w:i/>
        </w:rPr>
        <w:t xml:space="preserve"> SPY3</w:t>
      </w:r>
      <w:r w:rsidR="00092DDB">
        <w:rPr>
          <w:i/>
        </w:rPr>
        <w:t xml:space="preserve"> model </w:t>
      </w:r>
      <w:r w:rsidR="001C4830">
        <w:rPr>
          <w:i/>
        </w:rPr>
        <w:t>invests based on</w:t>
      </w:r>
      <w:r w:rsidR="00E45B96">
        <w:rPr>
          <w:i/>
        </w:rPr>
        <w:t xml:space="preserve"> three quantitative factors</w:t>
      </w:r>
      <w:r w:rsidR="00CE46C3">
        <w:rPr>
          <w:i/>
        </w:rPr>
        <w:t xml:space="preserve"> –</w:t>
      </w:r>
      <w:r w:rsidR="00290F4F">
        <w:rPr>
          <w:i/>
        </w:rPr>
        <w:t xml:space="preserve"> risk, momentum and mean reversion</w:t>
      </w:r>
      <w:r w:rsidR="00CE46C3">
        <w:rPr>
          <w:i/>
        </w:rPr>
        <w:t xml:space="preserve"> –</w:t>
      </w:r>
      <w:r w:rsidR="00092DDB">
        <w:rPr>
          <w:i/>
        </w:rPr>
        <w:t xml:space="preserve"> </w:t>
      </w:r>
      <w:r w:rsidR="001C4830">
        <w:rPr>
          <w:i/>
        </w:rPr>
        <w:t>and</w:t>
      </w:r>
      <w:r w:rsidR="00092DDB">
        <w:rPr>
          <w:i/>
        </w:rPr>
        <w:t xml:space="preserve"> determine</w:t>
      </w:r>
      <w:r w:rsidR="001C4830">
        <w:rPr>
          <w:i/>
        </w:rPr>
        <w:t>s</w:t>
      </w:r>
      <w:r w:rsidR="00092DDB">
        <w:rPr>
          <w:i/>
        </w:rPr>
        <w:t xml:space="preserve"> whether to invest</w:t>
      </w:r>
      <w:r w:rsidR="00290F4F">
        <w:rPr>
          <w:i/>
        </w:rPr>
        <w:t xml:space="preserve"> in risky assets or not.</w:t>
      </w:r>
      <w:r w:rsidR="00E45B96" w:rsidRPr="00E45B96">
        <w:rPr>
          <w:i/>
        </w:rPr>
        <w:t xml:space="preserve"> </w:t>
      </w:r>
    </w:p>
    <w:p w14:paraId="5A001F58" w14:textId="77777777" w:rsidR="00E45B96" w:rsidRDefault="00E45B96">
      <w:pPr>
        <w:pStyle w:val="IndexTerms"/>
        <w:rPr>
          <w:iCs/>
        </w:rPr>
      </w:pPr>
      <w:bookmarkStart w:id="0" w:name="PointTmp"/>
    </w:p>
    <w:p w14:paraId="51BF68D5" w14:textId="5B0FD351" w:rsidR="006D6216" w:rsidRPr="006D6216" w:rsidRDefault="00E45B96" w:rsidP="006D6216">
      <w:pPr>
        <w:pStyle w:val="IndexTerms"/>
        <w:jc w:val="left"/>
        <w:rPr>
          <w:iCs/>
        </w:rPr>
      </w:pPr>
      <w:r>
        <w:rPr>
          <w:iCs/>
        </w:rPr>
        <w:t xml:space="preserve">Key words: Asset </w:t>
      </w:r>
      <w:r w:rsidRPr="00C012D0">
        <w:rPr>
          <w:iCs/>
        </w:rPr>
        <w:t xml:space="preserve">Management, </w:t>
      </w:r>
      <w:r w:rsidR="00A60313" w:rsidRPr="00C012D0">
        <w:rPr>
          <w:iCs/>
        </w:rPr>
        <w:t xml:space="preserve">Financial Markets, </w:t>
      </w:r>
      <w:r w:rsidRPr="00C012D0">
        <w:rPr>
          <w:iCs/>
        </w:rPr>
        <w:t>Portfolio Allocatio</w:t>
      </w:r>
      <w:r w:rsidR="00C012D0" w:rsidRPr="00C012D0">
        <w:rPr>
          <w:iCs/>
        </w:rPr>
        <w:t>n</w:t>
      </w:r>
      <w:r w:rsidR="00092DDB">
        <w:rPr>
          <w:iCs/>
        </w:rPr>
        <w:t xml:space="preserve"> and Analysis</w:t>
      </w:r>
      <w:r w:rsidRPr="00C012D0">
        <w:rPr>
          <w:iCs/>
        </w:rPr>
        <w:t xml:space="preserve">, </w:t>
      </w:r>
      <w:r w:rsidR="00C012D0" w:rsidRPr="00C012D0">
        <w:rPr>
          <w:iCs/>
        </w:rPr>
        <w:t xml:space="preserve">Systematic </w:t>
      </w:r>
      <w:r w:rsidR="00290F4F">
        <w:rPr>
          <w:iCs/>
        </w:rPr>
        <w:t>Investing</w:t>
      </w:r>
    </w:p>
    <w:bookmarkEnd w:id="0"/>
    <w:p w14:paraId="37259982" w14:textId="77777777" w:rsidR="006D6216" w:rsidRPr="009D06A4" w:rsidRDefault="00734A22" w:rsidP="006D6216">
      <w:pPr>
        <w:pStyle w:val="berschrift1"/>
        <w:rPr>
          <w:b/>
        </w:rPr>
      </w:pPr>
      <w:r>
        <w:rPr>
          <w:b/>
        </w:rPr>
        <w:t>Introduction</w:t>
      </w:r>
    </w:p>
    <w:p w14:paraId="387ED9CF" w14:textId="39011F0D" w:rsidR="00C012D0" w:rsidRPr="00E21949" w:rsidRDefault="001C5E06" w:rsidP="00D66039">
      <w:pPr>
        <w:pStyle w:val="Text"/>
        <w:ind w:firstLine="0"/>
      </w:pPr>
      <w:r w:rsidRPr="00E21949">
        <w:rPr>
          <w:lang w:eastAsia="zh-TW"/>
        </w:rPr>
        <w:t xml:space="preserve">  </w:t>
      </w:r>
      <w:r w:rsidR="00C012D0" w:rsidRPr="00C012D0">
        <w:rPr>
          <w:lang w:val="en-GB"/>
        </w:rPr>
        <w:t xml:space="preserve">Over the past decades, systematic investment strategies have grown to be a force in the portfolio selection process of institutional investors (Harvey, 2021). With the </w:t>
      </w:r>
      <w:r w:rsidR="00023FAB">
        <w:rPr>
          <w:lang w:val="en-GB"/>
        </w:rPr>
        <w:t>rise</w:t>
      </w:r>
      <w:r w:rsidR="00766DBF" w:rsidRPr="00766DBF">
        <w:rPr>
          <w:lang w:val="en-GB"/>
        </w:rPr>
        <w:t xml:space="preserve"> </w:t>
      </w:r>
      <w:r w:rsidR="00C012D0" w:rsidRPr="00C012D0">
        <w:rPr>
          <w:lang w:val="en-GB"/>
        </w:rPr>
        <w:t xml:space="preserve">of technology, new quantitative strategies </w:t>
      </w:r>
      <w:r w:rsidR="00766DBF">
        <w:rPr>
          <w:lang w:val="en-GB"/>
        </w:rPr>
        <w:t xml:space="preserve">are </w:t>
      </w:r>
      <w:r w:rsidR="00C012D0" w:rsidRPr="00C012D0">
        <w:rPr>
          <w:lang w:val="en-GB"/>
        </w:rPr>
        <w:t xml:space="preserve">gaining popularity among investors due to their cost efficiencies, lack of </w:t>
      </w:r>
      <w:r w:rsidR="00A61EBB">
        <w:rPr>
          <w:lang w:val="en-GB"/>
        </w:rPr>
        <w:t>behavioural</w:t>
      </w:r>
      <w:r w:rsidR="00C012D0" w:rsidRPr="00C012D0">
        <w:rPr>
          <w:lang w:val="en-GB"/>
        </w:rPr>
        <w:t xml:space="preserve"> biases, rigorous risk management and data-driven decision-making processes (Richardson, 2022). The purpose of this </w:t>
      </w:r>
      <w:r w:rsidR="00C012D0">
        <w:rPr>
          <w:lang w:val="en-GB"/>
        </w:rPr>
        <w:t>paper</w:t>
      </w:r>
      <w:r w:rsidR="00C012D0" w:rsidRPr="00C012D0">
        <w:rPr>
          <w:lang w:val="en-GB"/>
        </w:rPr>
        <w:t xml:space="preserve"> is to present a systematic approach to investing, </w:t>
      </w:r>
      <w:r w:rsidR="00A61EBB">
        <w:rPr>
          <w:lang w:val="en-GB"/>
        </w:rPr>
        <w:t xml:space="preserve">with the objective of maximizing </w:t>
      </w:r>
      <w:r w:rsidR="00FD04E3">
        <w:rPr>
          <w:lang w:val="en-GB"/>
        </w:rPr>
        <w:t>the</w:t>
      </w:r>
      <w:r w:rsidR="00A61EBB">
        <w:rPr>
          <w:lang w:val="en-GB"/>
        </w:rPr>
        <w:t xml:space="preserve"> Sharpe ratio. </w:t>
      </w:r>
      <w:r w:rsidR="00C012D0" w:rsidRPr="00C012D0">
        <w:rPr>
          <w:lang w:val="en-GB"/>
        </w:rPr>
        <w:t xml:space="preserve">Previous research in the field of quantitative finance has lagged in providing an easily replicable investment approach to investors. </w:t>
      </w:r>
      <w:r w:rsidR="00731AC2">
        <w:rPr>
          <w:lang w:val="en-GB"/>
        </w:rPr>
        <w:t>Additionally</w:t>
      </w:r>
      <w:r w:rsidR="00C012D0" w:rsidRPr="00C012D0">
        <w:rPr>
          <w:lang w:val="en-GB"/>
        </w:rPr>
        <w:t xml:space="preserve">, research has not fully explored how to </w:t>
      </w:r>
      <w:r w:rsidR="00337AFE">
        <w:rPr>
          <w:lang w:val="en-GB"/>
        </w:rPr>
        <w:t>capitalize</w:t>
      </w:r>
      <w:r w:rsidR="00C012D0" w:rsidRPr="00C012D0">
        <w:rPr>
          <w:lang w:val="en-GB"/>
        </w:rPr>
        <w:t xml:space="preserve"> </w:t>
      </w:r>
      <w:r w:rsidR="000401B6">
        <w:rPr>
          <w:lang w:val="en-GB"/>
        </w:rPr>
        <w:t>on</w:t>
      </w:r>
      <w:r w:rsidR="00C012D0" w:rsidRPr="00C012D0">
        <w:rPr>
          <w:lang w:val="en-GB"/>
        </w:rPr>
        <w:t xml:space="preserve"> the momentum puzzle while </w:t>
      </w:r>
      <w:r w:rsidR="00A61EBB">
        <w:rPr>
          <w:lang w:val="en-GB"/>
        </w:rPr>
        <w:t>limiting</w:t>
      </w:r>
      <w:r w:rsidR="00C012D0" w:rsidRPr="00C012D0">
        <w:rPr>
          <w:lang w:val="en-GB"/>
        </w:rPr>
        <w:t xml:space="preserve"> downside risks.</w:t>
      </w:r>
      <w:r w:rsidR="00A61EBB">
        <w:rPr>
          <w:lang w:val="en-GB"/>
        </w:rPr>
        <w:t xml:space="preserve"> Our algorithmic approach leverages the benefits of </w:t>
      </w:r>
      <w:r w:rsidR="00337AFE">
        <w:rPr>
          <w:lang w:val="en-GB"/>
        </w:rPr>
        <w:t>algorithmic real-time</w:t>
      </w:r>
      <w:r w:rsidR="00A61EBB">
        <w:rPr>
          <w:lang w:val="en-GB"/>
        </w:rPr>
        <w:t xml:space="preserve"> execution and </w:t>
      </w:r>
      <w:r w:rsidR="00337AFE">
        <w:rPr>
          <w:lang w:val="en-GB"/>
        </w:rPr>
        <w:t>empirical</w:t>
      </w:r>
      <w:r w:rsidR="00A61EBB">
        <w:rPr>
          <w:lang w:val="en-GB"/>
        </w:rPr>
        <w:t xml:space="preserve"> insights from the return distribution function of public assets. </w:t>
      </w:r>
    </w:p>
    <w:p w14:paraId="75769BE9" w14:textId="77777777" w:rsidR="001C5E06" w:rsidRPr="0077708A" w:rsidRDefault="00A61EBB">
      <w:pPr>
        <w:pStyle w:val="berschrift1"/>
        <w:rPr>
          <w:b/>
        </w:rPr>
      </w:pPr>
      <w:r>
        <w:rPr>
          <w:b/>
        </w:rPr>
        <w:t>A Perfect World</w:t>
      </w:r>
    </w:p>
    <w:p w14:paraId="62481EF2" w14:textId="77777777" w:rsidR="001C5E06" w:rsidRPr="00E21949" w:rsidRDefault="00A61EBB">
      <w:pPr>
        <w:pStyle w:val="berschrift2"/>
      </w:pPr>
      <w:r>
        <w:t xml:space="preserve">Efficient Market Hypothesis </w:t>
      </w:r>
    </w:p>
    <w:p w14:paraId="03D819F0" w14:textId="621FADEA" w:rsidR="001C5E06" w:rsidRPr="00E21949" w:rsidRDefault="00A61EBB" w:rsidP="00290F4F">
      <w:pPr>
        <w:pStyle w:val="Text"/>
        <w:ind w:firstLine="144"/>
      </w:pPr>
      <w:r w:rsidRPr="00A61EBB">
        <w:t xml:space="preserve">According to the Efficient-Market Hypothesis (EMH), a market is efficient, when prices of securities always accurately represent all currently available information and consistent outperformance is impossible (Fama, 1969). These outlines are not </w:t>
      </w:r>
      <w:r w:rsidR="00092DDB" w:rsidRPr="00A61EBB">
        <w:t>favorable</w:t>
      </w:r>
      <w:r w:rsidRPr="00A61EBB">
        <w:t xml:space="preserve"> for </w:t>
      </w:r>
      <w:r w:rsidR="00092DDB">
        <w:t>our</w:t>
      </w:r>
      <w:r w:rsidRPr="00A61EBB">
        <w:t xml:space="preserve"> systematic approach and therefore, a passive investment strategy that is implemented with index funds (ETF</w:t>
      </w:r>
      <w:r w:rsidR="007A5BBE">
        <w:t>s</w:t>
      </w:r>
      <w:r w:rsidRPr="00A61EBB">
        <w:t>) should be the better option.</w:t>
      </w:r>
      <w:r w:rsidR="00092DDB">
        <w:t xml:space="preserve"> </w:t>
      </w:r>
      <w:r w:rsidRPr="00A61EBB">
        <w:t xml:space="preserve">Already the weak-form </w:t>
      </w:r>
      <w:r w:rsidR="00337AFE">
        <w:t>of the EMH</w:t>
      </w:r>
      <w:r w:rsidRPr="00A61EBB">
        <w:t xml:space="preserve"> implies that no profits can be made by any historical price-based strategies such as the one presented in chapter </w:t>
      </w:r>
      <w:r w:rsidR="00092DDB">
        <w:t>V</w:t>
      </w:r>
      <w:r w:rsidRPr="00A61EBB">
        <w:t>. However, if markets were not fully efficient, then such systematic strategies can be profitable after all.</w:t>
      </w:r>
    </w:p>
    <w:p w14:paraId="1467AE82" w14:textId="77777777" w:rsidR="001C5E06" w:rsidRPr="00E21949" w:rsidRDefault="00092DDB">
      <w:pPr>
        <w:pStyle w:val="berschrift2"/>
      </w:pPr>
      <w:r>
        <w:t>Modern Portfolio Theory</w:t>
      </w:r>
    </w:p>
    <w:p w14:paraId="575BF175" w14:textId="47158ADC" w:rsidR="00CE46C3" w:rsidRDefault="00092DDB" w:rsidP="00CE46C3">
      <w:pPr>
        <w:pStyle w:val="Text"/>
        <w:rPr>
          <w:lang w:val="en-GB" w:eastAsia="zh-TW"/>
        </w:rPr>
      </w:pPr>
      <w:r w:rsidRPr="00092DDB">
        <w:rPr>
          <w:lang w:val="en-GB" w:eastAsia="zh-TW"/>
        </w:rPr>
        <w:t xml:space="preserve">In the 1950s, Harry Markowitz introduced a mathematical framework </w:t>
      </w:r>
      <w:r w:rsidRPr="00E953EF">
        <w:rPr>
          <w:lang w:val="en-GB" w:eastAsia="zh-TW"/>
        </w:rPr>
        <w:t>for portfolio optimization</w:t>
      </w:r>
      <w:r w:rsidRPr="00092DDB">
        <w:rPr>
          <w:lang w:val="en-GB" w:eastAsia="zh-TW"/>
        </w:rPr>
        <w:t xml:space="preserve"> within a mean-variance</w:t>
      </w:r>
    </w:p>
    <w:p w14:paraId="29C70F0B" w14:textId="1117C136" w:rsidR="00CE46C3" w:rsidRDefault="00CE46C3" w:rsidP="00CE46C3">
      <w:pPr>
        <w:pStyle w:val="Text"/>
        <w:rPr>
          <w:lang w:val="en-GB" w:eastAsia="zh-TW"/>
        </w:rPr>
      </w:pPr>
      <w:r>
        <w:rPr>
          <w:lang w:val="en-GB" w:eastAsia="zh-TW"/>
        </w:rPr>
        <w:t xml:space="preserve"> </w:t>
      </w:r>
    </w:p>
    <w:p w14:paraId="47CB0B7D" w14:textId="0C3E24C7" w:rsidR="00092DDB" w:rsidRPr="00092DDB" w:rsidRDefault="00092DDB" w:rsidP="00CE46C3">
      <w:pPr>
        <w:pStyle w:val="Text"/>
        <w:ind w:firstLine="0"/>
        <w:rPr>
          <w:lang w:val="en-GB" w:eastAsia="zh-TW"/>
        </w:rPr>
      </w:pPr>
      <w:r w:rsidRPr="00092DDB">
        <w:rPr>
          <w:lang w:val="en-GB" w:eastAsia="zh-TW"/>
        </w:rPr>
        <w:t>setting based on the benefits of diversification, known as</w:t>
      </w:r>
      <w:r w:rsidR="00E953EF">
        <w:rPr>
          <w:lang w:val="en-GB" w:eastAsia="zh-TW"/>
        </w:rPr>
        <w:t xml:space="preserve"> </w:t>
      </w:r>
      <w:r w:rsidRPr="00092DDB">
        <w:rPr>
          <w:lang w:val="en-GB" w:eastAsia="zh-TW"/>
        </w:rPr>
        <w:t xml:space="preserve">modern portfolio theory (MPT). His pioneering analysis demonstrated that although the expected portfolio return is the weighted average of the expected returns of the individual assets, the variance of portfolio returns is typically lower than the weighted average of the asset variances because </w:t>
      </w:r>
      <w:r w:rsidR="00EA4DFB">
        <w:rPr>
          <w:lang w:val="en-GB" w:eastAsia="zh-TW"/>
        </w:rPr>
        <w:t>overall</w:t>
      </w:r>
      <w:r w:rsidRPr="00092DDB">
        <w:rPr>
          <w:lang w:val="en-GB" w:eastAsia="zh-TW"/>
        </w:rPr>
        <w:t xml:space="preserve"> risk depends on the correlation among individual assets (Markowitz, 1959). The less correlation there is between assets, the greater the diversification benefits.</w:t>
      </w:r>
    </w:p>
    <w:p w14:paraId="538486FC" w14:textId="77777777" w:rsidR="001C5E06" w:rsidRPr="00E21949" w:rsidRDefault="006D6216">
      <w:pPr>
        <w:pStyle w:val="berschrift2"/>
      </w:pPr>
      <w:r>
        <w:t>Capital Asset Pricing Model (CAPM)</w:t>
      </w:r>
    </w:p>
    <w:p w14:paraId="1E3B63D1" w14:textId="40D6E4F3" w:rsidR="006D6216" w:rsidRPr="006D6216" w:rsidRDefault="006D6216" w:rsidP="006D6216">
      <w:pPr>
        <w:pStyle w:val="Text"/>
        <w:rPr>
          <w:lang w:val="en-GB"/>
        </w:rPr>
      </w:pPr>
      <w:r w:rsidRPr="006D6216">
        <w:rPr>
          <w:lang w:val="en-GB"/>
        </w:rPr>
        <w:t xml:space="preserve">Sharpe (1964), Lintner (1965) and Mossin (1966) further </w:t>
      </w:r>
      <w:r w:rsidRPr="00FF2893">
        <w:rPr>
          <w:lang w:val="en-GB"/>
        </w:rPr>
        <w:t xml:space="preserve">developed the MPT by including two key assumptions for choosing mean-variance efficient portfolios. The first assumption states that all investors can borrow and lend at the same risk-free rate which is unaffected by the amount borrowed or lent. Therefore, unlike the MPT model, only the portfolio with the highest Sharpe ratio on the efficient frontier really matters to investors, which is typically represented by the market portfolio (Bodie et al., 2014). Investors optimize their portfolios in a mean-variance efficient way by dividing their capital between the risk-free rate and the market portfolio based on their risk </w:t>
      </w:r>
      <w:r w:rsidR="00CE46C3">
        <w:rPr>
          <w:lang w:val="en-GB"/>
        </w:rPr>
        <w:t>appetite</w:t>
      </w:r>
      <w:r w:rsidRPr="00FF2893">
        <w:rPr>
          <w:lang w:val="en-GB"/>
        </w:rPr>
        <w:t>, and consequently, find themselves on the capital market line. The second assumption is that investors have homogeneous expectations about returns and covariances/correlations for the same universe of tradeable assets over the same one-period planning horizon. In general, CAPM is based on the idea that the expected return of an asset is equal</w:t>
      </w:r>
      <w:r w:rsidRPr="006D6216">
        <w:rPr>
          <w:lang w:val="en-GB"/>
        </w:rPr>
        <w:t xml:space="preserve"> to the risk-free rate plus a risk premium, which depends on an asset’s volatility in relation to the overall market, known as the beta of an asset.</w:t>
      </w:r>
    </w:p>
    <w:p w14:paraId="6770FC79" w14:textId="77777777" w:rsidR="006D6216" w:rsidRPr="006D6216" w:rsidRDefault="002725FF" w:rsidP="006D6216">
      <w:pPr>
        <w:pStyle w:val="berschrift1"/>
        <w:rPr>
          <w:b/>
        </w:rPr>
      </w:pPr>
      <w:r w:rsidRPr="002725FF">
        <w:rPr>
          <w:b/>
        </w:rPr>
        <w:t>Contradictory empirical evidence</w:t>
      </w:r>
      <w:r>
        <w:rPr>
          <w:b/>
        </w:rPr>
        <w:t xml:space="preserve">  </w:t>
      </w:r>
    </w:p>
    <w:p w14:paraId="7492ACF5" w14:textId="77777777" w:rsidR="006D6216" w:rsidRPr="00E21949" w:rsidRDefault="003B2F07" w:rsidP="006D6216">
      <w:pPr>
        <w:pStyle w:val="berschrift2"/>
      </w:pPr>
      <w:r>
        <w:t>Equity Premium Puzzle</w:t>
      </w:r>
      <w:r w:rsidR="00697E9F">
        <w:t xml:space="preserve"> </w:t>
      </w:r>
    </w:p>
    <w:p w14:paraId="3A022EA3" w14:textId="77777777" w:rsidR="003B2F07" w:rsidRDefault="003B2F07" w:rsidP="009D06A4">
      <w:pPr>
        <w:pStyle w:val="Text"/>
        <w:rPr>
          <w:lang w:val="en-GB"/>
        </w:rPr>
      </w:pPr>
      <w:r w:rsidRPr="003B2F07">
        <w:rPr>
          <w:lang w:val="en-GB"/>
        </w:rPr>
        <w:t xml:space="preserve">Stocks have delivered remarkable returns over the past century. Most of these returns are not fully explainable by academic models. </w:t>
      </w:r>
      <w:r w:rsidR="00734A22">
        <w:rPr>
          <w:lang w:val="en-GB"/>
        </w:rPr>
        <w:t>There</w:t>
      </w:r>
      <w:r w:rsidRPr="003B2F07">
        <w:rPr>
          <w:lang w:val="en-GB"/>
        </w:rPr>
        <w:t xml:space="preserve"> is a significant </w:t>
      </w:r>
      <w:r w:rsidR="00734A22">
        <w:rPr>
          <w:lang w:val="en-GB"/>
        </w:rPr>
        <w:t>premium</w:t>
      </w:r>
      <w:r w:rsidRPr="003B2F07">
        <w:rPr>
          <w:lang w:val="en-GB"/>
        </w:rPr>
        <w:t xml:space="preserve"> of 6 to 7% between the returns of US treasury bills and US equities. </w:t>
      </w:r>
      <w:r w:rsidR="00E953EF">
        <w:rPr>
          <w:lang w:val="en-GB"/>
        </w:rPr>
        <w:t>F</w:t>
      </w:r>
      <w:r w:rsidRPr="003B2F07">
        <w:rPr>
          <w:lang w:val="en-GB"/>
        </w:rPr>
        <w:t xml:space="preserve">ixed-income securities </w:t>
      </w:r>
      <w:r w:rsidRPr="00E953EF">
        <w:rPr>
          <w:lang w:val="en-GB"/>
        </w:rPr>
        <w:t>offer yielding income</w:t>
      </w:r>
      <w:r w:rsidRPr="003B2F07">
        <w:rPr>
          <w:lang w:val="en-GB"/>
        </w:rPr>
        <w:t xml:space="preserve"> and move </w:t>
      </w:r>
      <w:r w:rsidR="00E953EF">
        <w:rPr>
          <w:lang w:val="en-GB"/>
        </w:rPr>
        <w:t xml:space="preserve">historically </w:t>
      </w:r>
      <w:r w:rsidRPr="003B2F07">
        <w:rPr>
          <w:lang w:val="en-GB"/>
        </w:rPr>
        <w:t xml:space="preserve">in a relatively negative manner to the equity market, thus also acting </w:t>
      </w:r>
      <w:r w:rsidRPr="00E953EF">
        <w:rPr>
          <w:lang w:val="en-GB"/>
        </w:rPr>
        <w:t>as a hedging factor</w:t>
      </w:r>
      <w:r w:rsidRPr="003B2F07">
        <w:rPr>
          <w:lang w:val="en-GB"/>
        </w:rPr>
        <w:t xml:space="preserve"> when uncertainty in the equity market increases. Such diversification effects, discussed </w:t>
      </w:r>
      <w:r w:rsidR="00E953EF">
        <w:rPr>
          <w:lang w:val="en-GB"/>
        </w:rPr>
        <w:t>before</w:t>
      </w:r>
      <w:r w:rsidRPr="003B2F07">
        <w:rPr>
          <w:lang w:val="en-GB"/>
        </w:rPr>
        <w:t xml:space="preserve">, allow a higher risk-reward, since the portfolio volatility decreases, depending on the correlation of the underlying assets. </w:t>
      </w:r>
    </w:p>
    <w:p w14:paraId="00C3F1F8" w14:textId="77777777" w:rsidR="003B2F07" w:rsidRPr="00E21949" w:rsidRDefault="003B2F07" w:rsidP="003B2F07">
      <w:pPr>
        <w:pStyle w:val="berschrift2"/>
      </w:pPr>
      <w:r>
        <w:t>Momentum Puzzle</w:t>
      </w:r>
    </w:p>
    <w:p w14:paraId="782666E5" w14:textId="77777777" w:rsidR="003B2F07" w:rsidRDefault="003B2F07" w:rsidP="003B2F07">
      <w:pPr>
        <w:pStyle w:val="Text"/>
        <w:rPr>
          <w:lang w:val="en-GB"/>
        </w:rPr>
      </w:pPr>
      <w:r w:rsidRPr="006D6216">
        <w:rPr>
          <w:lang w:val="en-GB"/>
        </w:rPr>
        <w:t xml:space="preserve">Momentum refers to the tendency of asset prices to continue moving in the same direction. Barroso and Santa-Clara (2012) conclude that momentum provides the </w:t>
      </w:r>
      <w:r w:rsidRPr="00E953EF">
        <w:rPr>
          <w:lang w:val="en-GB"/>
        </w:rPr>
        <w:t>best risk-reward compared</w:t>
      </w:r>
      <w:r w:rsidRPr="006D6216">
        <w:rPr>
          <w:lang w:val="en-GB"/>
        </w:rPr>
        <w:t xml:space="preserve"> to all other common factors</w:t>
      </w:r>
      <w:r w:rsidR="00E953EF">
        <w:rPr>
          <w:lang w:val="en-GB"/>
        </w:rPr>
        <w:t>.</w:t>
      </w:r>
      <w:r w:rsidRPr="006D6216">
        <w:rPr>
          <w:lang w:val="en-GB"/>
        </w:rPr>
        <w:t xml:space="preserve"> </w:t>
      </w:r>
      <w:r w:rsidR="00E953EF">
        <w:rPr>
          <w:lang w:val="en-GB"/>
        </w:rPr>
        <w:t>M</w:t>
      </w:r>
      <w:r w:rsidRPr="006D6216">
        <w:rPr>
          <w:lang w:val="en-GB"/>
        </w:rPr>
        <w:t>omentum strategies have attracted much research in the past decade</w:t>
      </w:r>
      <w:r w:rsidR="00E953EF">
        <w:rPr>
          <w:lang w:val="en-GB"/>
        </w:rPr>
        <w:t xml:space="preserve"> and t</w:t>
      </w:r>
      <w:r w:rsidRPr="006D6216">
        <w:rPr>
          <w:lang w:val="en-GB"/>
        </w:rPr>
        <w:t>here are several studies that contradict the EMH offer</w:t>
      </w:r>
      <w:r w:rsidR="00D66FC5">
        <w:rPr>
          <w:lang w:val="en-GB"/>
        </w:rPr>
        <w:t>ing</w:t>
      </w:r>
      <w:r w:rsidRPr="006D6216">
        <w:rPr>
          <w:lang w:val="en-GB"/>
        </w:rPr>
        <w:t xml:space="preserve"> evidence that historical asset returns can predict the cross section of future </w:t>
      </w:r>
      <w:r w:rsidRPr="006D6216">
        <w:rPr>
          <w:lang w:val="en-GB"/>
        </w:rPr>
        <w:lastRenderedPageBreak/>
        <w:t>asset returns to a certain extent (e.g., De Bondt &amp; Thaler, 1987; Jegadeesh &amp; Titman, 1993; Fama &amp; French, 2012; Israel &amp; Moskowitz, 2013). Research broadly divides the explanations as either risk based, or non-risk based. According to Ang</w:t>
      </w:r>
      <w:r w:rsidR="00734A22">
        <w:rPr>
          <w:lang w:val="en-GB"/>
        </w:rPr>
        <w:t xml:space="preserve"> </w:t>
      </w:r>
      <w:r w:rsidRPr="006D6216">
        <w:rPr>
          <w:lang w:val="en-GB"/>
        </w:rPr>
        <w:t>(2001), it is downside risk that an investor gets rewarded for when applying a momentum strategy. In the category of non-risk-based explanations, there are several types of behavioural explanations that use either under-/overreaction effects or herd behaviour as explanations (Daniel et al., 1999). However, in times of market turmoil, momentum remains subject to large losses leading to the worst crashes</w:t>
      </w:r>
      <w:r w:rsidR="00D66FC5">
        <w:rPr>
          <w:lang w:val="en-GB"/>
        </w:rPr>
        <w:t xml:space="preserve">. </w:t>
      </w:r>
      <w:r w:rsidRPr="006D6216">
        <w:rPr>
          <w:lang w:val="en-GB"/>
        </w:rPr>
        <w:t>Therefore, risk management is particularly important in momentum strategies</w:t>
      </w:r>
      <w:r w:rsidR="00EA4DFB">
        <w:rPr>
          <w:lang w:val="en-GB"/>
        </w:rPr>
        <w:t xml:space="preserve"> (Kent, 2011)</w:t>
      </w:r>
      <w:r w:rsidRPr="006D6216">
        <w:rPr>
          <w:lang w:val="en-GB"/>
        </w:rPr>
        <w:t>.</w:t>
      </w:r>
    </w:p>
    <w:p w14:paraId="74465B0C" w14:textId="77777777" w:rsidR="00B50BF0" w:rsidRPr="00E21949" w:rsidRDefault="00B50BF0" w:rsidP="00B50BF0">
      <w:pPr>
        <w:pStyle w:val="berschrift2"/>
      </w:pPr>
      <w:r>
        <w:t>Behavioral Finance</w:t>
      </w:r>
    </w:p>
    <w:p w14:paraId="4A1FCA7A" w14:textId="15799558" w:rsidR="00B50BF0" w:rsidRDefault="00B50BF0" w:rsidP="006F2B5F">
      <w:pPr>
        <w:pStyle w:val="Text"/>
        <w:rPr>
          <w:lang w:val="en-GB"/>
        </w:rPr>
      </w:pPr>
      <w:r w:rsidRPr="00B50BF0">
        <w:rPr>
          <w:lang w:val="en-GB"/>
        </w:rPr>
        <w:t xml:space="preserve">Financial decisions are influenced by </w:t>
      </w:r>
      <w:r w:rsidRPr="00E953EF">
        <w:rPr>
          <w:lang w:val="en-GB"/>
        </w:rPr>
        <w:t>heuristics and psychological biases</w:t>
      </w:r>
      <w:r w:rsidR="00EA4DFB">
        <w:rPr>
          <w:lang w:val="en-GB"/>
        </w:rPr>
        <w:t xml:space="preserve">. </w:t>
      </w:r>
      <w:r w:rsidRPr="00B50BF0">
        <w:rPr>
          <w:lang w:val="en-GB"/>
        </w:rPr>
        <w:t xml:space="preserve">Today, there are a variety of cognitive biases and heuristics revealed by researchers, including loss aversion, herd behaviour, and </w:t>
      </w:r>
      <w:r w:rsidR="00E953EF">
        <w:rPr>
          <w:lang w:val="en-GB"/>
        </w:rPr>
        <w:t>survivorship</w:t>
      </w:r>
      <w:r w:rsidRPr="00B50BF0">
        <w:rPr>
          <w:lang w:val="en-GB"/>
        </w:rPr>
        <w:t xml:space="preserve"> bias, to name just a few</w:t>
      </w:r>
      <w:r w:rsidR="00EA4DFB">
        <w:rPr>
          <w:lang w:val="en-GB"/>
        </w:rPr>
        <w:t xml:space="preserve"> (</w:t>
      </w:r>
      <w:r w:rsidR="00EA4DFB" w:rsidRPr="00E953EF">
        <w:rPr>
          <w:lang w:val="en-GB"/>
        </w:rPr>
        <w:t>Ka</w:t>
      </w:r>
      <w:r w:rsidR="00EA4DFB" w:rsidRPr="00B50BF0">
        <w:rPr>
          <w:lang w:val="en-GB"/>
        </w:rPr>
        <w:t>hneman et al., 1982)</w:t>
      </w:r>
      <w:r w:rsidRPr="00B50BF0">
        <w:rPr>
          <w:lang w:val="en-GB"/>
        </w:rPr>
        <w:t>. These findings argue that the EMH cannot be valid since it ignores irrational and emotional behaviour (Asness, 2014). Due to psychological hurdles and limited information-processing capabilities, market participants have only bounded rationality (Thaler, 2008). One prominent example of such a heuristic is the disposition effect</w:t>
      </w:r>
      <w:r w:rsidRPr="00B50BF0">
        <w:rPr>
          <w:i/>
          <w:iCs/>
          <w:lang w:val="en-GB"/>
        </w:rPr>
        <w:t xml:space="preserve">, </w:t>
      </w:r>
      <w:r w:rsidRPr="00B50BF0">
        <w:rPr>
          <w:lang w:val="en-GB"/>
        </w:rPr>
        <w:t xml:space="preserve">which states that people prefer to maintain the status quo and are reluctant to part with assets that have lost value (Burton &amp; Shah, 2013). </w:t>
      </w:r>
      <w:r w:rsidR="008B4747" w:rsidRPr="008B4747">
        <w:rPr>
          <w:lang w:val="en-GB"/>
        </w:rPr>
        <w:t xml:space="preserve">Despite the growing evidence </w:t>
      </w:r>
      <w:r w:rsidR="00544E72">
        <w:rPr>
          <w:lang w:val="en-GB"/>
        </w:rPr>
        <w:t>for</w:t>
      </w:r>
      <w:r w:rsidR="00FC00B1">
        <w:rPr>
          <w:lang w:val="en-GB"/>
        </w:rPr>
        <w:t xml:space="preserve"> </w:t>
      </w:r>
      <w:r w:rsidR="008B4747" w:rsidRPr="008B4747">
        <w:rPr>
          <w:lang w:val="en-GB"/>
        </w:rPr>
        <w:t xml:space="preserve">behavioural finance, </w:t>
      </w:r>
      <w:r w:rsidR="00F87565">
        <w:rPr>
          <w:lang w:val="en-GB"/>
        </w:rPr>
        <w:t xml:space="preserve">traditional </w:t>
      </w:r>
      <w:r w:rsidR="008B4747" w:rsidRPr="008B4747">
        <w:rPr>
          <w:lang w:val="en-GB"/>
        </w:rPr>
        <w:t xml:space="preserve">academia still largely emphasizes rational models, </w:t>
      </w:r>
      <w:r w:rsidR="00525574">
        <w:t>ignoring</w:t>
      </w:r>
      <w:r w:rsidR="009B5BB2" w:rsidRPr="009B5BB2">
        <w:t xml:space="preserve"> cognitive </w:t>
      </w:r>
      <w:r w:rsidR="00525574" w:rsidRPr="00525574">
        <w:t xml:space="preserve">and emotional </w:t>
      </w:r>
      <w:r w:rsidR="00F87565">
        <w:t>biases</w:t>
      </w:r>
      <w:r w:rsidR="00525574" w:rsidRPr="00525574">
        <w:t xml:space="preserve"> </w:t>
      </w:r>
      <w:r w:rsidR="009B5BB2" w:rsidRPr="009B5BB2">
        <w:t>in decision-making.</w:t>
      </w:r>
    </w:p>
    <w:p w14:paraId="40A7928C" w14:textId="77777777" w:rsidR="00B50BF0" w:rsidRPr="00B50BF0" w:rsidRDefault="00D66FC5" w:rsidP="00B50BF0">
      <w:pPr>
        <w:pStyle w:val="berschrift1"/>
        <w:rPr>
          <w:b/>
        </w:rPr>
      </w:pPr>
      <w:r>
        <w:rPr>
          <w:b/>
        </w:rPr>
        <w:t>The Pursuit of</w:t>
      </w:r>
      <w:r w:rsidR="006F2B5F">
        <w:rPr>
          <w:b/>
        </w:rPr>
        <w:t xml:space="preserve"> </w:t>
      </w:r>
      <w:r>
        <w:rPr>
          <w:b/>
        </w:rPr>
        <w:t>A</w:t>
      </w:r>
      <w:r w:rsidR="006F2B5F">
        <w:rPr>
          <w:b/>
        </w:rPr>
        <w:t>lpha</w:t>
      </w:r>
    </w:p>
    <w:p w14:paraId="77ADD1BC" w14:textId="77777777" w:rsidR="00B50BF0" w:rsidRPr="00E21949" w:rsidRDefault="00B50BF0" w:rsidP="00B50BF0">
      <w:pPr>
        <w:pStyle w:val="berschrift2"/>
      </w:pPr>
      <w:r>
        <w:t>Evidence against the Efficient-Market Hypothesis</w:t>
      </w:r>
    </w:p>
    <w:p w14:paraId="62540112" w14:textId="450FF1D7" w:rsidR="00B50BF0" w:rsidRDefault="00E953EF" w:rsidP="00036808">
      <w:pPr>
        <w:pStyle w:val="Text"/>
        <w:ind w:firstLine="144"/>
        <w:rPr>
          <w:lang w:val="en-GB"/>
        </w:rPr>
      </w:pPr>
      <w:r>
        <w:rPr>
          <w:lang w:val="en-GB"/>
        </w:rPr>
        <w:t>As mentioned in the beginning, t</w:t>
      </w:r>
      <w:r w:rsidR="00B50BF0" w:rsidRPr="00B50BF0">
        <w:rPr>
          <w:lang w:val="en-GB"/>
        </w:rPr>
        <w:t>he EMH</w:t>
      </w:r>
      <w:r>
        <w:rPr>
          <w:lang w:val="en-GB"/>
        </w:rPr>
        <w:t xml:space="preserve"> is</w:t>
      </w:r>
      <w:r w:rsidR="00B50BF0" w:rsidRPr="00B50BF0">
        <w:rPr>
          <w:lang w:val="en-GB"/>
        </w:rPr>
        <w:t xml:space="preserve"> the prevailing theory about financial markets</w:t>
      </w:r>
      <w:r>
        <w:rPr>
          <w:lang w:val="en-GB"/>
        </w:rPr>
        <w:t xml:space="preserve"> and states that </w:t>
      </w:r>
      <w:r w:rsidR="00B50BF0" w:rsidRPr="00B50BF0">
        <w:rPr>
          <w:lang w:val="en-GB"/>
        </w:rPr>
        <w:t xml:space="preserve">prices of securities follow a </w:t>
      </w:r>
      <w:r>
        <w:rPr>
          <w:lang w:val="en-GB"/>
        </w:rPr>
        <w:t>“</w:t>
      </w:r>
      <w:r w:rsidR="00B50BF0" w:rsidRPr="00B50BF0">
        <w:rPr>
          <w:lang w:val="en-GB"/>
        </w:rPr>
        <w:t xml:space="preserve">random </w:t>
      </w:r>
      <w:r>
        <w:rPr>
          <w:lang w:val="en-GB"/>
        </w:rPr>
        <w:t>walk”</w:t>
      </w:r>
      <w:r w:rsidR="00B50BF0" w:rsidRPr="00B50BF0">
        <w:rPr>
          <w:lang w:val="en-GB"/>
        </w:rPr>
        <w:t>, implying that asset returns are normally distributed and successful market timing exceedingly difficult. Although many finance theories and models are based on this assumption, empirical research shows something different (Chung et al., 2006). Analysing returns of the S&amp;P500 index on its distribution</w:t>
      </w:r>
      <w:r w:rsidR="00EA4DFB">
        <w:rPr>
          <w:lang w:val="en-GB"/>
        </w:rPr>
        <w:t xml:space="preserve"> function</w:t>
      </w:r>
      <w:r w:rsidR="00B50BF0" w:rsidRPr="00B50BF0">
        <w:rPr>
          <w:lang w:val="en-GB"/>
        </w:rPr>
        <w:t xml:space="preserve"> shows, asset returns </w:t>
      </w:r>
      <w:r w:rsidR="00B50BF0" w:rsidRPr="00E953EF">
        <w:rPr>
          <w:lang w:val="en-GB"/>
        </w:rPr>
        <w:t>exhibit a negative skewness with a</w:t>
      </w:r>
      <w:r w:rsidR="00B50BF0" w:rsidRPr="00B50BF0">
        <w:rPr>
          <w:lang w:val="en-GB"/>
        </w:rPr>
        <w:t xml:space="preserve"> leptokurtic distribution. Skewness measures the level of asymmetry within the data set. A left-skewed distribution is called negatively skewed and indicates frequent small gains, but also a few large losses, so</w:t>
      </w:r>
      <w:r w:rsidR="00B50BF0" w:rsidRPr="00E953EF">
        <w:rPr>
          <w:lang w:val="en-GB"/>
        </w:rPr>
        <w:t xml:space="preserve">-called fat-tails. </w:t>
      </w:r>
      <w:r>
        <w:rPr>
          <w:lang w:val="en-GB"/>
        </w:rPr>
        <w:t xml:space="preserve">Let’s illustrate this </w:t>
      </w:r>
      <w:r w:rsidR="00D76AA1">
        <w:rPr>
          <w:lang w:val="en-GB"/>
        </w:rPr>
        <w:t>behaviour</w:t>
      </w:r>
      <w:r>
        <w:rPr>
          <w:lang w:val="en-GB"/>
        </w:rPr>
        <w:t xml:space="preserve"> </w:t>
      </w:r>
      <w:r w:rsidR="00D76AA1">
        <w:rPr>
          <w:lang w:val="en-GB"/>
        </w:rPr>
        <w:t>with a</w:t>
      </w:r>
      <w:r>
        <w:rPr>
          <w:lang w:val="en-GB"/>
        </w:rPr>
        <w:t xml:space="preserve"> </w:t>
      </w:r>
      <w:r w:rsidR="00B50BF0" w:rsidRPr="00B50BF0">
        <w:rPr>
          <w:lang w:val="en-GB"/>
        </w:rPr>
        <w:t xml:space="preserve">metaphor: “markets take the stairs up and the elevator down”. </w:t>
      </w:r>
      <w:r w:rsidR="00D76AA1">
        <w:rPr>
          <w:lang w:val="en-GB"/>
        </w:rPr>
        <w:t>Additionally</w:t>
      </w:r>
      <w:r w:rsidR="00B50BF0" w:rsidRPr="00B50BF0">
        <w:rPr>
          <w:lang w:val="en-GB"/>
        </w:rPr>
        <w:t>, even though the EMH assumes that all investors are rational, in reality investors are subject to their own psychological biases, such as the status quo bias, in which people fall into lazy decision making and prefer not to change the situation even if market conditions changed and adjustment</w:t>
      </w:r>
      <w:r w:rsidR="00D76AA1">
        <w:rPr>
          <w:lang w:val="en-GB"/>
        </w:rPr>
        <w:t>s</w:t>
      </w:r>
      <w:r w:rsidR="00B50BF0" w:rsidRPr="00B50BF0">
        <w:rPr>
          <w:lang w:val="en-GB"/>
        </w:rPr>
        <w:t xml:space="preserve"> would be appropriate</w:t>
      </w:r>
      <w:r w:rsidR="00D66FC5">
        <w:rPr>
          <w:lang w:val="en-GB"/>
        </w:rPr>
        <w:t xml:space="preserve">. </w:t>
      </w:r>
      <w:r w:rsidR="00B50BF0" w:rsidRPr="00B50BF0">
        <w:rPr>
          <w:lang w:val="en-GB"/>
        </w:rPr>
        <w:t>More recent hypotheses apply principles of behavioural economics to the financial markets by taking competition, adaptation, and selection into account</w:t>
      </w:r>
      <w:r w:rsidR="00D76AA1">
        <w:rPr>
          <w:lang w:val="en-GB"/>
        </w:rPr>
        <w:t xml:space="preserve">. </w:t>
      </w:r>
      <w:r w:rsidR="00D76AA1" w:rsidRPr="00B50BF0">
        <w:rPr>
          <w:lang w:val="en-GB"/>
        </w:rPr>
        <w:t>The so-</w:t>
      </w:r>
      <w:r w:rsidR="00D76AA1" w:rsidRPr="00D76AA1">
        <w:rPr>
          <w:lang w:val="en-GB"/>
        </w:rPr>
        <w:t>called Adaptive Market Hypothesis</w:t>
      </w:r>
      <w:r w:rsidR="00D76AA1" w:rsidRPr="00B50BF0">
        <w:rPr>
          <w:lang w:val="en-GB"/>
        </w:rPr>
        <w:t xml:space="preserve"> (AMH)</w:t>
      </w:r>
      <w:r w:rsidR="00B50BF0" w:rsidRPr="00B50BF0">
        <w:rPr>
          <w:lang w:val="en-GB"/>
        </w:rPr>
        <w:t xml:space="preserve"> argues that investors can achieve an optimal dynamic allocation, by adapting to their own psychological biases. One way to </w:t>
      </w:r>
      <w:r w:rsidR="00B50BF0" w:rsidRPr="00D76AA1">
        <w:rPr>
          <w:lang w:val="en-GB"/>
        </w:rPr>
        <w:t>avoid adverse behaviour is by using</w:t>
      </w:r>
      <w:r w:rsidR="00B50BF0" w:rsidRPr="00B50BF0">
        <w:rPr>
          <w:lang w:val="en-GB"/>
        </w:rPr>
        <w:t xml:space="preserve"> a systematic trading system that executes trades based on pre-defined rules, allowing decisions to be done in a </w:t>
      </w:r>
      <w:r w:rsidR="00B50BF0">
        <w:rPr>
          <w:lang w:val="en-GB"/>
        </w:rPr>
        <w:t>methodological</w:t>
      </w:r>
      <w:r w:rsidR="00B50BF0" w:rsidRPr="00B50BF0">
        <w:rPr>
          <w:lang w:val="en-GB"/>
        </w:rPr>
        <w:t xml:space="preserve"> manner and portfolios to be continuously adjusted </w:t>
      </w:r>
      <w:r w:rsidR="00B50BF0">
        <w:rPr>
          <w:lang w:val="en-GB"/>
        </w:rPr>
        <w:t>with no human effort.</w:t>
      </w:r>
    </w:p>
    <w:p w14:paraId="4BB9FF68" w14:textId="77777777" w:rsidR="006F2B5F" w:rsidRPr="006F2B5F" w:rsidRDefault="006F2B5F" w:rsidP="006F2B5F">
      <w:pPr>
        <w:pStyle w:val="berschrift2"/>
      </w:pPr>
      <w:r>
        <w:t>Purpose of Active Investing</w:t>
      </w:r>
    </w:p>
    <w:p w14:paraId="398819E4" w14:textId="069F70E9" w:rsidR="006F2B5F" w:rsidRDefault="006F2B5F" w:rsidP="006F2B5F">
      <w:pPr>
        <w:pStyle w:val="Text"/>
        <w:rPr>
          <w:lang w:val="en-GB"/>
        </w:rPr>
      </w:pPr>
      <w:r w:rsidRPr="006F2B5F">
        <w:rPr>
          <w:lang w:val="en-GB"/>
        </w:rPr>
        <w:t>Active investing is characterized by the objective to time the market in the short run</w:t>
      </w:r>
      <w:r w:rsidR="00EA4DFB">
        <w:rPr>
          <w:lang w:val="en-GB"/>
        </w:rPr>
        <w:t xml:space="preserve"> and </w:t>
      </w:r>
      <w:r w:rsidR="00D76AA1" w:rsidRPr="006F2B5F">
        <w:rPr>
          <w:lang w:val="en-GB"/>
        </w:rPr>
        <w:t>to</w:t>
      </w:r>
      <w:r w:rsidRPr="006F2B5F">
        <w:rPr>
          <w:lang w:val="en-GB"/>
        </w:rPr>
        <w:t xml:space="preserve"> produce an excess return above a benchmark, which is often defined by a market index</w:t>
      </w:r>
      <w:r w:rsidR="00D76AA1">
        <w:rPr>
          <w:lang w:val="en-GB"/>
        </w:rPr>
        <w:t xml:space="preserve">. </w:t>
      </w:r>
      <w:r w:rsidRPr="006F2B5F">
        <w:rPr>
          <w:lang w:val="en-GB"/>
        </w:rPr>
        <w:t>If an investor would not care about market timing and excess return, he would follow a buy-and-hold strategy with a passive index fund of his desired asset class</w:t>
      </w:r>
      <w:r w:rsidR="00D76AA1">
        <w:rPr>
          <w:lang w:val="en-GB"/>
        </w:rPr>
        <w:t xml:space="preserve">. </w:t>
      </w:r>
      <w:r w:rsidRPr="006F2B5F">
        <w:rPr>
          <w:lang w:val="en-GB"/>
        </w:rPr>
        <w:t xml:space="preserve">In contrast, an investor who seeks to achieve </w:t>
      </w:r>
      <w:r w:rsidRPr="00D76AA1">
        <w:rPr>
          <w:lang w:val="en-GB"/>
        </w:rPr>
        <w:t>alpha, or at least a higher risk</w:t>
      </w:r>
      <w:r w:rsidR="000F6DE4">
        <w:rPr>
          <w:lang w:val="en-GB"/>
        </w:rPr>
        <w:t>/</w:t>
      </w:r>
      <w:r w:rsidRPr="00D76AA1">
        <w:rPr>
          <w:lang w:val="en-GB"/>
        </w:rPr>
        <w:t>reward, must inevitably go beyond beta, and</w:t>
      </w:r>
      <w:r w:rsidRPr="006F2B5F">
        <w:rPr>
          <w:lang w:val="en-GB"/>
        </w:rPr>
        <w:t xml:space="preserve"> therefore beyond a passive</w:t>
      </w:r>
      <w:r w:rsidR="00D76AA1">
        <w:rPr>
          <w:lang w:val="en-GB"/>
        </w:rPr>
        <w:t xml:space="preserve"> </w:t>
      </w:r>
      <w:r w:rsidRPr="006F2B5F">
        <w:rPr>
          <w:lang w:val="en-GB"/>
        </w:rPr>
        <w:t xml:space="preserve">investment. </w:t>
      </w:r>
      <w:r w:rsidR="00D66FC5">
        <w:rPr>
          <w:lang w:val="en-GB"/>
        </w:rPr>
        <w:t>Also</w:t>
      </w:r>
      <w:r w:rsidRPr="006F2B5F">
        <w:rPr>
          <w:lang w:val="en-GB"/>
        </w:rPr>
        <w:t>, if no one would trade actively, market prices would move away from their fundamentals, which would lead to inefficient allocation of resources and thus a decline in social welfare.</w:t>
      </w:r>
      <w:r w:rsidR="00D66FC5">
        <w:rPr>
          <w:lang w:val="en-GB"/>
        </w:rPr>
        <w:t xml:space="preserve"> A</w:t>
      </w:r>
      <w:r w:rsidRPr="006F2B5F">
        <w:rPr>
          <w:lang w:val="en-GB"/>
        </w:rPr>
        <w:t xml:space="preserve">ctive </w:t>
      </w:r>
      <w:r w:rsidR="00D66FC5">
        <w:rPr>
          <w:lang w:val="en-GB"/>
        </w:rPr>
        <w:t>trading keeps</w:t>
      </w:r>
      <w:r w:rsidRPr="006F2B5F">
        <w:rPr>
          <w:lang w:val="en-GB"/>
        </w:rPr>
        <w:t xml:space="preserve"> assets in their equilibrium, with deviations that, </w:t>
      </w:r>
      <w:r w:rsidR="00EA4DFB">
        <w:rPr>
          <w:lang w:val="en-GB"/>
        </w:rPr>
        <w:t>according</w:t>
      </w:r>
      <w:r w:rsidRPr="006F2B5F">
        <w:rPr>
          <w:lang w:val="en-GB"/>
        </w:rPr>
        <w:t xml:space="preserve"> to the EMH, only occur </w:t>
      </w:r>
      <w:r w:rsidR="00E06321">
        <w:rPr>
          <w:lang w:val="en-GB"/>
        </w:rPr>
        <w:t>“</w:t>
      </w:r>
      <w:r w:rsidRPr="006F2B5F">
        <w:rPr>
          <w:lang w:val="en-GB"/>
        </w:rPr>
        <w:t>randomly</w:t>
      </w:r>
      <w:r w:rsidR="00E06321">
        <w:rPr>
          <w:lang w:val="en-GB"/>
        </w:rPr>
        <w:t>”</w:t>
      </w:r>
      <w:r w:rsidRPr="006F2B5F">
        <w:rPr>
          <w:lang w:val="en-GB"/>
        </w:rPr>
        <w:t xml:space="preserve">. According to a study by Standard &amp; Poor's (SPIVA Report, 2021), which examined more than 25,000 active funds over a 10-year period, </w:t>
      </w:r>
      <w:r w:rsidR="00EB629D">
        <w:rPr>
          <w:lang w:val="en-GB"/>
        </w:rPr>
        <w:t>less than 5</w:t>
      </w:r>
      <w:r w:rsidRPr="006F2B5F">
        <w:rPr>
          <w:lang w:val="en-GB"/>
        </w:rPr>
        <w:t>% of the fund managers were able to achieve their goal of beating the</w:t>
      </w:r>
      <w:r w:rsidR="00A538BA">
        <w:rPr>
          <w:lang w:val="en-GB"/>
        </w:rPr>
        <w:t>ir</w:t>
      </w:r>
      <w:r w:rsidRPr="006F2B5F">
        <w:rPr>
          <w:lang w:val="en-GB"/>
        </w:rPr>
        <w:t xml:space="preserve"> benchmark after costs</w:t>
      </w:r>
      <w:r w:rsidR="00D76AA1">
        <w:rPr>
          <w:lang w:val="en-GB"/>
        </w:rPr>
        <w:t xml:space="preserve">. </w:t>
      </w:r>
      <w:r w:rsidRPr="006F2B5F">
        <w:rPr>
          <w:lang w:val="en-GB"/>
        </w:rPr>
        <w:t xml:space="preserve">This circumstance does not make it easier to develop a systematic strategy which </w:t>
      </w:r>
      <w:r w:rsidR="00D76AA1">
        <w:rPr>
          <w:lang w:val="en-GB"/>
        </w:rPr>
        <w:t xml:space="preserve">aims to </w:t>
      </w:r>
      <w:r w:rsidRPr="006F2B5F">
        <w:rPr>
          <w:lang w:val="en-GB"/>
        </w:rPr>
        <w:t xml:space="preserve">outperform the market consistently. However, even if most fund managers fail to beat their benchmark, the </w:t>
      </w:r>
      <w:r w:rsidR="00D76AA1">
        <w:rPr>
          <w:lang w:val="en-GB"/>
        </w:rPr>
        <w:t>SPY3</w:t>
      </w:r>
      <w:r w:rsidRPr="006F2B5F">
        <w:rPr>
          <w:lang w:val="en-GB"/>
        </w:rPr>
        <w:t xml:space="preserve"> model presented in this paper provide</w:t>
      </w:r>
      <w:r w:rsidR="00D76AA1">
        <w:rPr>
          <w:lang w:val="en-GB"/>
        </w:rPr>
        <w:t>s</w:t>
      </w:r>
      <w:r w:rsidRPr="006F2B5F">
        <w:rPr>
          <w:lang w:val="en-GB"/>
        </w:rPr>
        <w:t xml:space="preserve"> an effective </w:t>
      </w:r>
      <w:r w:rsidR="00EB629D">
        <w:rPr>
          <w:lang w:val="en-GB"/>
        </w:rPr>
        <w:t xml:space="preserve">hands-on </w:t>
      </w:r>
      <w:r w:rsidRPr="006F2B5F">
        <w:rPr>
          <w:lang w:val="en-GB"/>
        </w:rPr>
        <w:t xml:space="preserve">way to leverage the </w:t>
      </w:r>
      <w:r w:rsidR="00D76AA1">
        <w:rPr>
          <w:lang w:val="en-GB"/>
        </w:rPr>
        <w:t xml:space="preserve">empirical </w:t>
      </w:r>
      <w:r w:rsidRPr="006F2B5F">
        <w:rPr>
          <w:lang w:val="en-GB"/>
        </w:rPr>
        <w:t xml:space="preserve">insights of a negatively skewed return distribution, the assessment of fat-tail risks, and the persistence of the momentum puzzle </w:t>
      </w:r>
    </w:p>
    <w:p w14:paraId="355602E4" w14:textId="77777777" w:rsidR="006F2B5F" w:rsidRPr="006F2B5F" w:rsidRDefault="006F2B5F" w:rsidP="006F2B5F">
      <w:pPr>
        <w:pStyle w:val="berschrift2"/>
      </w:pPr>
      <w:bookmarkStart w:id="1" w:name="_Toc122008198"/>
      <w:r w:rsidRPr="006F2B5F">
        <w:t>Backtesting</w:t>
      </w:r>
      <w:bookmarkEnd w:id="1"/>
    </w:p>
    <w:p w14:paraId="3FB9AE1C" w14:textId="5CBF8FC9" w:rsidR="00EA4DFB" w:rsidRDefault="006F2B5F" w:rsidP="00EA4DFB">
      <w:pPr>
        <w:pStyle w:val="Text"/>
        <w:ind w:firstLine="144"/>
        <w:rPr>
          <w:lang w:val="en-GB"/>
        </w:rPr>
      </w:pPr>
      <w:r w:rsidRPr="006F2B5F">
        <w:rPr>
          <w:lang w:val="en-GB"/>
        </w:rPr>
        <w:t>An important part of developing a systematic trading strategy, involves backtesting, which is the process of studying the behaviour of a</w:t>
      </w:r>
      <w:r w:rsidR="00D66FC5">
        <w:rPr>
          <w:lang w:val="en-GB"/>
        </w:rPr>
        <w:t xml:space="preserve">n </w:t>
      </w:r>
      <w:r w:rsidRPr="006F2B5F">
        <w:rPr>
          <w:lang w:val="en-GB"/>
        </w:rPr>
        <w:t xml:space="preserve">investment strategy and analyse its performance based on historical data. </w:t>
      </w:r>
      <w:r>
        <w:rPr>
          <w:lang w:val="en-GB"/>
        </w:rPr>
        <w:t>T</w:t>
      </w:r>
      <w:r w:rsidRPr="006F2B5F">
        <w:rPr>
          <w:lang w:val="en-GB"/>
        </w:rPr>
        <w:t>he underlying idea of backtesting</w:t>
      </w:r>
      <w:r>
        <w:rPr>
          <w:lang w:val="en-GB"/>
        </w:rPr>
        <w:t xml:space="preserve"> is, that</w:t>
      </w:r>
      <w:r w:rsidRPr="006F2B5F">
        <w:rPr>
          <w:lang w:val="en-GB"/>
        </w:rPr>
        <w:t xml:space="preserve"> </w:t>
      </w:r>
      <w:r>
        <w:rPr>
          <w:lang w:val="en-GB"/>
        </w:rPr>
        <w:t>a</w:t>
      </w:r>
      <w:r w:rsidRPr="006F2B5F">
        <w:rPr>
          <w:lang w:val="en-GB"/>
        </w:rPr>
        <w:t xml:space="preserve"> strategy that performed well in the past is likely to do so again in the future, and vice versa.  There are several statistical biases that need special attention in the process of developing a viable backtesting. Survivorship bias, look-ahead bias, and data snooping are the most common ones. </w:t>
      </w:r>
      <w:r w:rsidRPr="00EB629D">
        <w:rPr>
          <w:lang w:val="en-GB"/>
        </w:rPr>
        <w:t>The survivorship bias ignores assets that have disappeared during the test period and only considers investments that are still present at the end of the test period. The look ahead bias occurs, when investment decisions are done based on information, which are not yet available at the time the signal is processed in real-time. For example, if the 200-day moving average triggers a new buy/sell signal based on historical close</w:t>
      </w:r>
      <w:r w:rsidRPr="006F2B5F">
        <w:rPr>
          <w:lang w:val="en-GB"/>
        </w:rPr>
        <w:t xml:space="preserve"> prices, this information would be just usable in the subsequent period (</w:t>
      </w:r>
      <w:r w:rsidRPr="006F2B5F">
        <w:rPr>
          <w:i/>
          <w:iCs/>
          <w:lang w:val="en-GB"/>
        </w:rPr>
        <w:t>t</w:t>
      </w:r>
      <w:r w:rsidRPr="006F2B5F">
        <w:rPr>
          <w:i/>
          <w:iCs/>
          <w:vertAlign w:val="subscript"/>
          <w:lang w:val="en-GB"/>
        </w:rPr>
        <w:t>+1</w:t>
      </w:r>
      <w:r w:rsidRPr="006F2B5F">
        <w:rPr>
          <w:lang w:val="en-GB"/>
        </w:rPr>
        <w:t xml:space="preserve">). When strategies rely solely on historical </w:t>
      </w:r>
      <w:r w:rsidR="00BC28D1">
        <w:rPr>
          <w:lang w:val="en-GB"/>
        </w:rPr>
        <w:t>price</w:t>
      </w:r>
      <w:r w:rsidRPr="006F2B5F">
        <w:rPr>
          <w:lang w:val="en-GB"/>
        </w:rPr>
        <w:t xml:space="preserve"> data without proof of similar results in the future, they are </w:t>
      </w:r>
      <w:r w:rsidRPr="00D66FC5">
        <w:rPr>
          <w:lang w:val="en-GB"/>
        </w:rPr>
        <w:t>subject to data snooping</w:t>
      </w:r>
      <w:r w:rsidRPr="006F2B5F">
        <w:rPr>
          <w:i/>
          <w:iCs/>
          <w:lang w:val="en-GB"/>
        </w:rPr>
        <w:t>.</w:t>
      </w:r>
      <w:r w:rsidRPr="006F2B5F">
        <w:rPr>
          <w:lang w:val="en-GB"/>
        </w:rPr>
        <w:t xml:space="preserve"> Although historical data does not guarantee future performance, it helps to evaluate a strategy and to understand its performance in different periods. The level of confidence depends on the stability of the </w:t>
      </w:r>
      <w:r w:rsidR="00EB629D">
        <w:rPr>
          <w:lang w:val="en-GB"/>
        </w:rPr>
        <w:t>live</w:t>
      </w:r>
      <w:r w:rsidRPr="006F2B5F">
        <w:rPr>
          <w:lang w:val="en-GB"/>
        </w:rPr>
        <w:t>test result</w:t>
      </w:r>
      <w:r w:rsidR="00EB629D">
        <w:rPr>
          <w:lang w:val="en-GB"/>
        </w:rPr>
        <w:t>s</w:t>
      </w:r>
      <w:r w:rsidRPr="006F2B5F">
        <w:rPr>
          <w:lang w:val="en-GB"/>
        </w:rPr>
        <w:t xml:space="preserve"> and further out-of-sample tests. Such out-of-sample tests confirm the effectiveness of the systematic strategy and reveal a system</w:t>
      </w:r>
      <w:r w:rsidR="00A60C34">
        <w:rPr>
          <w:lang w:val="en-GB"/>
        </w:rPr>
        <w:t>'</w:t>
      </w:r>
      <w:r w:rsidRPr="006F2B5F">
        <w:rPr>
          <w:lang w:val="en-GB"/>
        </w:rPr>
        <w:t xml:space="preserve">s genuine capabilities before actual money is on the line. </w:t>
      </w:r>
    </w:p>
    <w:p w14:paraId="51593460" w14:textId="405D98F0" w:rsidR="006F2B5F" w:rsidRDefault="00A5350A" w:rsidP="006F2B5F">
      <w:pPr>
        <w:pStyle w:val="berschrift1"/>
        <w:rPr>
          <w:b/>
        </w:rPr>
      </w:pPr>
      <w:r>
        <w:rPr>
          <w:b/>
        </w:rPr>
        <w:t xml:space="preserve">Inside </w:t>
      </w:r>
      <w:r w:rsidR="00855805">
        <w:rPr>
          <w:b/>
        </w:rPr>
        <w:t>The</w:t>
      </w:r>
      <w:r>
        <w:rPr>
          <w:b/>
        </w:rPr>
        <w:t xml:space="preserve"> </w:t>
      </w:r>
      <w:r w:rsidR="006F2B5F">
        <w:rPr>
          <w:b/>
        </w:rPr>
        <w:t xml:space="preserve">SPY3 </w:t>
      </w:r>
      <w:r w:rsidR="00337AFE">
        <w:rPr>
          <w:b/>
        </w:rPr>
        <w:t xml:space="preserve">Base </w:t>
      </w:r>
      <w:r w:rsidR="006F2B5F">
        <w:rPr>
          <w:b/>
        </w:rPr>
        <w:t>Model</w:t>
      </w:r>
    </w:p>
    <w:p w14:paraId="7448F1AF" w14:textId="523B446D" w:rsidR="00075884" w:rsidRPr="00F63546" w:rsidRDefault="00C35A7E" w:rsidP="00C857E1">
      <w:pPr>
        <w:ind w:firstLine="144"/>
        <w:jc w:val="both"/>
      </w:pPr>
      <w:r w:rsidRPr="00C35A7E">
        <w:t>SPY3 is a hybrid strategy that adapts to market conditions by shifting between short-dated U.S. Treasur</w:t>
      </w:r>
      <w:r w:rsidR="005E5D8C">
        <w:t xml:space="preserve">ies </w:t>
      </w:r>
      <w:r w:rsidRPr="00C35A7E">
        <w:t xml:space="preserve">and </w:t>
      </w:r>
      <w:r w:rsidR="005E5D8C">
        <w:t>the</w:t>
      </w:r>
      <w:r w:rsidRPr="00C35A7E">
        <w:t xml:space="preserve"> S&amp;P500. </w:t>
      </w:r>
      <w:r w:rsidR="009758D0">
        <w:t>R</w:t>
      </w:r>
      <w:r w:rsidRPr="00C35A7E">
        <w:t>isk-on or risk-off signals</w:t>
      </w:r>
      <w:r w:rsidR="009758D0">
        <w:t xml:space="preserve"> are</w:t>
      </w:r>
      <w:r w:rsidRPr="00C35A7E">
        <w:t xml:space="preserve"> based on</w:t>
      </w:r>
      <w:r w:rsidR="00E32B22">
        <w:t xml:space="preserve"> the following</w:t>
      </w:r>
      <w:r w:rsidRPr="00C35A7E">
        <w:t xml:space="preserve"> three quantitative factors: risk, momentum, and mean reversion. </w:t>
      </w:r>
      <w:r w:rsidR="002D6F10">
        <w:t>Through its downside protection</w:t>
      </w:r>
      <w:r w:rsidRPr="00C35A7E">
        <w:t xml:space="preserve">, SPY3 </w:t>
      </w:r>
      <w:r w:rsidR="005042C7">
        <w:t>aims to</w:t>
      </w:r>
      <w:r w:rsidR="00840246">
        <w:t xml:space="preserve"> offer</w:t>
      </w:r>
      <w:r w:rsidRPr="00C35A7E">
        <w:t xml:space="preserve"> </w:t>
      </w:r>
      <w:r w:rsidR="003D44E5">
        <w:t>a</w:t>
      </w:r>
      <w:r w:rsidR="005E5D8C">
        <w:t>n attractive and</w:t>
      </w:r>
      <w:r w:rsidR="00BA5C01">
        <w:t xml:space="preserve"> cost-efficient</w:t>
      </w:r>
      <w:r w:rsidR="003D44E5">
        <w:t xml:space="preserve"> </w:t>
      </w:r>
      <w:r w:rsidRPr="00C35A7E">
        <w:t>alternative</w:t>
      </w:r>
      <w:r w:rsidR="002D6F10">
        <w:t xml:space="preserve"> </w:t>
      </w:r>
      <w:r w:rsidR="00EB125C">
        <w:t xml:space="preserve">to </w:t>
      </w:r>
      <w:r w:rsidR="00F40991">
        <w:t xml:space="preserve">both </w:t>
      </w:r>
      <w:r w:rsidR="00EB125C">
        <w:t xml:space="preserve">active and passive strategies </w:t>
      </w:r>
      <w:r w:rsidR="002D6F10">
        <w:t xml:space="preserve">– particularly for risk-averse investors. </w:t>
      </w:r>
    </w:p>
    <w:p w14:paraId="663B164C" w14:textId="58CFDA29" w:rsidR="001C5E06" w:rsidRPr="00E21949" w:rsidRDefault="00697E9F">
      <w:pPr>
        <w:pStyle w:val="berschrift2"/>
      </w:pPr>
      <w:r>
        <w:lastRenderedPageBreak/>
        <w:t>Risk Management</w:t>
      </w:r>
    </w:p>
    <w:p w14:paraId="03D35022" w14:textId="197DA050" w:rsidR="00CF117B" w:rsidRPr="00CF117B" w:rsidRDefault="00CF117B" w:rsidP="005C1D6D">
      <w:pPr>
        <w:pStyle w:val="Text"/>
      </w:pPr>
      <w:r w:rsidRPr="00CF117B">
        <w:t xml:space="preserve">Value-at-Risk (VaR) is the most commonly used statistics to </w:t>
      </w:r>
      <w:r w:rsidR="00C30EE6">
        <w:t>assess</w:t>
      </w:r>
      <w:r w:rsidRPr="00CF117B">
        <w:t xml:space="preserve"> the downside risk of a financial asset over a given period based on its historical</w:t>
      </w:r>
      <w:r w:rsidR="00D11B53">
        <w:t xml:space="preserve"> </w:t>
      </w:r>
      <w:r w:rsidR="00D11B53" w:rsidRPr="00A07005">
        <w:rPr>
          <w:lang w:val="en-GB"/>
        </w:rPr>
        <w:t>volatility</w:t>
      </w:r>
      <w:r w:rsidRPr="00CF117B">
        <w:t xml:space="preserve">. </w:t>
      </w:r>
      <w:r w:rsidR="005C1D6D" w:rsidRPr="00A16169">
        <w:t xml:space="preserve">VaR is a measure of potential loss over a given time period and represents the 1-α %-percentile loss. The SPY3 model calculates the daily VaR with a 99% confidence level and a </w:t>
      </w:r>
      <w:r w:rsidR="00EB629D">
        <w:t>9</w:t>
      </w:r>
      <w:r w:rsidR="005C1D6D" w:rsidRPr="00A16169">
        <w:t xml:space="preserve">0-day observation period. </w:t>
      </w:r>
      <w:r w:rsidR="00337AFE" w:rsidRPr="00A16169">
        <w:t>If</w:t>
      </w:r>
      <w:r w:rsidR="005C1D6D" w:rsidRPr="00A16169">
        <w:t xml:space="preserve"> the daily 99% VaR remains below 2%, </w:t>
      </w:r>
      <w:r w:rsidR="00337AFE">
        <w:t>the model signals</w:t>
      </w:r>
      <w:r w:rsidR="005C1D6D" w:rsidRPr="00A16169">
        <w:t xml:space="preserve"> risk-on. Conversely, a VaR above 5% serves as </w:t>
      </w:r>
      <w:r w:rsidR="00337AFE">
        <w:t>our</w:t>
      </w:r>
      <w:r w:rsidR="005C1D6D" w:rsidRPr="00A16169">
        <w:t xml:space="preserve"> risk </w:t>
      </w:r>
      <w:r w:rsidR="00B346ED">
        <w:t>limit</w:t>
      </w:r>
      <w:r w:rsidR="005C1D6D" w:rsidRPr="00A16169">
        <w:t xml:space="preserve"> that prevents the model from investing in the</w:t>
      </w:r>
      <w:r w:rsidR="00D66FC5">
        <w:t xml:space="preserve"> </w:t>
      </w:r>
      <w:r w:rsidR="005C1D6D" w:rsidRPr="00A16169">
        <w:t xml:space="preserve">S&amp;P500, as it signals a </w:t>
      </w:r>
      <w:r w:rsidR="005C1D6D">
        <w:t xml:space="preserve">relatively </w:t>
      </w:r>
      <w:r w:rsidR="005C1D6D" w:rsidRPr="00A16169">
        <w:t xml:space="preserve">unfavorable </w:t>
      </w:r>
      <w:r w:rsidR="005C1D6D">
        <w:t>risk</w:t>
      </w:r>
      <w:r w:rsidR="000F6DE4">
        <w:t>/</w:t>
      </w:r>
      <w:r w:rsidR="005C1D6D">
        <w:t xml:space="preserve">reward ratio </w:t>
      </w:r>
      <w:r w:rsidR="005C1D6D" w:rsidRPr="00A16169">
        <w:t>for equity investments</w:t>
      </w:r>
      <w:r w:rsidR="005C1D6D">
        <w:t>.</w:t>
      </w:r>
    </w:p>
    <w:p w14:paraId="5CB5D8C1" w14:textId="77777777" w:rsidR="001C5E06" w:rsidRPr="00E21949" w:rsidRDefault="005C1D6D">
      <w:pPr>
        <w:pStyle w:val="berschrift2"/>
      </w:pPr>
      <w:r>
        <w:t>Momentum</w:t>
      </w:r>
    </w:p>
    <w:p w14:paraId="47494AFD" w14:textId="6A12FDCD" w:rsidR="005C1D6D" w:rsidRDefault="005C1D6D" w:rsidP="005C1D6D">
      <w:pPr>
        <w:pStyle w:val="Text"/>
      </w:pPr>
      <w:r>
        <w:t xml:space="preserve">We are </w:t>
      </w:r>
      <w:r w:rsidR="00D66FC5">
        <w:t>t</w:t>
      </w:r>
      <w:r>
        <w:t>rend-</w:t>
      </w:r>
      <w:r w:rsidR="00D66FC5">
        <w:t>f</w:t>
      </w:r>
      <w:r>
        <w:t>ollowers and therefore, we want to stay invested in upward trends and be cautious in downturn trends. For this reason, our</w:t>
      </w:r>
      <w:r w:rsidRPr="005C1D6D">
        <w:t xml:space="preserve"> momentum factor consists of two moving averages</w:t>
      </w:r>
      <w:r w:rsidR="00337AFE">
        <w:t xml:space="preserve"> (MA)</w:t>
      </w:r>
      <w:r>
        <w:t xml:space="preserve">, </w:t>
      </w:r>
      <w:r w:rsidRPr="005C1D6D">
        <w:t xml:space="preserve">35-day and 200-day. The model detects upward trends </w:t>
      </w:r>
      <w:r w:rsidR="00D66FC5">
        <w:t>as long as the short-dated</w:t>
      </w:r>
      <w:r>
        <w:t xml:space="preserve"> </w:t>
      </w:r>
      <w:r w:rsidRPr="005C1D6D">
        <w:t xml:space="preserve">MA </w:t>
      </w:r>
      <w:r w:rsidR="00D66FC5">
        <w:t>remains</w:t>
      </w:r>
      <w:r w:rsidRPr="005C1D6D">
        <w:t xml:space="preserve"> above the </w:t>
      </w:r>
      <w:r>
        <w:t>long-dated MA</w:t>
      </w:r>
      <w:r w:rsidRPr="005C1D6D">
        <w:t xml:space="preserve"> (“trending”), and vice versa for down</w:t>
      </w:r>
      <w:r w:rsidR="00EB629D">
        <w:t>turn</w:t>
      </w:r>
      <w:r w:rsidRPr="005C1D6D">
        <w:t xml:space="preserve"> trends (“countertrending”). The strategy </w:t>
      </w:r>
      <w:r>
        <w:t xml:space="preserve">capitalizes on </w:t>
      </w:r>
      <w:r w:rsidRPr="005C1D6D">
        <w:t>medium</w:t>
      </w:r>
      <w:r w:rsidR="00D66FC5">
        <w:t xml:space="preserve"> </w:t>
      </w:r>
      <w:r w:rsidRPr="005C1D6D">
        <w:t xml:space="preserve">term market trends, while actively avoiding </w:t>
      </w:r>
      <w:r w:rsidR="0086146A">
        <w:t>downturn</w:t>
      </w:r>
      <w:r w:rsidRPr="005C1D6D">
        <w:t xml:space="preserve"> trends</w:t>
      </w:r>
      <w:r>
        <w:t xml:space="preserve"> in the short</w:t>
      </w:r>
      <w:r w:rsidR="00D66FC5">
        <w:t xml:space="preserve"> </w:t>
      </w:r>
      <w:r w:rsidR="000046C2">
        <w:t>run</w:t>
      </w:r>
      <w:r w:rsidRPr="005C1D6D">
        <w:t>. This approach provides a simple yet effective way to assess and respond to market dynamics.</w:t>
      </w:r>
      <w:r>
        <w:t xml:space="preserve"> </w:t>
      </w:r>
    </w:p>
    <w:p w14:paraId="61CEB4CF" w14:textId="77777777" w:rsidR="001C5E06" w:rsidRPr="00E21949" w:rsidRDefault="005C1D6D">
      <w:pPr>
        <w:pStyle w:val="berschrift2"/>
      </w:pPr>
      <w:r>
        <w:t>Mean-Reversion</w:t>
      </w:r>
    </w:p>
    <w:p w14:paraId="51FB4E6D" w14:textId="3914910F" w:rsidR="005C1D6D" w:rsidRPr="00E21949" w:rsidRDefault="005C1D6D">
      <w:pPr>
        <w:pStyle w:val="Text"/>
        <w:ind w:firstLine="144"/>
      </w:pPr>
      <w:r w:rsidRPr="005C1D6D">
        <w:t xml:space="preserve">Mean reversion refers to the tendency of asset prices to revert to their mean level over time, with extreme price movements correcting in the short term. The buy signal is triggered when the current price of the S&amp;P500 index is 30% below its </w:t>
      </w:r>
      <w:r w:rsidR="00CC38D0">
        <w:t>200</w:t>
      </w:r>
      <w:r w:rsidRPr="005C1D6D">
        <w:t xml:space="preserve">-day high. This factor aims to exploit market exaggerations caused by </w:t>
      </w:r>
      <w:r w:rsidR="00D66FC5">
        <w:t>herd</w:t>
      </w:r>
      <w:r w:rsidRPr="005C1D6D">
        <w:t xml:space="preserve"> behavior and excessive deviation from the prior equilibrium. Empirical data </w:t>
      </w:r>
      <w:r w:rsidR="00EB629D">
        <w:t>shows</w:t>
      </w:r>
      <w:r w:rsidRPr="005C1D6D">
        <w:t xml:space="preserve"> that</w:t>
      </w:r>
      <w:r w:rsidR="00EB629D">
        <w:t xml:space="preserve"> </w:t>
      </w:r>
      <w:r w:rsidRPr="005C1D6D">
        <w:t>markets tend to revert to their mean and recover in the short term, offering investors the opportunity to benefit from significant price discounts and capture potential gains when markets rally and rebound in the short term</w:t>
      </w:r>
      <w:r w:rsidR="00515DAE">
        <w:t xml:space="preserve"> thereafter</w:t>
      </w:r>
      <w:r w:rsidRPr="005C1D6D">
        <w:t>.</w:t>
      </w:r>
    </w:p>
    <w:p w14:paraId="30FC94A6" w14:textId="77777777" w:rsidR="00805D4F" w:rsidRDefault="005C1D6D" w:rsidP="00805D4F">
      <w:pPr>
        <w:pStyle w:val="berschrift2"/>
      </w:pPr>
      <w:r>
        <w:t>Results</w:t>
      </w:r>
    </w:p>
    <w:p w14:paraId="64DF711B" w14:textId="08C178CA" w:rsidR="00805D4F" w:rsidRDefault="004E41A3" w:rsidP="00DD0646">
      <w:pPr>
        <w:pStyle w:val="Text"/>
      </w:pPr>
      <w:r w:rsidRPr="004E41A3">
        <w:t>The SPY3 model has consistently outperformed the S&amp;P 500</w:t>
      </w:r>
      <w:r w:rsidR="00150AB0">
        <w:t xml:space="preserve"> since 2000</w:t>
      </w:r>
      <w:r w:rsidR="00FB6D24">
        <w:t xml:space="preserve"> </w:t>
      </w:r>
      <w:r w:rsidR="003F3A3A">
        <w:t>by</w:t>
      </w:r>
      <w:r w:rsidRPr="004E41A3">
        <w:t xml:space="preserve"> </w:t>
      </w:r>
      <w:r w:rsidR="00071DC8">
        <w:t xml:space="preserve">actively </w:t>
      </w:r>
      <w:r w:rsidRPr="004E41A3">
        <w:t xml:space="preserve">shifting between </w:t>
      </w:r>
      <w:r w:rsidR="00FB6D24">
        <w:t>risky</w:t>
      </w:r>
      <w:r w:rsidRPr="004E41A3">
        <w:t xml:space="preserve"> and </w:t>
      </w:r>
      <w:r w:rsidR="003F3A3A">
        <w:t>safety</w:t>
      </w:r>
      <w:r w:rsidRPr="004E41A3">
        <w:t xml:space="preserve"> </w:t>
      </w:r>
      <w:r w:rsidR="00FB6D24">
        <w:t>assets</w:t>
      </w:r>
      <w:r w:rsidR="003F3A3A" w:rsidRPr="004E41A3">
        <w:t>.</w:t>
      </w:r>
      <w:r w:rsidR="00A047D8">
        <w:t xml:space="preserve"> This dynamic approach effectively navigates</w:t>
      </w:r>
      <w:r w:rsidR="00C0634F">
        <w:t xml:space="preserve"> through</w:t>
      </w:r>
      <w:r w:rsidR="00A047D8">
        <w:t xml:space="preserve"> </w:t>
      </w:r>
      <w:r w:rsidR="00867FBA">
        <w:t>different market cycles.</w:t>
      </w:r>
      <w:r w:rsidR="003F3A3A" w:rsidRPr="004E41A3">
        <w:t xml:space="preserve"> </w:t>
      </w:r>
      <w:r w:rsidR="00805D4F" w:rsidRPr="00012797">
        <w:t xml:space="preserve">The </w:t>
      </w:r>
      <w:r w:rsidR="00253740">
        <w:t>primary</w:t>
      </w:r>
      <w:r w:rsidR="00805D4F" w:rsidRPr="00012797">
        <w:t xml:space="preserve"> goal</w:t>
      </w:r>
      <w:r w:rsidR="00805D4F">
        <w:t xml:space="preserve"> </w:t>
      </w:r>
      <w:r w:rsidR="00805D4F" w:rsidRPr="00012797">
        <w:t xml:space="preserve">is to </w:t>
      </w:r>
      <w:r w:rsidR="00805D4F">
        <w:t xml:space="preserve">maximize the </w:t>
      </w:r>
      <w:r w:rsidR="00605485">
        <w:t>Sharpe</w:t>
      </w:r>
      <w:r w:rsidR="00805D4F">
        <w:t xml:space="preserve"> ratio and </w:t>
      </w:r>
      <w:r w:rsidR="00805D4F" w:rsidRPr="00012797">
        <w:t>minimize drawdowns</w:t>
      </w:r>
      <w:r w:rsidR="00805D4F">
        <w:t xml:space="preserve">. </w:t>
      </w:r>
      <w:r w:rsidR="00805D4F" w:rsidRPr="00012797">
        <w:t>Historically, the fund achieved</w:t>
      </w:r>
      <w:r w:rsidR="00805D4F">
        <w:t xml:space="preserve"> </w:t>
      </w:r>
      <w:r w:rsidR="00805D4F" w:rsidRPr="00012797">
        <w:t>an annualized return of 1</w:t>
      </w:r>
      <w:r w:rsidR="00805D4F">
        <w:t>3</w:t>
      </w:r>
      <w:r w:rsidR="00805D4F" w:rsidRPr="00012797">
        <w:t>.</w:t>
      </w:r>
      <w:r w:rsidR="00805D4F">
        <w:t>4</w:t>
      </w:r>
      <w:r w:rsidR="00805D4F" w:rsidRPr="00012797">
        <w:t>% since 2000 with a Sharpe Ratio</w:t>
      </w:r>
      <w:r w:rsidR="00805D4F">
        <w:t xml:space="preserve"> of 1.01 </w:t>
      </w:r>
      <w:r w:rsidR="00805D4F" w:rsidRPr="00012797">
        <w:t>and a</w:t>
      </w:r>
      <w:r w:rsidR="00912251">
        <w:t xml:space="preserve">n annual Jensen’s </w:t>
      </w:r>
      <w:r w:rsidR="00805D4F" w:rsidRPr="00012797">
        <w:t xml:space="preserve">alpha of </w:t>
      </w:r>
      <w:r w:rsidR="00912251">
        <w:t>6</w:t>
      </w:r>
      <w:r w:rsidR="00805D4F" w:rsidRPr="00012797">
        <w:t>.</w:t>
      </w:r>
      <w:r w:rsidR="00912251">
        <w:t>8</w:t>
      </w:r>
      <w:r w:rsidR="00805D4F" w:rsidRPr="00012797">
        <w:t xml:space="preserve">%. </w:t>
      </w:r>
    </w:p>
    <w:p w14:paraId="6B02F99D" w14:textId="77777777" w:rsidR="002725FF" w:rsidRPr="00605485" w:rsidRDefault="002725FF" w:rsidP="00CC46D3">
      <w:pPr>
        <w:pStyle w:val="Text"/>
        <w:ind w:firstLine="0"/>
        <w:rPr>
          <w:sz w:val="10"/>
          <w:szCs w:val="10"/>
        </w:rPr>
      </w:pPr>
    </w:p>
    <w:p w14:paraId="6AD58913" w14:textId="45A5692F" w:rsidR="00CC38D0" w:rsidRDefault="00253E19" w:rsidP="00CC46D3">
      <w:pPr>
        <w:pStyle w:val="Text"/>
        <w:ind w:firstLine="0"/>
        <w:jc w:val="center"/>
      </w:pPr>
      <w:r w:rsidRPr="00253E19">
        <w:rPr>
          <w:noProof/>
        </w:rPr>
        <w:drawing>
          <wp:inline distT="0" distB="0" distL="0" distR="0" wp14:anchorId="75C10C75" wp14:editId="56786563">
            <wp:extent cx="3088574" cy="2492587"/>
            <wp:effectExtent l="0" t="0" r="0" b="3175"/>
            <wp:docPr id="1686697057" name="Grafik 1" descr="Ein Bild, das Text, Screenshot, Zahl, Schrif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697057" name="Grafik 1" descr="Ein Bild, das Text, Screenshot, Zahl, Schrift enthält.&#10;&#10;KI-generierte Inhalte können fehlerhaft sein."/>
                    <pic:cNvPicPr/>
                  </pic:nvPicPr>
                  <pic:blipFill>
                    <a:blip r:embed="rId8"/>
                    <a:stretch>
                      <a:fillRect/>
                    </a:stretch>
                  </pic:blipFill>
                  <pic:spPr>
                    <a:xfrm>
                      <a:off x="0" y="0"/>
                      <a:ext cx="3088574" cy="2492587"/>
                    </a:xfrm>
                    <a:prstGeom prst="rect">
                      <a:avLst/>
                    </a:prstGeom>
                  </pic:spPr>
                </pic:pic>
              </a:graphicData>
            </a:graphic>
          </wp:inline>
        </w:drawing>
      </w:r>
    </w:p>
    <w:p w14:paraId="1CF89065" w14:textId="38F13D66" w:rsidR="00CC38D0" w:rsidRDefault="008A6257" w:rsidP="00A5350A">
      <w:pPr>
        <w:pStyle w:val="Text"/>
        <w:ind w:firstLine="0"/>
      </w:pPr>
      <w:r>
        <w:rPr>
          <w:noProof/>
        </w:rPr>
        <w:drawing>
          <wp:anchor distT="0" distB="0" distL="114300" distR="114300" simplePos="0" relativeHeight="251657728" behindDoc="0" locked="0" layoutInCell="1" allowOverlap="1" wp14:anchorId="712A490C" wp14:editId="4A3AB117">
            <wp:simplePos x="0" y="0"/>
            <wp:positionH relativeFrom="column">
              <wp:posOffset>35845</wp:posOffset>
            </wp:positionH>
            <wp:positionV relativeFrom="paragraph">
              <wp:posOffset>26342</wp:posOffset>
            </wp:positionV>
            <wp:extent cx="3210910" cy="2049517"/>
            <wp:effectExtent l="0" t="0" r="8890" b="8255"/>
            <wp:wrapNone/>
            <wp:docPr id="2" name="Diagramm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Diagramm 1"/>
                    <pic:cNvPicPr>
                      <a:picLocks noChangeArrowheads="1"/>
                    </pic:cNvPicPr>
                  </pic:nvPicPr>
                  <pic:blipFill>
                    <a:blip r:embed="rId9">
                      <a:extLst>
                        <a:ext uri="{28A0092B-C50C-407E-A947-70E740481C1C}">
                          <a14:useLocalDpi xmlns:a14="http://schemas.microsoft.com/office/drawing/2010/main" val="0"/>
                        </a:ext>
                      </a:extLst>
                    </a:blip>
                    <a:srcRect b="-165"/>
                    <a:stretch>
                      <a:fillRect/>
                    </a:stretch>
                  </pic:blipFill>
                  <pic:spPr bwMode="auto">
                    <a:xfrm>
                      <a:off x="0" y="0"/>
                      <a:ext cx="3214069" cy="2051533"/>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6C83B27" w14:textId="77777777" w:rsidR="00CC38D0" w:rsidRDefault="00CC38D0" w:rsidP="00A5350A">
      <w:pPr>
        <w:pStyle w:val="Text"/>
        <w:ind w:firstLine="0"/>
      </w:pPr>
    </w:p>
    <w:p w14:paraId="4A91ED15" w14:textId="77777777" w:rsidR="00CC38D0" w:rsidRDefault="00CC38D0" w:rsidP="00A5350A">
      <w:pPr>
        <w:pStyle w:val="Text"/>
        <w:ind w:firstLine="0"/>
      </w:pPr>
    </w:p>
    <w:p w14:paraId="5B411505" w14:textId="77777777" w:rsidR="00CC38D0" w:rsidRDefault="00CC38D0" w:rsidP="00A5350A">
      <w:pPr>
        <w:pStyle w:val="Text"/>
        <w:ind w:firstLine="0"/>
      </w:pPr>
    </w:p>
    <w:p w14:paraId="6AD04B36" w14:textId="77777777" w:rsidR="00CC38D0" w:rsidRDefault="00CC38D0" w:rsidP="00A5350A">
      <w:pPr>
        <w:pStyle w:val="Text"/>
        <w:ind w:firstLine="0"/>
      </w:pPr>
    </w:p>
    <w:p w14:paraId="53E2541F" w14:textId="77777777" w:rsidR="00CC38D0" w:rsidRDefault="00CC38D0" w:rsidP="00A5350A">
      <w:pPr>
        <w:pStyle w:val="Text"/>
        <w:ind w:firstLine="0"/>
      </w:pPr>
    </w:p>
    <w:p w14:paraId="2CC20CB1" w14:textId="77777777" w:rsidR="00CC38D0" w:rsidRDefault="00CC38D0" w:rsidP="00A5350A">
      <w:pPr>
        <w:pStyle w:val="Text"/>
        <w:ind w:firstLine="0"/>
      </w:pPr>
    </w:p>
    <w:p w14:paraId="2B6DBD91" w14:textId="77777777" w:rsidR="00CC38D0" w:rsidRDefault="00CC38D0" w:rsidP="00A5350A">
      <w:pPr>
        <w:pStyle w:val="Text"/>
        <w:ind w:firstLine="0"/>
      </w:pPr>
    </w:p>
    <w:p w14:paraId="2C0E204B" w14:textId="77777777" w:rsidR="00CC38D0" w:rsidRDefault="00CC38D0" w:rsidP="00A5350A">
      <w:pPr>
        <w:pStyle w:val="Text"/>
        <w:ind w:firstLine="0"/>
      </w:pPr>
    </w:p>
    <w:p w14:paraId="34F9B510" w14:textId="77777777" w:rsidR="00CC38D0" w:rsidRDefault="00CC38D0" w:rsidP="00A5350A">
      <w:pPr>
        <w:pStyle w:val="Text"/>
        <w:ind w:firstLine="0"/>
      </w:pPr>
    </w:p>
    <w:p w14:paraId="6AA3FC27" w14:textId="77777777" w:rsidR="00CC38D0" w:rsidRDefault="00CC38D0" w:rsidP="00A5350A">
      <w:pPr>
        <w:pStyle w:val="Text"/>
        <w:ind w:firstLine="0"/>
      </w:pPr>
    </w:p>
    <w:p w14:paraId="300D601A" w14:textId="77777777" w:rsidR="00676696" w:rsidRDefault="00676696" w:rsidP="00A5350A">
      <w:pPr>
        <w:pStyle w:val="Text"/>
        <w:ind w:firstLine="0"/>
      </w:pPr>
    </w:p>
    <w:p w14:paraId="64A6C2E3" w14:textId="77777777" w:rsidR="008A6257" w:rsidRPr="008A6257" w:rsidRDefault="008A6257" w:rsidP="00A5350A">
      <w:pPr>
        <w:pStyle w:val="Text"/>
        <w:ind w:firstLine="0"/>
        <w:rPr>
          <w:sz w:val="18"/>
          <w:szCs w:val="18"/>
        </w:rPr>
      </w:pPr>
    </w:p>
    <w:p w14:paraId="0C2C898F" w14:textId="77777777" w:rsidR="001C5E06" w:rsidRDefault="005C1D6D">
      <w:pPr>
        <w:pStyle w:val="berschrift1"/>
        <w:rPr>
          <w:b/>
        </w:rPr>
      </w:pPr>
      <w:r>
        <w:rPr>
          <w:b/>
        </w:rPr>
        <w:t xml:space="preserve">Concluding Remarks </w:t>
      </w:r>
    </w:p>
    <w:p w14:paraId="23A5EAB3" w14:textId="66FACAB6" w:rsidR="00805D4F" w:rsidRDefault="00835875" w:rsidP="00CC38D0">
      <w:pPr>
        <w:pStyle w:val="Text"/>
        <w:rPr>
          <w:b/>
          <w:bCs/>
        </w:rPr>
      </w:pPr>
      <w:r w:rsidRPr="00835875">
        <w:t xml:space="preserve">Systematic strategies allow decisions to be </w:t>
      </w:r>
      <w:r w:rsidR="00CC38D0" w:rsidRPr="00835875">
        <w:t>made</w:t>
      </w:r>
      <w:r w:rsidRPr="00835875">
        <w:t xml:space="preserve"> in a methodological manner. Investment objectives, trading rules and model methodology are transparent and automated, allowing fast, cost-efficient, and rule-based trade execution. Systematic strategies benefit from the absence of psychological biases and the presence of adaptive dynamic and data-driven models. Even if </w:t>
      </w:r>
      <w:r w:rsidR="00605485">
        <w:t xml:space="preserve">most </w:t>
      </w:r>
      <w:r w:rsidRPr="00835875">
        <w:t xml:space="preserve">quantitative investment strategies look very opaque from the outside and resemble a black box, in reality these models can be very transparent and </w:t>
      </w:r>
      <w:r w:rsidR="00605485">
        <w:t>easily understandable</w:t>
      </w:r>
      <w:r w:rsidRPr="00835875">
        <w:t>. In practice, many fund managers cannot beat their benchmark after costs. Instead, they underperform</w:t>
      </w:r>
      <w:r w:rsidR="00605485">
        <w:t xml:space="preserve"> and</w:t>
      </w:r>
      <w:r w:rsidRPr="00835875">
        <w:t xml:space="preserve"> deliver no real value for their investors. This </w:t>
      </w:r>
      <w:r w:rsidR="00605485">
        <w:t>paper</w:t>
      </w:r>
      <w:r w:rsidRPr="00835875">
        <w:t xml:space="preserve"> showed how relatively simple </w:t>
      </w:r>
      <w:r w:rsidR="00605485">
        <w:t xml:space="preserve">a </w:t>
      </w:r>
      <w:r w:rsidRPr="00835875">
        <w:t>market-timing strateg</w:t>
      </w:r>
      <w:r w:rsidR="00605485">
        <w:t>y</w:t>
      </w:r>
      <w:r w:rsidRPr="00835875">
        <w:t xml:space="preserve"> already </w:t>
      </w:r>
      <w:r w:rsidR="00605485">
        <w:t>beats the</w:t>
      </w:r>
      <w:r w:rsidR="00337AFE">
        <w:t xml:space="preserve"> </w:t>
      </w:r>
      <w:r w:rsidR="00605485">
        <w:t>S&amp;P500</w:t>
      </w:r>
      <w:r w:rsidRPr="00835875">
        <w:t xml:space="preserve"> by both, limiting risk and generating steady excess return. </w:t>
      </w:r>
      <w:r w:rsidR="00CC38D0">
        <w:t>In regard to</w:t>
      </w:r>
      <w:r w:rsidRPr="00835875">
        <w:t xml:space="preserve"> backtesting, </w:t>
      </w:r>
      <w:r w:rsidR="00605485">
        <w:t xml:space="preserve">we </w:t>
      </w:r>
      <w:r w:rsidR="00775E40">
        <w:t xml:space="preserve">stay humble </w:t>
      </w:r>
      <w:r w:rsidR="00337AFE">
        <w:t xml:space="preserve">and </w:t>
      </w:r>
      <w:r w:rsidR="00337AFE" w:rsidRPr="00835875">
        <w:t>aware</w:t>
      </w:r>
      <w:r w:rsidRPr="00835875">
        <w:t xml:space="preserve"> of the fact that historical data cannot predict future results. However, to quote Mark Twain: “History never repeats itself, but it often rhymes”. </w:t>
      </w:r>
      <w:r w:rsidR="00775E40">
        <w:t>Our SPY3</w:t>
      </w:r>
      <w:r w:rsidR="00CC38D0">
        <w:t xml:space="preserve"> base</w:t>
      </w:r>
      <w:r w:rsidR="00775E40">
        <w:t xml:space="preserve"> </w:t>
      </w:r>
      <w:r w:rsidRPr="00835875">
        <w:t xml:space="preserve">model presented in this </w:t>
      </w:r>
      <w:r w:rsidR="00605485">
        <w:t>paper</w:t>
      </w:r>
      <w:r w:rsidRPr="00835875">
        <w:t xml:space="preserve"> applies a similar attitude. </w:t>
      </w:r>
      <w:r w:rsidR="00CB29C8" w:rsidRPr="00C302BA">
        <w:rPr>
          <w:lang w:val="en-GB"/>
        </w:rPr>
        <w:t xml:space="preserve">Even though the weak form of the EMH already states that no outperformance can be achieved through historical data, the </w:t>
      </w:r>
      <w:r w:rsidR="00CB29C8">
        <w:rPr>
          <w:lang w:val="en-GB"/>
        </w:rPr>
        <w:t>SPY3</w:t>
      </w:r>
      <w:r w:rsidR="00CC38D0">
        <w:rPr>
          <w:lang w:val="en-GB"/>
        </w:rPr>
        <w:t xml:space="preserve"> base</w:t>
      </w:r>
      <w:r w:rsidR="00CB29C8">
        <w:rPr>
          <w:lang w:val="en-GB"/>
        </w:rPr>
        <w:t xml:space="preserve"> model</w:t>
      </w:r>
      <w:r w:rsidR="00CC38D0">
        <w:rPr>
          <w:lang w:val="en-GB"/>
        </w:rPr>
        <w:t xml:space="preserve"> </w:t>
      </w:r>
      <w:r w:rsidR="00CB29C8" w:rsidRPr="00C302BA">
        <w:rPr>
          <w:lang w:val="en-GB"/>
        </w:rPr>
        <w:t xml:space="preserve">shows something </w:t>
      </w:r>
      <w:r w:rsidR="00605485">
        <w:rPr>
          <w:lang w:val="en-GB"/>
        </w:rPr>
        <w:t>different</w:t>
      </w:r>
      <w:r w:rsidR="00CB29C8" w:rsidRPr="00C302BA">
        <w:rPr>
          <w:lang w:val="en-GB"/>
        </w:rPr>
        <w:t>, as it performs consistently better</w:t>
      </w:r>
      <w:r w:rsidR="00CB29C8">
        <w:rPr>
          <w:lang w:val="en-GB"/>
        </w:rPr>
        <w:t xml:space="preserve"> than its benchmark – even in changing market environments. </w:t>
      </w:r>
    </w:p>
    <w:p w14:paraId="2F298DE6" w14:textId="77777777" w:rsidR="00FF2893" w:rsidRPr="005A7985" w:rsidRDefault="00FF2893" w:rsidP="00805D4F">
      <w:pPr>
        <w:pStyle w:val="FigureCaption"/>
        <w:rPr>
          <w:b/>
          <w:bCs/>
        </w:rPr>
      </w:pPr>
    </w:p>
    <w:p w14:paraId="68358539" w14:textId="77777777" w:rsidR="00894A1E" w:rsidRPr="00775E40" w:rsidRDefault="00894A1E" w:rsidP="00775E40">
      <w:pPr>
        <w:pStyle w:val="FigureCaption"/>
        <w:ind w:firstLine="202"/>
        <w:rPr>
          <w:b/>
          <w:bCs/>
          <w:sz w:val="20"/>
          <w:szCs w:val="20"/>
        </w:rPr>
      </w:pPr>
      <w:r w:rsidRPr="0077708A">
        <w:rPr>
          <w:b/>
          <w:bCs/>
        </w:rPr>
        <w:t xml:space="preserve"> </w:t>
      </w:r>
      <w:r w:rsidRPr="0077708A">
        <w:rPr>
          <w:b/>
          <w:bCs/>
          <w:sz w:val="20"/>
          <w:szCs w:val="20"/>
        </w:rPr>
        <w:t xml:space="preserve">   REFERENCES</w:t>
      </w:r>
    </w:p>
    <w:p w14:paraId="6844BF49" w14:textId="77777777" w:rsidR="00894A1E" w:rsidRPr="008A6257" w:rsidRDefault="00FF2893" w:rsidP="00605485">
      <w:pPr>
        <w:pStyle w:val="FigureCaption"/>
        <w:numPr>
          <w:ilvl w:val="0"/>
          <w:numId w:val="12"/>
        </w:numPr>
        <w:rPr>
          <w:bCs/>
        </w:rPr>
      </w:pPr>
      <w:r w:rsidRPr="008A6257">
        <w:rPr>
          <w:bCs/>
        </w:rPr>
        <w:t xml:space="preserve">Harvey, C., R. (2021), “Why Is Systematic Investing Important?”, </w:t>
      </w:r>
      <w:r w:rsidRPr="008A6257">
        <w:rPr>
          <w:bCs/>
          <w:i/>
          <w:iCs/>
        </w:rPr>
        <w:t>Journal of Systematic Investing, 2-6</w:t>
      </w:r>
      <w:r w:rsidR="00894A1E" w:rsidRPr="008A6257">
        <w:rPr>
          <w:bCs/>
        </w:rPr>
        <w:t>.</w:t>
      </w:r>
    </w:p>
    <w:p w14:paraId="306B3CB8" w14:textId="77777777" w:rsidR="00FF2893" w:rsidRPr="008A6257" w:rsidRDefault="00FF2893" w:rsidP="00605485">
      <w:pPr>
        <w:pStyle w:val="References"/>
        <w:rPr>
          <w:lang w:val="en-GB"/>
        </w:rPr>
      </w:pPr>
      <w:r w:rsidRPr="008A6257">
        <w:rPr>
          <w:bCs/>
        </w:rPr>
        <w:t xml:space="preserve">Richardson, S., A. (2022), “Systematic Fixed Income: An Investor’s Guide”, </w:t>
      </w:r>
      <w:r w:rsidRPr="008A6257">
        <w:rPr>
          <w:bCs/>
          <w:i/>
          <w:iCs/>
        </w:rPr>
        <w:t>Wiley, 41-56</w:t>
      </w:r>
    </w:p>
    <w:p w14:paraId="1D053996" w14:textId="77777777" w:rsidR="00894A1E" w:rsidRPr="008A6257" w:rsidRDefault="00FF2893" w:rsidP="00605485">
      <w:pPr>
        <w:pStyle w:val="References"/>
        <w:rPr>
          <w:lang w:val="en-GB"/>
        </w:rPr>
      </w:pPr>
      <w:r w:rsidRPr="008A6257">
        <w:rPr>
          <w:bCs/>
        </w:rPr>
        <w:t xml:space="preserve">Fama, E. F. (1970), „Efficient Capital Markets: A Review of Theory and Empirical Work”, </w:t>
      </w:r>
      <w:r w:rsidRPr="00D379FC">
        <w:rPr>
          <w:bCs/>
          <w:i/>
          <w:iCs/>
        </w:rPr>
        <w:t>The Journal of Finance 25</w:t>
      </w:r>
      <w:r w:rsidRPr="00D379FC">
        <w:rPr>
          <w:bCs/>
        </w:rPr>
        <w:t>(2)</w:t>
      </w:r>
    </w:p>
    <w:p w14:paraId="6C7EE1B1" w14:textId="77777777" w:rsidR="00FF2893" w:rsidRPr="008A6257" w:rsidRDefault="00FF2893" w:rsidP="00605485">
      <w:pPr>
        <w:pStyle w:val="References"/>
        <w:rPr>
          <w:lang w:val="en-GB"/>
        </w:rPr>
      </w:pPr>
      <w:r w:rsidRPr="008A6257">
        <w:rPr>
          <w:lang w:val="en-GB"/>
        </w:rPr>
        <w:t xml:space="preserve">Markowitz, H. (1959), “Portfolio Selection: Efficient Diversification of Investments”, Vol. 16, </w:t>
      </w:r>
      <w:r w:rsidRPr="008A6257">
        <w:rPr>
          <w:i/>
          <w:iCs/>
          <w:lang w:val="en-GB"/>
        </w:rPr>
        <w:t>John Wiley New York</w:t>
      </w:r>
    </w:p>
    <w:p w14:paraId="5AA537F6" w14:textId="77777777" w:rsidR="00FF2893" w:rsidRPr="008A6257" w:rsidRDefault="00FF2893" w:rsidP="00605485">
      <w:pPr>
        <w:pStyle w:val="References"/>
        <w:rPr>
          <w:lang w:val="en-GB"/>
        </w:rPr>
      </w:pPr>
      <w:r w:rsidRPr="008A6257">
        <w:rPr>
          <w:lang w:val="en-GB"/>
        </w:rPr>
        <w:t xml:space="preserve">Bodie, Z., Kane, A. and Marcus, A. J. (2014), </w:t>
      </w:r>
      <w:r w:rsidRPr="008A6257">
        <w:rPr>
          <w:i/>
          <w:iCs/>
          <w:lang w:val="en-GB"/>
        </w:rPr>
        <w:t>“Investments”, 10th edition, McGraw-Hill Education.</w:t>
      </w:r>
    </w:p>
    <w:p w14:paraId="2B8A2F99" w14:textId="7401B611" w:rsidR="007E408C" w:rsidRPr="008A6257" w:rsidRDefault="00FF2893" w:rsidP="007E408C">
      <w:pPr>
        <w:pStyle w:val="References"/>
        <w:rPr>
          <w:lang w:val="en-GB"/>
        </w:rPr>
      </w:pPr>
      <w:r w:rsidRPr="008A6257">
        <w:rPr>
          <w:lang w:val="en-GB"/>
        </w:rPr>
        <w:t>Treynor, J. (1962), “Toward a Theory of Market Value of Risky Assets”</w:t>
      </w:r>
    </w:p>
    <w:p w14:paraId="1052F6DF" w14:textId="61082D4E" w:rsidR="00FF2893" w:rsidRPr="008A6257" w:rsidRDefault="00FF2893" w:rsidP="00605485">
      <w:pPr>
        <w:pStyle w:val="References"/>
        <w:rPr>
          <w:lang w:val="en-GB"/>
        </w:rPr>
      </w:pPr>
      <w:r w:rsidRPr="008A6257">
        <w:rPr>
          <w:lang w:val="en-GB"/>
        </w:rPr>
        <w:t xml:space="preserve">De Bondt, W. F. and Thaler, R. (1985), „Does the Stock Market Overreact?”, </w:t>
      </w:r>
      <w:r w:rsidRPr="008A6257">
        <w:rPr>
          <w:i/>
          <w:iCs/>
          <w:lang w:val="en-GB"/>
        </w:rPr>
        <w:t>The Journal</w:t>
      </w:r>
      <w:r w:rsidR="006061FA" w:rsidRPr="008A6257">
        <w:rPr>
          <w:i/>
          <w:iCs/>
          <w:lang w:val="en-GB"/>
        </w:rPr>
        <w:t xml:space="preserve"> of Finance</w:t>
      </w:r>
    </w:p>
    <w:p w14:paraId="59D57FC8" w14:textId="77777777" w:rsidR="00FF2893" w:rsidRPr="008A6257" w:rsidRDefault="00FF2893" w:rsidP="00605485">
      <w:pPr>
        <w:pStyle w:val="References"/>
        <w:rPr>
          <w:lang w:val="en-GB"/>
        </w:rPr>
      </w:pPr>
      <w:r w:rsidRPr="008A6257">
        <w:rPr>
          <w:lang w:val="en-GB"/>
        </w:rPr>
        <w:t xml:space="preserve">De Bondt, W. F. and Thaler, R. (1987), „Further Evidence on Investor Overreaction and Stock Market Seasonality”, </w:t>
      </w:r>
      <w:r w:rsidRPr="008A6257">
        <w:rPr>
          <w:i/>
          <w:iCs/>
          <w:lang w:val="en-GB"/>
        </w:rPr>
        <w:t>The Journal of Finance</w:t>
      </w:r>
      <w:r w:rsidRPr="008A6257">
        <w:rPr>
          <w:lang w:val="en-GB"/>
        </w:rPr>
        <w:t xml:space="preserve"> </w:t>
      </w:r>
    </w:p>
    <w:p w14:paraId="6E941364" w14:textId="77777777" w:rsidR="00FF2893" w:rsidRPr="008A6257" w:rsidRDefault="00FF2893" w:rsidP="00605485">
      <w:pPr>
        <w:pStyle w:val="References"/>
        <w:rPr>
          <w:lang w:val="en-GB"/>
        </w:rPr>
      </w:pPr>
      <w:r w:rsidRPr="008A6257">
        <w:rPr>
          <w:lang w:val="en-GB"/>
        </w:rPr>
        <w:t xml:space="preserve">Fama, E. F. and French, K. R. (1993), „Common Risk Factors in the Returns on Stocks and Bonds”, </w:t>
      </w:r>
      <w:r w:rsidRPr="008A6257">
        <w:rPr>
          <w:i/>
          <w:iCs/>
          <w:lang w:val="en-GB"/>
        </w:rPr>
        <w:t>Journal of Financial Economics</w:t>
      </w:r>
      <w:r w:rsidRPr="008A6257">
        <w:rPr>
          <w:lang w:val="en-GB"/>
        </w:rPr>
        <w:t xml:space="preserve"> 33(1)</w:t>
      </w:r>
    </w:p>
    <w:p w14:paraId="41B8C735" w14:textId="77777777" w:rsidR="00FF2893" w:rsidRPr="008A6257" w:rsidRDefault="00FF2893" w:rsidP="00605485">
      <w:pPr>
        <w:pStyle w:val="References"/>
        <w:rPr>
          <w:lang w:val="en-GB"/>
        </w:rPr>
      </w:pPr>
      <w:r w:rsidRPr="008A6257">
        <w:rPr>
          <w:lang w:val="en-GB"/>
        </w:rPr>
        <w:t xml:space="preserve">Fama, E. F. and French, K. R. (2004), „The Capital Asset Pricing Model: Theory and Evidence”, </w:t>
      </w:r>
      <w:r w:rsidRPr="008A6257">
        <w:rPr>
          <w:i/>
          <w:iCs/>
          <w:lang w:val="en-GB"/>
        </w:rPr>
        <w:t>Journal of Economic Perspectives</w:t>
      </w:r>
      <w:r w:rsidRPr="008A6257">
        <w:rPr>
          <w:lang w:val="en-GB"/>
        </w:rPr>
        <w:t xml:space="preserve"> 18(3), 25–46. </w:t>
      </w:r>
    </w:p>
    <w:p w14:paraId="68BF1B09" w14:textId="77777777" w:rsidR="00FF2893" w:rsidRPr="008A6257" w:rsidRDefault="00FF2893" w:rsidP="00605485">
      <w:pPr>
        <w:pStyle w:val="References"/>
        <w:rPr>
          <w:lang w:val="en-GB"/>
        </w:rPr>
      </w:pPr>
      <w:r w:rsidRPr="008A6257">
        <w:rPr>
          <w:lang w:val="en-GB"/>
        </w:rPr>
        <w:t xml:space="preserve">Asness, C., Moskowitz, T. J. and Pedersen, L. H. (2013), „Value and Momentum Everywhere”, </w:t>
      </w:r>
      <w:r w:rsidRPr="008A6257">
        <w:rPr>
          <w:i/>
          <w:iCs/>
          <w:lang w:val="en-GB"/>
        </w:rPr>
        <w:t>The Journal of Finance</w:t>
      </w:r>
      <w:r w:rsidRPr="008A6257">
        <w:rPr>
          <w:lang w:val="en-GB"/>
        </w:rPr>
        <w:t xml:space="preserve"> 68(3)</w:t>
      </w:r>
    </w:p>
    <w:p w14:paraId="067D1FDC" w14:textId="77777777" w:rsidR="00FF2893" w:rsidRPr="008A6257" w:rsidRDefault="00FF2893" w:rsidP="00605485">
      <w:pPr>
        <w:pStyle w:val="References"/>
        <w:rPr>
          <w:lang w:val="en-GB"/>
        </w:rPr>
      </w:pPr>
      <w:r w:rsidRPr="008A6257">
        <w:rPr>
          <w:lang w:val="en-GB"/>
        </w:rPr>
        <w:t xml:space="preserve">Barroso, P., Santa-Clara, P. (2012), “Momentum has its moments”, </w:t>
      </w:r>
      <w:r w:rsidRPr="008A6257">
        <w:rPr>
          <w:i/>
          <w:iCs/>
          <w:lang w:val="en-GB"/>
        </w:rPr>
        <w:t>Journal of Financial Economics, Vol. 116, No. 1, 111-120</w:t>
      </w:r>
    </w:p>
    <w:p w14:paraId="093BEA81" w14:textId="77777777" w:rsidR="00775E40" w:rsidRPr="008A6257" w:rsidRDefault="00CB29C8" w:rsidP="00775E40">
      <w:pPr>
        <w:pStyle w:val="References"/>
        <w:rPr>
          <w:lang w:val="en-GB"/>
        </w:rPr>
      </w:pPr>
      <w:r w:rsidRPr="008A6257">
        <w:rPr>
          <w:lang w:val="en-GB"/>
        </w:rPr>
        <w:t xml:space="preserve">Kent, D., D. (2011), “Momentum Crashes”, </w:t>
      </w:r>
      <w:r w:rsidRPr="008A6257">
        <w:rPr>
          <w:i/>
          <w:iCs/>
          <w:lang w:val="en-GB"/>
        </w:rPr>
        <w:t>Columbia Business School Research Paper</w:t>
      </w:r>
      <w:r w:rsidRPr="008A6257">
        <w:rPr>
          <w:lang w:val="en-GB"/>
        </w:rPr>
        <w:t xml:space="preserve"> </w:t>
      </w:r>
      <w:r w:rsidRPr="008A6257">
        <w:rPr>
          <w:i/>
          <w:iCs/>
          <w:lang w:val="en-GB"/>
        </w:rPr>
        <w:t xml:space="preserve">11(03), 3–12 </w:t>
      </w:r>
    </w:p>
    <w:p w14:paraId="27A85FE3" w14:textId="77777777" w:rsidR="00216739" w:rsidRPr="008A6257" w:rsidRDefault="00FF2893" w:rsidP="00216739">
      <w:pPr>
        <w:pStyle w:val="References"/>
        <w:rPr>
          <w:lang w:val="en-GB"/>
        </w:rPr>
      </w:pPr>
      <w:r w:rsidRPr="008A6257">
        <w:rPr>
          <w:lang w:val="en-GB"/>
        </w:rPr>
        <w:t xml:space="preserve">Sharpe, W. F. (1964), „Capital Asset Prices: A Theory of Market Equilibrium Under Conditions of Risk”, </w:t>
      </w:r>
      <w:r w:rsidRPr="008A6257">
        <w:rPr>
          <w:i/>
          <w:iCs/>
          <w:lang w:val="en-GB"/>
        </w:rPr>
        <w:t>The Journal of Financ</w:t>
      </w:r>
      <w:r w:rsidR="00775E40" w:rsidRPr="008A6257">
        <w:rPr>
          <w:i/>
          <w:iCs/>
          <w:lang w:val="en-GB"/>
        </w:rPr>
        <w:t>e 19</w:t>
      </w:r>
      <w:r w:rsidR="00775E40" w:rsidRPr="00D379FC">
        <w:rPr>
          <w:lang w:val="en-GB"/>
        </w:rPr>
        <w:t>(3)</w:t>
      </w:r>
    </w:p>
    <w:p w14:paraId="19285A77" w14:textId="158FA072" w:rsidR="00944F15" w:rsidRPr="00944F15" w:rsidRDefault="00775E40" w:rsidP="00944F15">
      <w:pPr>
        <w:pStyle w:val="References"/>
        <w:rPr>
          <w:lang w:val="en-GB"/>
        </w:rPr>
      </w:pPr>
      <w:r w:rsidRPr="008A6257">
        <w:rPr>
          <w:lang w:val="en-GB"/>
        </w:rPr>
        <w:t>Lamont, O. A. and Thaler, R. H. (2003a), „Anomalies: The Law of One Price in Financial Markets”,</w:t>
      </w:r>
      <w:r w:rsidRPr="008A6257">
        <w:rPr>
          <w:i/>
          <w:iCs/>
          <w:lang w:val="en-GB"/>
        </w:rPr>
        <w:t xml:space="preserve"> Journal of Economic Perspectives 17</w:t>
      </w:r>
      <w:r w:rsidRPr="00D379FC">
        <w:rPr>
          <w:lang w:val="en-GB"/>
        </w:rPr>
        <w:t>(4</w:t>
      </w:r>
      <w:r w:rsidR="005E5D8C" w:rsidRPr="00D379FC">
        <w:rPr>
          <w:lang w:val="en-GB"/>
        </w:rPr>
        <w:t>)</w:t>
      </w:r>
    </w:p>
    <w:sectPr w:rsidR="00944F15" w:rsidRPr="00944F15" w:rsidSect="005E5D8C">
      <w:headerReference w:type="even" r:id="rId10"/>
      <w:headerReference w:type="default" r:id="rId11"/>
      <w:footerReference w:type="even" r:id="rId12"/>
      <w:footerReference w:type="default" r:id="rId13"/>
      <w:pgSz w:w="11907" w:h="16839" w:code="9"/>
      <w:pgMar w:top="993" w:right="708" w:bottom="851" w:left="709" w:header="187" w:footer="216" w:gutter="0"/>
      <w:cols w:num="2" w:space="426"/>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1089AF" w14:textId="77777777" w:rsidR="008B09D8" w:rsidRDefault="008B09D8">
      <w:r>
        <w:separator/>
      </w:r>
    </w:p>
  </w:endnote>
  <w:endnote w:type="continuationSeparator" w:id="0">
    <w:p w14:paraId="0FDB6037" w14:textId="77777777" w:rsidR="008B09D8" w:rsidRDefault="008B09D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5A04B6" w14:textId="77777777" w:rsidR="00627508" w:rsidRPr="00C571A2" w:rsidRDefault="00627508" w:rsidP="00C571A2">
    <w:pPr>
      <w:pStyle w:val="Fuzeile"/>
      <w:jc w:val="center"/>
      <w:rPr>
        <w:b/>
      </w:rPr>
    </w:pPr>
    <w:r w:rsidRPr="00C571A2">
      <w:rPr>
        <w:rStyle w:val="Seitenzahl"/>
        <w:b/>
      </w:rPr>
      <w:fldChar w:fldCharType="begin"/>
    </w:r>
    <w:r w:rsidRPr="00C571A2">
      <w:rPr>
        <w:rStyle w:val="Seitenzahl"/>
        <w:b/>
      </w:rPr>
      <w:instrText xml:space="preserve"> PAGE </w:instrText>
    </w:r>
    <w:r w:rsidRPr="00C571A2">
      <w:rPr>
        <w:rStyle w:val="Seitenzahl"/>
        <w:b/>
      </w:rPr>
      <w:fldChar w:fldCharType="separate"/>
    </w:r>
    <w:r w:rsidR="003E1B3E">
      <w:rPr>
        <w:rStyle w:val="Seitenzahl"/>
        <w:b/>
        <w:noProof/>
      </w:rPr>
      <w:t>2</w:t>
    </w:r>
    <w:r w:rsidRPr="00C571A2">
      <w:rPr>
        <w:rStyle w:val="Seitenzahl"/>
        <w:b/>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54D384" w14:textId="77777777" w:rsidR="00627508" w:rsidRPr="00C571A2" w:rsidRDefault="00627508" w:rsidP="00C571A2">
    <w:pPr>
      <w:pStyle w:val="Fuzeile"/>
      <w:jc w:val="center"/>
      <w:rPr>
        <w:b/>
      </w:rPr>
    </w:pPr>
    <w:r w:rsidRPr="00C571A2">
      <w:rPr>
        <w:rStyle w:val="Seitenzahl"/>
        <w:b/>
      </w:rPr>
      <w:fldChar w:fldCharType="begin"/>
    </w:r>
    <w:r w:rsidRPr="00C571A2">
      <w:rPr>
        <w:rStyle w:val="Seitenzahl"/>
        <w:b/>
      </w:rPr>
      <w:instrText xml:space="preserve"> PAGE </w:instrText>
    </w:r>
    <w:r w:rsidRPr="00C571A2">
      <w:rPr>
        <w:rStyle w:val="Seitenzahl"/>
        <w:b/>
      </w:rPr>
      <w:fldChar w:fldCharType="separate"/>
    </w:r>
    <w:r w:rsidR="001B6317">
      <w:rPr>
        <w:rStyle w:val="Seitenzahl"/>
        <w:b/>
        <w:noProof/>
      </w:rPr>
      <w:t>3</w:t>
    </w:r>
    <w:r w:rsidRPr="00C571A2">
      <w:rPr>
        <w:rStyle w:val="Seitenzahl"/>
        <w:b/>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AB84FF" w14:textId="77777777" w:rsidR="008B09D8" w:rsidRDefault="008B09D8"/>
  </w:footnote>
  <w:footnote w:type="continuationSeparator" w:id="0">
    <w:p w14:paraId="4C97C914" w14:textId="77777777" w:rsidR="008B09D8" w:rsidRDefault="008B09D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0A6A30" w14:textId="679471D0" w:rsidR="007F08A9" w:rsidRDefault="00CE46C3" w:rsidP="007F08A9">
    <w:pPr>
      <w:ind w:right="360"/>
      <w:rPr>
        <w:b/>
      </w:rPr>
    </w:pPr>
    <w:r>
      <w:rPr>
        <w:b/>
        <w:noProof/>
      </w:rPr>
      <w:drawing>
        <wp:anchor distT="0" distB="0" distL="114300" distR="114300" simplePos="0" relativeHeight="251657216" behindDoc="0" locked="0" layoutInCell="1" allowOverlap="1" wp14:anchorId="3F4E33DA" wp14:editId="7D348CA1">
          <wp:simplePos x="0" y="0"/>
          <wp:positionH relativeFrom="column">
            <wp:posOffset>2543175</wp:posOffset>
          </wp:positionH>
          <wp:positionV relativeFrom="paragraph">
            <wp:posOffset>-78105</wp:posOffset>
          </wp:positionV>
          <wp:extent cx="1066800" cy="533400"/>
          <wp:effectExtent l="0" t="0" r="0" b="0"/>
          <wp:wrapSquare wrapText="bothSides"/>
          <wp:docPr id="1848887710" name="Bild 4" descr="Cumulative Return over Ti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887710" name="Bild 4" descr="Cumulative Return over Tim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66800" cy="533400"/>
                  </a:xfrm>
                  <a:prstGeom prst="rect">
                    <a:avLst/>
                  </a:prstGeom>
                  <a:noFill/>
                  <a:ln>
                    <a:noFill/>
                  </a:ln>
                </pic:spPr>
              </pic:pic>
            </a:graphicData>
          </a:graphic>
          <wp14:sizeRelH relativeFrom="page">
            <wp14:pctWidth>0</wp14:pctWidth>
          </wp14:sizeRelH>
          <wp14:sizeRelV relativeFrom="page">
            <wp14:pctHeight>0</wp14:pctHeight>
          </wp14:sizeRelV>
        </wp:anchor>
      </w:drawing>
    </w:r>
    <w:r w:rsidR="007F08A9" w:rsidRPr="0087023B">
      <w:rPr>
        <w:b/>
      </w:rPr>
      <w:t xml:space="preserve">                                                    </w:t>
    </w:r>
    <w:r w:rsidR="007F08A9">
      <w:rPr>
        <w:b/>
      </w:rPr>
      <w:t xml:space="preserve">                          </w:t>
    </w:r>
    <w:r w:rsidR="007F08A9" w:rsidRPr="0087023B">
      <w:rPr>
        <w:b/>
      </w:rPr>
      <w:t xml:space="preserve"> </w:t>
    </w:r>
  </w:p>
  <w:p w14:paraId="32986F4E" w14:textId="77777777" w:rsidR="007F08A9" w:rsidRDefault="007F08A9" w:rsidP="007F08A9">
    <w:pPr>
      <w:ind w:right="360"/>
      <w:jc w:val="center"/>
      <w:rPr>
        <w:b/>
      </w:rPr>
    </w:pPr>
    <w:r>
      <w:rPr>
        <w:b/>
      </w:rPr>
      <w:t xml:space="preserve">  </w:t>
    </w:r>
  </w:p>
  <w:p w14:paraId="1CF2E233" w14:textId="77777777" w:rsidR="007F08A9" w:rsidRPr="005960B3" w:rsidRDefault="007F08A9" w:rsidP="007F08A9">
    <w:pPr>
      <w:ind w:right="360"/>
      <w:rPr>
        <w:b/>
        <w:color w:val="4F81BD"/>
      </w:rPr>
    </w:pPr>
  </w:p>
  <w:p w14:paraId="2CDC705B" w14:textId="77777777" w:rsidR="00B15A92" w:rsidRPr="00CD5F3B" w:rsidRDefault="00B15A92" w:rsidP="00B15A92">
    <w:pPr>
      <w:ind w:right="360"/>
      <w:jc w:val="center"/>
      <w:rPr>
        <w:b/>
        <w:color w:val="3366FF"/>
        <w:sz w:val="24"/>
        <w:szCs w:val="24"/>
      </w:rPr>
    </w:pPr>
    <w:r>
      <w:rPr>
        <w:b/>
        <w:color w:val="3366FF"/>
        <w:sz w:val="24"/>
        <w:szCs w:val="24"/>
      </w:rPr>
      <w:t xml:space="preserve">  </w:t>
    </w:r>
    <w:r w:rsidRPr="00CD5F3B">
      <w:rPr>
        <w:b/>
        <w:color w:val="3366FF"/>
        <w:sz w:val="24"/>
        <w:szCs w:val="24"/>
      </w:rPr>
      <w:t>ISSN:2277-3754</w:t>
    </w:r>
  </w:p>
  <w:p w14:paraId="1FCF24E2" w14:textId="77777777" w:rsidR="007F08A9" w:rsidRDefault="007F08A9" w:rsidP="007F08A9">
    <w:pPr>
      <w:ind w:right="360"/>
      <w:jc w:val="center"/>
      <w:rPr>
        <w:b/>
      </w:rPr>
    </w:pPr>
    <w:r>
      <w:rPr>
        <w:b/>
      </w:rPr>
      <w:t>International Journal of Engineering and Innovative Technology</w:t>
    </w:r>
    <w:r w:rsidRPr="0087023B">
      <w:rPr>
        <w:b/>
      </w:rPr>
      <w:t xml:space="preserve"> (</w:t>
    </w:r>
    <w:r>
      <w:rPr>
        <w:b/>
      </w:rPr>
      <w:t>IJEIT)</w:t>
    </w:r>
  </w:p>
  <w:p w14:paraId="68C6B310" w14:textId="77777777" w:rsidR="00627508" w:rsidRPr="007F08A9" w:rsidRDefault="00182A8D" w:rsidP="007F08A9">
    <w:pPr>
      <w:pStyle w:val="Kopfzeile"/>
      <w:jc w:val="center"/>
    </w:pPr>
    <w:r>
      <w:rPr>
        <w:b/>
      </w:rPr>
      <w:t xml:space="preserve">Volume 1, Issue </w:t>
    </w:r>
    <w:r w:rsidR="00C8649E">
      <w:rPr>
        <w:b/>
      </w:rPr>
      <w:t>3</w:t>
    </w:r>
    <w:r>
      <w:rPr>
        <w:b/>
      </w:rPr>
      <w:t>,</w:t>
    </w:r>
    <w:r w:rsidR="00B15A92">
      <w:rPr>
        <w:b/>
      </w:rPr>
      <w:t xml:space="preserve"> </w:t>
    </w:r>
    <w:r w:rsidR="00C8649E">
      <w:rPr>
        <w:b/>
      </w:rPr>
      <w:t>March</w:t>
    </w:r>
    <w:r>
      <w:rPr>
        <w:b/>
      </w:rPr>
      <w:t xml:space="preserve"> 2012</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F94666" w14:textId="77777777" w:rsidR="00627508" w:rsidRPr="00290F4F" w:rsidRDefault="00627508">
    <w:pPr>
      <w:framePr w:wrap="auto" w:vAnchor="text" w:hAnchor="margin" w:xAlign="right" w:y="1"/>
      <w:rPr>
        <w:sz w:val="16"/>
        <w:szCs w:val="16"/>
      </w:rPr>
    </w:pPr>
  </w:p>
  <w:p w14:paraId="4E0E7BFD" w14:textId="1E1E23AF" w:rsidR="005960B3" w:rsidRPr="009750BA" w:rsidRDefault="00CE46C3" w:rsidP="003D4CD8">
    <w:pPr>
      <w:ind w:right="360"/>
      <w:jc w:val="center"/>
      <w:rPr>
        <w:b/>
        <w:sz w:val="16"/>
        <w:szCs w:val="16"/>
      </w:rPr>
    </w:pPr>
    <w:r w:rsidRPr="00903433">
      <w:rPr>
        <w:noProof/>
        <w:color w:val="7F7F7F"/>
        <w:sz w:val="16"/>
        <w:szCs w:val="16"/>
      </w:rPr>
      <w:drawing>
        <wp:anchor distT="0" distB="0" distL="114300" distR="114300" simplePos="0" relativeHeight="251658240" behindDoc="1" locked="0" layoutInCell="1" allowOverlap="1" wp14:anchorId="3628170D" wp14:editId="711A6EEB">
          <wp:simplePos x="0" y="0"/>
          <wp:positionH relativeFrom="column">
            <wp:posOffset>4989195</wp:posOffset>
          </wp:positionH>
          <wp:positionV relativeFrom="paragraph">
            <wp:posOffset>0</wp:posOffset>
          </wp:positionV>
          <wp:extent cx="1541780" cy="452120"/>
          <wp:effectExtent l="0" t="0" r="0" b="0"/>
          <wp:wrapNone/>
          <wp:docPr id="166994751" name="Bild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41780" cy="452120"/>
                  </a:xfrm>
                  <a:prstGeom prst="rect">
                    <a:avLst/>
                  </a:prstGeom>
                  <a:noFill/>
                  <a:ln>
                    <a:noFill/>
                  </a:ln>
                </pic:spPr>
              </pic:pic>
            </a:graphicData>
          </a:graphic>
          <wp14:sizeRelH relativeFrom="page">
            <wp14:pctWidth>0</wp14:pctWidth>
          </wp14:sizeRelH>
          <wp14:sizeRelV relativeFrom="page">
            <wp14:pctHeight>0</wp14:pctHeight>
          </wp14:sizeRelV>
        </wp:anchor>
      </w:drawing>
    </w:r>
    <w:r w:rsidR="005960B3" w:rsidRPr="009750BA">
      <w:rPr>
        <w:b/>
        <w:sz w:val="16"/>
        <w:szCs w:val="16"/>
      </w:rPr>
      <w:t xml:space="preserve">  </w:t>
    </w:r>
  </w:p>
  <w:p w14:paraId="1CB776F3" w14:textId="4577259A" w:rsidR="00290F4F" w:rsidRPr="003A6FB6" w:rsidRDefault="00290F4F" w:rsidP="00290F4F">
    <w:pPr>
      <w:tabs>
        <w:tab w:val="center" w:pos="4837"/>
      </w:tabs>
      <w:ind w:right="360"/>
      <w:rPr>
        <w:b/>
        <w:color w:val="808080" w:themeColor="background1" w:themeShade="80"/>
        <w:sz w:val="16"/>
        <w:szCs w:val="16"/>
      </w:rPr>
    </w:pPr>
    <w:r w:rsidRPr="003A6FB6">
      <w:rPr>
        <w:b/>
        <w:color w:val="808080" w:themeColor="background1" w:themeShade="80"/>
        <w:sz w:val="16"/>
        <w:szCs w:val="16"/>
      </w:rPr>
      <w:t xml:space="preserve">This content is for informational purposes only. </w:t>
    </w:r>
  </w:p>
  <w:p w14:paraId="455AFA2E" w14:textId="77777777" w:rsidR="005960B3" w:rsidRPr="003A6FB6" w:rsidRDefault="00290F4F" w:rsidP="00290F4F">
    <w:pPr>
      <w:tabs>
        <w:tab w:val="left" w:pos="9072"/>
      </w:tabs>
      <w:ind w:right="360"/>
      <w:rPr>
        <w:b/>
        <w:color w:val="808080" w:themeColor="background1" w:themeShade="80"/>
        <w:sz w:val="16"/>
        <w:szCs w:val="16"/>
      </w:rPr>
    </w:pPr>
    <w:r w:rsidRPr="003A6FB6">
      <w:rPr>
        <w:b/>
        <w:color w:val="808080" w:themeColor="background1" w:themeShade="80"/>
        <w:sz w:val="16"/>
        <w:szCs w:val="16"/>
      </w:rPr>
      <w:t>Past performance is no guarantee of future results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1">
    <w:nsid w:val="FFFFFFFB"/>
    <w:multiLevelType w:val="multilevel"/>
    <w:tmpl w:val="2E085744"/>
    <w:lvl w:ilvl="0">
      <w:start w:val="1"/>
      <w:numFmt w:val="upperRoman"/>
      <w:pStyle w:val="berschrift1"/>
      <w:lvlText w:val="%1."/>
      <w:legacy w:legacy="1" w:legacySpace="144" w:legacyIndent="144"/>
      <w:lvlJc w:val="left"/>
    </w:lvl>
    <w:lvl w:ilvl="1">
      <w:start w:val="1"/>
      <w:numFmt w:val="upperLetter"/>
      <w:pStyle w:val="berschrift2"/>
      <w:lvlText w:val="%2."/>
      <w:legacy w:legacy="1" w:legacySpace="144" w:legacyIndent="144"/>
      <w:lvlJc w:val="left"/>
    </w:lvl>
    <w:lvl w:ilvl="2">
      <w:start w:val="1"/>
      <w:numFmt w:val="decimal"/>
      <w:pStyle w:val="berschrift3"/>
      <w:lvlText w:val="%3)"/>
      <w:legacy w:legacy="1" w:legacySpace="144" w:legacyIndent="144"/>
      <w:lvlJc w:val="left"/>
    </w:lvl>
    <w:lvl w:ilvl="3">
      <w:start w:val="1"/>
      <w:numFmt w:val="lowerLetter"/>
      <w:pStyle w:val="berschrift4"/>
      <w:lvlText w:val="%4)"/>
      <w:legacy w:legacy="1" w:legacySpace="0" w:legacyIndent="720"/>
      <w:lvlJc w:val="left"/>
      <w:pPr>
        <w:ind w:left="1152" w:hanging="720"/>
      </w:pPr>
    </w:lvl>
    <w:lvl w:ilvl="4">
      <w:start w:val="1"/>
      <w:numFmt w:val="decimal"/>
      <w:pStyle w:val="berschrift5"/>
      <w:lvlText w:val="(%5)"/>
      <w:legacy w:legacy="1" w:legacySpace="0" w:legacyIndent="720"/>
      <w:lvlJc w:val="left"/>
      <w:pPr>
        <w:ind w:left="1872" w:hanging="720"/>
      </w:pPr>
    </w:lvl>
    <w:lvl w:ilvl="5">
      <w:start w:val="1"/>
      <w:numFmt w:val="lowerLetter"/>
      <w:pStyle w:val="berschrift6"/>
      <w:lvlText w:val="(%6)"/>
      <w:legacy w:legacy="1" w:legacySpace="0" w:legacyIndent="720"/>
      <w:lvlJc w:val="left"/>
      <w:pPr>
        <w:ind w:left="2592" w:hanging="720"/>
      </w:pPr>
    </w:lvl>
    <w:lvl w:ilvl="6">
      <w:start w:val="1"/>
      <w:numFmt w:val="lowerRoman"/>
      <w:pStyle w:val="berschrift7"/>
      <w:lvlText w:val="(%7)"/>
      <w:legacy w:legacy="1" w:legacySpace="0" w:legacyIndent="720"/>
      <w:lvlJc w:val="left"/>
      <w:pPr>
        <w:ind w:left="3312" w:hanging="720"/>
      </w:pPr>
    </w:lvl>
    <w:lvl w:ilvl="7">
      <w:start w:val="1"/>
      <w:numFmt w:val="lowerLetter"/>
      <w:pStyle w:val="berschrift8"/>
      <w:lvlText w:val="(%8)"/>
      <w:legacy w:legacy="1" w:legacySpace="0" w:legacyIndent="720"/>
      <w:lvlJc w:val="left"/>
      <w:pPr>
        <w:ind w:left="4032" w:hanging="720"/>
      </w:pPr>
    </w:lvl>
    <w:lvl w:ilvl="8">
      <w:start w:val="1"/>
      <w:numFmt w:val="lowerRoman"/>
      <w:pStyle w:val="berschrift9"/>
      <w:lvlText w:val="(%9)"/>
      <w:legacy w:legacy="1" w:legacySpace="0" w:legacyIndent="720"/>
      <w:lvlJc w:val="left"/>
      <w:pPr>
        <w:ind w:left="4752" w:hanging="720"/>
      </w:pPr>
    </w:lvl>
  </w:abstractNum>
  <w:abstractNum w:abstractNumId="1" w15:restartNumberingAfterBreak="0">
    <w:nsid w:val="1B0B1D66"/>
    <w:multiLevelType w:val="singleLevel"/>
    <w:tmpl w:val="0BEC9FB0"/>
    <w:lvl w:ilvl="0">
      <w:start w:val="1"/>
      <w:numFmt w:val="none"/>
      <w:lvlText w:val=""/>
      <w:legacy w:legacy="1" w:legacySpace="0" w:legacyIndent="0"/>
      <w:lvlJc w:val="left"/>
      <w:pPr>
        <w:ind w:left="288"/>
      </w:pPr>
    </w:lvl>
  </w:abstractNum>
  <w:abstractNum w:abstractNumId="2" w15:restartNumberingAfterBreak="0">
    <w:nsid w:val="2517274C"/>
    <w:multiLevelType w:val="singleLevel"/>
    <w:tmpl w:val="04090011"/>
    <w:lvl w:ilvl="0">
      <w:start w:val="1"/>
      <w:numFmt w:val="decimal"/>
      <w:lvlText w:val="%1)"/>
      <w:lvlJc w:val="left"/>
      <w:pPr>
        <w:tabs>
          <w:tab w:val="num" w:pos="360"/>
        </w:tabs>
        <w:ind w:left="360" w:hanging="360"/>
      </w:pPr>
    </w:lvl>
  </w:abstractNum>
  <w:abstractNum w:abstractNumId="3" w15:restartNumberingAfterBreak="0">
    <w:nsid w:val="2D234D8B"/>
    <w:multiLevelType w:val="singleLevel"/>
    <w:tmpl w:val="0409000F"/>
    <w:lvl w:ilvl="0">
      <w:start w:val="1"/>
      <w:numFmt w:val="decimal"/>
      <w:lvlText w:val="%1."/>
      <w:lvlJc w:val="left"/>
      <w:pPr>
        <w:tabs>
          <w:tab w:val="num" w:pos="360"/>
        </w:tabs>
        <w:ind w:left="360" w:hanging="360"/>
      </w:pPr>
    </w:lvl>
  </w:abstractNum>
  <w:abstractNum w:abstractNumId="4" w15:restartNumberingAfterBreak="0">
    <w:nsid w:val="2F8B23F8"/>
    <w:multiLevelType w:val="singleLevel"/>
    <w:tmpl w:val="12CEED98"/>
    <w:lvl w:ilvl="0">
      <w:start w:val="1"/>
      <w:numFmt w:val="decimal"/>
      <w:lvlText w:val="%1."/>
      <w:legacy w:legacy="1" w:legacySpace="0" w:legacyIndent="360"/>
      <w:lvlJc w:val="left"/>
      <w:pPr>
        <w:ind w:left="360" w:hanging="360"/>
      </w:pPr>
    </w:lvl>
  </w:abstractNum>
  <w:abstractNum w:abstractNumId="5" w15:restartNumberingAfterBreak="0">
    <w:nsid w:val="3A877D64"/>
    <w:multiLevelType w:val="singleLevel"/>
    <w:tmpl w:val="5DA6FC16"/>
    <w:lvl w:ilvl="0">
      <w:start w:val="1"/>
      <w:numFmt w:val="decimal"/>
      <w:pStyle w:val="References"/>
      <w:lvlText w:val="[%1]"/>
      <w:lvlJc w:val="left"/>
      <w:pPr>
        <w:tabs>
          <w:tab w:val="num" w:pos="360"/>
        </w:tabs>
        <w:ind w:left="360" w:hanging="360"/>
      </w:pPr>
    </w:lvl>
  </w:abstractNum>
  <w:abstractNum w:abstractNumId="6" w15:restartNumberingAfterBreak="0">
    <w:nsid w:val="3AAC1CFC"/>
    <w:multiLevelType w:val="singleLevel"/>
    <w:tmpl w:val="3A8EC28E"/>
    <w:lvl w:ilvl="0">
      <w:start w:val="1"/>
      <w:numFmt w:val="decimal"/>
      <w:lvlText w:val="[%1]"/>
      <w:lvlJc w:val="left"/>
      <w:pPr>
        <w:tabs>
          <w:tab w:val="num" w:pos="360"/>
        </w:tabs>
        <w:ind w:left="360" w:hanging="360"/>
      </w:pPr>
    </w:lvl>
  </w:abstractNum>
  <w:abstractNum w:abstractNumId="7" w15:restartNumberingAfterBreak="0">
    <w:nsid w:val="47332F9F"/>
    <w:multiLevelType w:val="singleLevel"/>
    <w:tmpl w:val="488EC81A"/>
    <w:lvl w:ilvl="0">
      <w:start w:val="1"/>
      <w:numFmt w:val="decimal"/>
      <w:lvlText w:val="%1."/>
      <w:legacy w:legacy="1" w:legacySpace="0" w:legacyIndent="360"/>
      <w:lvlJc w:val="left"/>
      <w:pPr>
        <w:ind w:left="360" w:hanging="360"/>
      </w:pPr>
    </w:lvl>
  </w:abstractNum>
  <w:abstractNum w:abstractNumId="8" w15:restartNumberingAfterBreak="0">
    <w:nsid w:val="4D0B59CF"/>
    <w:multiLevelType w:val="singleLevel"/>
    <w:tmpl w:val="4A4223A6"/>
    <w:lvl w:ilvl="0">
      <w:start w:val="1"/>
      <w:numFmt w:val="decimal"/>
      <w:lvlText w:val="%1."/>
      <w:legacy w:legacy="1" w:legacySpace="0" w:legacyIndent="360"/>
      <w:lvlJc w:val="left"/>
      <w:pPr>
        <w:ind w:left="360" w:hanging="360"/>
      </w:pPr>
    </w:lvl>
  </w:abstractNum>
  <w:abstractNum w:abstractNumId="9" w15:restartNumberingAfterBreak="0">
    <w:nsid w:val="55630736"/>
    <w:multiLevelType w:val="singleLevel"/>
    <w:tmpl w:val="0BEC9FB0"/>
    <w:lvl w:ilvl="0">
      <w:start w:val="1"/>
      <w:numFmt w:val="none"/>
      <w:lvlText w:val=""/>
      <w:legacy w:legacy="1" w:legacySpace="0" w:legacyIndent="0"/>
      <w:lvlJc w:val="left"/>
      <w:pPr>
        <w:ind w:left="288"/>
      </w:pPr>
    </w:lvl>
  </w:abstractNum>
  <w:abstractNum w:abstractNumId="10" w15:restartNumberingAfterBreak="0">
    <w:nsid w:val="6DC3293B"/>
    <w:multiLevelType w:val="singleLevel"/>
    <w:tmpl w:val="3A8EC28E"/>
    <w:lvl w:ilvl="0">
      <w:start w:val="1"/>
      <w:numFmt w:val="decimal"/>
      <w:lvlText w:val="[%1]"/>
      <w:lvlJc w:val="left"/>
      <w:pPr>
        <w:tabs>
          <w:tab w:val="num" w:pos="360"/>
        </w:tabs>
        <w:ind w:left="360" w:hanging="360"/>
      </w:pPr>
    </w:lvl>
  </w:abstractNum>
  <w:abstractNum w:abstractNumId="11" w15:restartNumberingAfterBreak="0">
    <w:nsid w:val="77E315E9"/>
    <w:multiLevelType w:val="singleLevel"/>
    <w:tmpl w:val="0BEC9FB0"/>
    <w:lvl w:ilvl="0">
      <w:start w:val="1"/>
      <w:numFmt w:val="none"/>
      <w:lvlText w:val=""/>
      <w:legacy w:legacy="1" w:legacySpace="0" w:legacyIndent="0"/>
      <w:lvlJc w:val="left"/>
      <w:pPr>
        <w:ind w:left="288"/>
      </w:pPr>
    </w:lvl>
  </w:abstractNum>
  <w:num w:numId="1" w16cid:durableId="212423057">
    <w:abstractNumId w:val="0"/>
  </w:num>
  <w:num w:numId="2" w16cid:durableId="2145193010">
    <w:abstractNumId w:val="4"/>
  </w:num>
  <w:num w:numId="3" w16cid:durableId="402682091">
    <w:abstractNumId w:val="4"/>
    <w:lvlOverride w:ilvl="0">
      <w:lvl w:ilvl="0">
        <w:start w:val="1"/>
        <w:numFmt w:val="decimal"/>
        <w:lvlText w:val="%1."/>
        <w:legacy w:legacy="1" w:legacySpace="0" w:legacyIndent="360"/>
        <w:lvlJc w:val="left"/>
        <w:pPr>
          <w:ind w:left="360" w:hanging="360"/>
        </w:pPr>
      </w:lvl>
    </w:lvlOverride>
  </w:num>
  <w:num w:numId="4" w16cid:durableId="1186595749">
    <w:abstractNumId w:val="4"/>
    <w:lvlOverride w:ilvl="0">
      <w:lvl w:ilvl="0">
        <w:start w:val="1"/>
        <w:numFmt w:val="decimal"/>
        <w:lvlText w:val="%1."/>
        <w:legacy w:legacy="1" w:legacySpace="0" w:legacyIndent="360"/>
        <w:lvlJc w:val="left"/>
        <w:pPr>
          <w:ind w:left="360" w:hanging="360"/>
        </w:pPr>
      </w:lvl>
    </w:lvlOverride>
  </w:num>
  <w:num w:numId="5" w16cid:durableId="239172981">
    <w:abstractNumId w:val="4"/>
    <w:lvlOverride w:ilvl="0">
      <w:lvl w:ilvl="0">
        <w:start w:val="1"/>
        <w:numFmt w:val="decimal"/>
        <w:lvlText w:val="%1."/>
        <w:legacy w:legacy="1" w:legacySpace="0" w:legacyIndent="360"/>
        <w:lvlJc w:val="left"/>
        <w:pPr>
          <w:ind w:left="360" w:hanging="360"/>
        </w:pPr>
      </w:lvl>
    </w:lvlOverride>
  </w:num>
  <w:num w:numId="6" w16cid:durableId="1251427174">
    <w:abstractNumId w:val="7"/>
  </w:num>
  <w:num w:numId="7" w16cid:durableId="1969705944">
    <w:abstractNumId w:val="7"/>
    <w:lvlOverride w:ilvl="0">
      <w:lvl w:ilvl="0">
        <w:start w:val="1"/>
        <w:numFmt w:val="decimal"/>
        <w:lvlText w:val="%1."/>
        <w:legacy w:legacy="1" w:legacySpace="0" w:legacyIndent="360"/>
        <w:lvlJc w:val="left"/>
        <w:pPr>
          <w:ind w:left="360" w:hanging="360"/>
        </w:pPr>
      </w:lvl>
    </w:lvlOverride>
  </w:num>
  <w:num w:numId="8" w16cid:durableId="1335494782">
    <w:abstractNumId w:val="7"/>
    <w:lvlOverride w:ilvl="0">
      <w:lvl w:ilvl="0">
        <w:start w:val="1"/>
        <w:numFmt w:val="decimal"/>
        <w:lvlText w:val="%1."/>
        <w:legacy w:legacy="1" w:legacySpace="0" w:legacyIndent="360"/>
        <w:lvlJc w:val="left"/>
        <w:pPr>
          <w:ind w:left="360" w:hanging="360"/>
        </w:pPr>
      </w:lvl>
    </w:lvlOverride>
  </w:num>
  <w:num w:numId="9" w16cid:durableId="549939">
    <w:abstractNumId w:val="7"/>
    <w:lvlOverride w:ilvl="0">
      <w:lvl w:ilvl="0">
        <w:start w:val="1"/>
        <w:numFmt w:val="decimal"/>
        <w:lvlText w:val="%1."/>
        <w:legacy w:legacy="1" w:legacySpace="0" w:legacyIndent="360"/>
        <w:lvlJc w:val="left"/>
        <w:pPr>
          <w:ind w:left="360" w:hanging="360"/>
        </w:pPr>
      </w:lvl>
    </w:lvlOverride>
  </w:num>
  <w:num w:numId="10" w16cid:durableId="1007245144">
    <w:abstractNumId w:val="7"/>
    <w:lvlOverride w:ilvl="0">
      <w:lvl w:ilvl="0">
        <w:start w:val="1"/>
        <w:numFmt w:val="decimal"/>
        <w:lvlText w:val="%1."/>
        <w:legacy w:legacy="1" w:legacySpace="0" w:legacyIndent="360"/>
        <w:lvlJc w:val="left"/>
        <w:pPr>
          <w:ind w:left="360" w:hanging="360"/>
        </w:pPr>
      </w:lvl>
    </w:lvlOverride>
  </w:num>
  <w:num w:numId="11" w16cid:durableId="366419250">
    <w:abstractNumId w:val="7"/>
    <w:lvlOverride w:ilvl="0">
      <w:lvl w:ilvl="0">
        <w:start w:val="1"/>
        <w:numFmt w:val="decimal"/>
        <w:lvlText w:val="%1."/>
        <w:legacy w:legacy="1" w:legacySpace="0" w:legacyIndent="360"/>
        <w:lvlJc w:val="left"/>
        <w:pPr>
          <w:ind w:left="360" w:hanging="360"/>
        </w:pPr>
      </w:lvl>
    </w:lvlOverride>
  </w:num>
  <w:num w:numId="12" w16cid:durableId="1141462218">
    <w:abstractNumId w:val="5"/>
  </w:num>
  <w:num w:numId="13" w16cid:durableId="467206809">
    <w:abstractNumId w:val="1"/>
  </w:num>
  <w:num w:numId="14" w16cid:durableId="1765421191">
    <w:abstractNumId w:val="9"/>
  </w:num>
  <w:num w:numId="15" w16cid:durableId="1772121816">
    <w:abstractNumId w:val="8"/>
  </w:num>
  <w:num w:numId="16" w16cid:durableId="344406735">
    <w:abstractNumId w:val="11"/>
  </w:num>
  <w:num w:numId="17" w16cid:durableId="1606843881">
    <w:abstractNumId w:val="3"/>
  </w:num>
  <w:num w:numId="18" w16cid:durableId="451023166">
    <w:abstractNumId w:val="2"/>
  </w:num>
  <w:num w:numId="19" w16cid:durableId="836187219">
    <w:abstractNumId w:val="10"/>
  </w:num>
  <w:num w:numId="20" w16cid:durableId="33850966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1"/>
  <w:embedSystemFonts/>
  <w:gutterAtTop/>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202"/>
  <w:doNotHyphenateCaps/>
  <w:drawingGridHorizontalSpacing w:val="120"/>
  <w:drawingGridVerticalSpacing w:val="120"/>
  <w:displayHorizontalDrawingGridEvery w:val="0"/>
  <w:displayVerticalDrawingGridEvery w:val="3"/>
  <w:doNotUseMarginsForDrawingGridOrigin/>
  <w:characterSpacingControl w:val="compressPunctuation"/>
  <w:hdrShapeDefaults>
    <o:shapedefaults v:ext="edit" spidmax="2050"/>
  </w:hdrShapeDefaults>
  <w:footnotePr>
    <w:footnote w:id="-1"/>
    <w:footnote w:id="0"/>
  </w:footnotePr>
  <w:endnotePr>
    <w:endnote w:id="-1"/>
    <w:endnote w:id="0"/>
  </w:endnotePr>
  <w:compat>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092C"/>
    <w:rsid w:val="000046C2"/>
    <w:rsid w:val="00020485"/>
    <w:rsid w:val="00023FAB"/>
    <w:rsid w:val="000307E2"/>
    <w:rsid w:val="00036808"/>
    <w:rsid w:val="000401B6"/>
    <w:rsid w:val="00047419"/>
    <w:rsid w:val="000479C3"/>
    <w:rsid w:val="00053099"/>
    <w:rsid w:val="0006545C"/>
    <w:rsid w:val="00071DC8"/>
    <w:rsid w:val="00075884"/>
    <w:rsid w:val="00092DDB"/>
    <w:rsid w:val="0009450F"/>
    <w:rsid w:val="000B3D86"/>
    <w:rsid w:val="000B63D9"/>
    <w:rsid w:val="000F6DE4"/>
    <w:rsid w:val="000F6F0F"/>
    <w:rsid w:val="00106077"/>
    <w:rsid w:val="00120134"/>
    <w:rsid w:val="00150AB0"/>
    <w:rsid w:val="00157376"/>
    <w:rsid w:val="00161C5E"/>
    <w:rsid w:val="00165EDD"/>
    <w:rsid w:val="00173C6A"/>
    <w:rsid w:val="00182A8D"/>
    <w:rsid w:val="00197A87"/>
    <w:rsid w:val="001B042D"/>
    <w:rsid w:val="001B310F"/>
    <w:rsid w:val="001B6317"/>
    <w:rsid w:val="001C4830"/>
    <w:rsid w:val="001C5E06"/>
    <w:rsid w:val="001E3E4D"/>
    <w:rsid w:val="00200999"/>
    <w:rsid w:val="00204494"/>
    <w:rsid w:val="00205BA8"/>
    <w:rsid w:val="002123BA"/>
    <w:rsid w:val="00216739"/>
    <w:rsid w:val="002322DB"/>
    <w:rsid w:val="002369CF"/>
    <w:rsid w:val="00240E9B"/>
    <w:rsid w:val="00253740"/>
    <w:rsid w:val="00253E19"/>
    <w:rsid w:val="00257183"/>
    <w:rsid w:val="002725FF"/>
    <w:rsid w:val="00274584"/>
    <w:rsid w:val="00280979"/>
    <w:rsid w:val="00290F4F"/>
    <w:rsid w:val="002B0E4A"/>
    <w:rsid w:val="002B6F01"/>
    <w:rsid w:val="002D4C67"/>
    <w:rsid w:val="002D6F10"/>
    <w:rsid w:val="00312F8A"/>
    <w:rsid w:val="00337AFE"/>
    <w:rsid w:val="003452F5"/>
    <w:rsid w:val="003464D0"/>
    <w:rsid w:val="0035124B"/>
    <w:rsid w:val="00353A99"/>
    <w:rsid w:val="00363CC7"/>
    <w:rsid w:val="003A037C"/>
    <w:rsid w:val="003A4286"/>
    <w:rsid w:val="003A6FB6"/>
    <w:rsid w:val="003A74D4"/>
    <w:rsid w:val="003B1CB5"/>
    <w:rsid w:val="003B2F07"/>
    <w:rsid w:val="003B45AE"/>
    <w:rsid w:val="003D226A"/>
    <w:rsid w:val="003D44E5"/>
    <w:rsid w:val="003D4CD8"/>
    <w:rsid w:val="003E0A95"/>
    <w:rsid w:val="003E1B3E"/>
    <w:rsid w:val="003E5ED6"/>
    <w:rsid w:val="003F3A3A"/>
    <w:rsid w:val="00403B80"/>
    <w:rsid w:val="004156BE"/>
    <w:rsid w:val="004257EB"/>
    <w:rsid w:val="00426B5B"/>
    <w:rsid w:val="00434059"/>
    <w:rsid w:val="004A6849"/>
    <w:rsid w:val="004D01B1"/>
    <w:rsid w:val="004D06CD"/>
    <w:rsid w:val="004D33B3"/>
    <w:rsid w:val="004D7210"/>
    <w:rsid w:val="004E41A3"/>
    <w:rsid w:val="004F011D"/>
    <w:rsid w:val="005042C7"/>
    <w:rsid w:val="0051250C"/>
    <w:rsid w:val="00515DAE"/>
    <w:rsid w:val="00525574"/>
    <w:rsid w:val="005262F1"/>
    <w:rsid w:val="00535976"/>
    <w:rsid w:val="00544E72"/>
    <w:rsid w:val="00563644"/>
    <w:rsid w:val="0056390A"/>
    <w:rsid w:val="00565A18"/>
    <w:rsid w:val="00571CD5"/>
    <w:rsid w:val="005765C5"/>
    <w:rsid w:val="00582E97"/>
    <w:rsid w:val="005843DA"/>
    <w:rsid w:val="005960B3"/>
    <w:rsid w:val="005A7985"/>
    <w:rsid w:val="005B6A3A"/>
    <w:rsid w:val="005B7B69"/>
    <w:rsid w:val="005C19D1"/>
    <w:rsid w:val="005C1D6D"/>
    <w:rsid w:val="005C45AC"/>
    <w:rsid w:val="005C7B3C"/>
    <w:rsid w:val="005E35D9"/>
    <w:rsid w:val="005E5D8C"/>
    <w:rsid w:val="005F2365"/>
    <w:rsid w:val="006002C1"/>
    <w:rsid w:val="00605485"/>
    <w:rsid w:val="006061FA"/>
    <w:rsid w:val="00612E1F"/>
    <w:rsid w:val="006155A6"/>
    <w:rsid w:val="0062337B"/>
    <w:rsid w:val="006235E3"/>
    <w:rsid w:val="006254B3"/>
    <w:rsid w:val="00627508"/>
    <w:rsid w:val="0064039E"/>
    <w:rsid w:val="00642242"/>
    <w:rsid w:val="006427FC"/>
    <w:rsid w:val="00643AAC"/>
    <w:rsid w:val="00644737"/>
    <w:rsid w:val="0065458A"/>
    <w:rsid w:val="00666A6D"/>
    <w:rsid w:val="00674D4D"/>
    <w:rsid w:val="00676696"/>
    <w:rsid w:val="00695B15"/>
    <w:rsid w:val="00695EB9"/>
    <w:rsid w:val="00697E9F"/>
    <w:rsid w:val="006A6F82"/>
    <w:rsid w:val="006B07DC"/>
    <w:rsid w:val="006B3AAD"/>
    <w:rsid w:val="006C2C91"/>
    <w:rsid w:val="006C4E75"/>
    <w:rsid w:val="006D6216"/>
    <w:rsid w:val="006F2B5F"/>
    <w:rsid w:val="00720142"/>
    <w:rsid w:val="00721758"/>
    <w:rsid w:val="00721FCA"/>
    <w:rsid w:val="00731AC2"/>
    <w:rsid w:val="00734A22"/>
    <w:rsid w:val="00760813"/>
    <w:rsid w:val="00766DBF"/>
    <w:rsid w:val="00775E40"/>
    <w:rsid w:val="0077708A"/>
    <w:rsid w:val="007833CD"/>
    <w:rsid w:val="00787122"/>
    <w:rsid w:val="0079213A"/>
    <w:rsid w:val="00792A02"/>
    <w:rsid w:val="007A5BBE"/>
    <w:rsid w:val="007A7A88"/>
    <w:rsid w:val="007B2DE0"/>
    <w:rsid w:val="007C0E6D"/>
    <w:rsid w:val="007C5EB3"/>
    <w:rsid w:val="007E408C"/>
    <w:rsid w:val="007F08A9"/>
    <w:rsid w:val="00804F80"/>
    <w:rsid w:val="00805D4F"/>
    <w:rsid w:val="0082268C"/>
    <w:rsid w:val="00835875"/>
    <w:rsid w:val="008358C4"/>
    <w:rsid w:val="00840246"/>
    <w:rsid w:val="008444B8"/>
    <w:rsid w:val="00855805"/>
    <w:rsid w:val="0086146A"/>
    <w:rsid w:val="00867FBA"/>
    <w:rsid w:val="0087023B"/>
    <w:rsid w:val="00883190"/>
    <w:rsid w:val="00885992"/>
    <w:rsid w:val="00894A1E"/>
    <w:rsid w:val="008A6257"/>
    <w:rsid w:val="008B09D8"/>
    <w:rsid w:val="008B4747"/>
    <w:rsid w:val="008B48D1"/>
    <w:rsid w:val="008F5DF0"/>
    <w:rsid w:val="00903433"/>
    <w:rsid w:val="00904445"/>
    <w:rsid w:val="00912165"/>
    <w:rsid w:val="00912251"/>
    <w:rsid w:val="00925E7C"/>
    <w:rsid w:val="009357C3"/>
    <w:rsid w:val="00935BB2"/>
    <w:rsid w:val="00936230"/>
    <w:rsid w:val="00944F15"/>
    <w:rsid w:val="00953432"/>
    <w:rsid w:val="00960ABD"/>
    <w:rsid w:val="0096637C"/>
    <w:rsid w:val="009750BA"/>
    <w:rsid w:val="009758D0"/>
    <w:rsid w:val="00985F19"/>
    <w:rsid w:val="009B5BB2"/>
    <w:rsid w:val="009C0274"/>
    <w:rsid w:val="009C6E01"/>
    <w:rsid w:val="009D06A4"/>
    <w:rsid w:val="009D6E5A"/>
    <w:rsid w:val="009F1954"/>
    <w:rsid w:val="00A016DD"/>
    <w:rsid w:val="00A047D8"/>
    <w:rsid w:val="00A51C47"/>
    <w:rsid w:val="00A5350A"/>
    <w:rsid w:val="00A538BA"/>
    <w:rsid w:val="00A56A47"/>
    <w:rsid w:val="00A60313"/>
    <w:rsid w:val="00A60C34"/>
    <w:rsid w:val="00A61EBB"/>
    <w:rsid w:val="00A67A07"/>
    <w:rsid w:val="00A85204"/>
    <w:rsid w:val="00A96BED"/>
    <w:rsid w:val="00A97C82"/>
    <w:rsid w:val="00AB6558"/>
    <w:rsid w:val="00AB6661"/>
    <w:rsid w:val="00AC7AD8"/>
    <w:rsid w:val="00B03A26"/>
    <w:rsid w:val="00B15A92"/>
    <w:rsid w:val="00B346ED"/>
    <w:rsid w:val="00B50BF0"/>
    <w:rsid w:val="00B532D9"/>
    <w:rsid w:val="00B56B40"/>
    <w:rsid w:val="00B72478"/>
    <w:rsid w:val="00B73705"/>
    <w:rsid w:val="00B75999"/>
    <w:rsid w:val="00B97714"/>
    <w:rsid w:val="00BA5AC9"/>
    <w:rsid w:val="00BA5C01"/>
    <w:rsid w:val="00BB1D47"/>
    <w:rsid w:val="00BB3FCD"/>
    <w:rsid w:val="00BB5D70"/>
    <w:rsid w:val="00BC1FA1"/>
    <w:rsid w:val="00BC28D1"/>
    <w:rsid w:val="00BE0B69"/>
    <w:rsid w:val="00C00AA6"/>
    <w:rsid w:val="00C012D0"/>
    <w:rsid w:val="00C0634F"/>
    <w:rsid w:val="00C30EE6"/>
    <w:rsid w:val="00C35A7E"/>
    <w:rsid w:val="00C50267"/>
    <w:rsid w:val="00C51965"/>
    <w:rsid w:val="00C571A2"/>
    <w:rsid w:val="00C64A13"/>
    <w:rsid w:val="00C82000"/>
    <w:rsid w:val="00C857E1"/>
    <w:rsid w:val="00C8649E"/>
    <w:rsid w:val="00CA2017"/>
    <w:rsid w:val="00CB29C8"/>
    <w:rsid w:val="00CB654C"/>
    <w:rsid w:val="00CC38D0"/>
    <w:rsid w:val="00CC46D3"/>
    <w:rsid w:val="00CD1B76"/>
    <w:rsid w:val="00CD5F3B"/>
    <w:rsid w:val="00CE46C3"/>
    <w:rsid w:val="00CF117B"/>
    <w:rsid w:val="00D0150E"/>
    <w:rsid w:val="00D02CDF"/>
    <w:rsid w:val="00D11B53"/>
    <w:rsid w:val="00D12B04"/>
    <w:rsid w:val="00D379FC"/>
    <w:rsid w:val="00D5325D"/>
    <w:rsid w:val="00D66039"/>
    <w:rsid w:val="00D66FC5"/>
    <w:rsid w:val="00D7663D"/>
    <w:rsid w:val="00D76AA1"/>
    <w:rsid w:val="00D9137F"/>
    <w:rsid w:val="00DB30D9"/>
    <w:rsid w:val="00DD0646"/>
    <w:rsid w:val="00E06321"/>
    <w:rsid w:val="00E21949"/>
    <w:rsid w:val="00E32B22"/>
    <w:rsid w:val="00E342DB"/>
    <w:rsid w:val="00E45B96"/>
    <w:rsid w:val="00E63757"/>
    <w:rsid w:val="00E63D0E"/>
    <w:rsid w:val="00E7628E"/>
    <w:rsid w:val="00E9006E"/>
    <w:rsid w:val="00E950F6"/>
    <w:rsid w:val="00E953EF"/>
    <w:rsid w:val="00EA4DFB"/>
    <w:rsid w:val="00EB092C"/>
    <w:rsid w:val="00EB125C"/>
    <w:rsid w:val="00EB629D"/>
    <w:rsid w:val="00EE3DFF"/>
    <w:rsid w:val="00EE771C"/>
    <w:rsid w:val="00EF1C1B"/>
    <w:rsid w:val="00EF4164"/>
    <w:rsid w:val="00F403F0"/>
    <w:rsid w:val="00F40991"/>
    <w:rsid w:val="00F42F8B"/>
    <w:rsid w:val="00F50ABA"/>
    <w:rsid w:val="00F63546"/>
    <w:rsid w:val="00F70067"/>
    <w:rsid w:val="00F71CC9"/>
    <w:rsid w:val="00F81CF6"/>
    <w:rsid w:val="00F85D50"/>
    <w:rsid w:val="00F86191"/>
    <w:rsid w:val="00F87565"/>
    <w:rsid w:val="00F9275E"/>
    <w:rsid w:val="00F93E8F"/>
    <w:rsid w:val="00FA7A6F"/>
    <w:rsid w:val="00FB6D24"/>
    <w:rsid w:val="00FC00B1"/>
    <w:rsid w:val="00FD04E3"/>
    <w:rsid w:val="00FD5E97"/>
    <w:rsid w:val="00FF28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64E72DE"/>
  <w15:chartTrackingRefBased/>
  <w15:docId w15:val="{0FD0CF92-DF60-402D-AA24-E77C716A2F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PMingLiU"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rd">
    <w:name w:val="Normal"/>
    <w:qFormat/>
    <w:pPr>
      <w:autoSpaceDE w:val="0"/>
      <w:autoSpaceDN w:val="0"/>
    </w:pPr>
  </w:style>
  <w:style w:type="paragraph" w:styleId="berschrift1">
    <w:name w:val="heading 1"/>
    <w:basedOn w:val="Standard"/>
    <w:next w:val="Standard"/>
    <w:qFormat/>
    <w:pPr>
      <w:keepNext/>
      <w:numPr>
        <w:numId w:val="1"/>
      </w:numPr>
      <w:spacing w:before="240" w:after="80"/>
      <w:jc w:val="center"/>
      <w:outlineLvl w:val="0"/>
    </w:pPr>
    <w:rPr>
      <w:smallCaps/>
      <w:kern w:val="28"/>
    </w:rPr>
  </w:style>
  <w:style w:type="paragraph" w:styleId="berschrift2">
    <w:name w:val="heading 2"/>
    <w:basedOn w:val="Standard"/>
    <w:next w:val="Standard"/>
    <w:qFormat/>
    <w:pPr>
      <w:keepNext/>
      <w:numPr>
        <w:ilvl w:val="1"/>
        <w:numId w:val="1"/>
      </w:numPr>
      <w:spacing w:before="120" w:after="60"/>
      <w:ind w:left="144"/>
      <w:outlineLvl w:val="1"/>
    </w:pPr>
    <w:rPr>
      <w:i/>
      <w:iCs/>
    </w:rPr>
  </w:style>
  <w:style w:type="paragraph" w:styleId="berschrift3">
    <w:name w:val="heading 3"/>
    <w:basedOn w:val="Standard"/>
    <w:next w:val="Standard"/>
    <w:qFormat/>
    <w:pPr>
      <w:keepNext/>
      <w:numPr>
        <w:ilvl w:val="2"/>
        <w:numId w:val="1"/>
      </w:numPr>
      <w:ind w:left="288"/>
      <w:outlineLvl w:val="2"/>
    </w:pPr>
    <w:rPr>
      <w:i/>
      <w:iCs/>
    </w:rPr>
  </w:style>
  <w:style w:type="paragraph" w:styleId="berschrift4">
    <w:name w:val="heading 4"/>
    <w:basedOn w:val="Standard"/>
    <w:next w:val="Standard"/>
    <w:qFormat/>
    <w:pPr>
      <w:keepNext/>
      <w:numPr>
        <w:ilvl w:val="3"/>
        <w:numId w:val="1"/>
      </w:numPr>
      <w:spacing w:before="240" w:after="60"/>
      <w:outlineLvl w:val="3"/>
    </w:pPr>
    <w:rPr>
      <w:i/>
      <w:iCs/>
      <w:sz w:val="18"/>
      <w:szCs w:val="18"/>
    </w:rPr>
  </w:style>
  <w:style w:type="paragraph" w:styleId="berschrift5">
    <w:name w:val="heading 5"/>
    <w:basedOn w:val="Standard"/>
    <w:next w:val="Standard"/>
    <w:qFormat/>
    <w:pPr>
      <w:numPr>
        <w:ilvl w:val="4"/>
        <w:numId w:val="1"/>
      </w:numPr>
      <w:spacing w:before="240" w:after="60"/>
      <w:outlineLvl w:val="4"/>
    </w:pPr>
    <w:rPr>
      <w:sz w:val="18"/>
      <w:szCs w:val="18"/>
    </w:rPr>
  </w:style>
  <w:style w:type="paragraph" w:styleId="berschrift6">
    <w:name w:val="heading 6"/>
    <w:basedOn w:val="Standard"/>
    <w:next w:val="Standard"/>
    <w:qFormat/>
    <w:pPr>
      <w:numPr>
        <w:ilvl w:val="5"/>
        <w:numId w:val="1"/>
      </w:numPr>
      <w:spacing w:before="240" w:after="60"/>
      <w:outlineLvl w:val="5"/>
    </w:pPr>
    <w:rPr>
      <w:i/>
      <w:iCs/>
      <w:sz w:val="16"/>
      <w:szCs w:val="16"/>
    </w:rPr>
  </w:style>
  <w:style w:type="paragraph" w:styleId="berschrift7">
    <w:name w:val="heading 7"/>
    <w:basedOn w:val="Standard"/>
    <w:next w:val="Standard"/>
    <w:qFormat/>
    <w:pPr>
      <w:numPr>
        <w:ilvl w:val="6"/>
        <w:numId w:val="1"/>
      </w:numPr>
      <w:spacing w:before="240" w:after="60"/>
      <w:outlineLvl w:val="6"/>
    </w:pPr>
    <w:rPr>
      <w:sz w:val="16"/>
      <w:szCs w:val="16"/>
    </w:rPr>
  </w:style>
  <w:style w:type="paragraph" w:styleId="berschrift8">
    <w:name w:val="heading 8"/>
    <w:basedOn w:val="Standard"/>
    <w:next w:val="Standard"/>
    <w:qFormat/>
    <w:pPr>
      <w:numPr>
        <w:ilvl w:val="7"/>
        <w:numId w:val="1"/>
      </w:numPr>
      <w:spacing w:before="240" w:after="60"/>
      <w:outlineLvl w:val="7"/>
    </w:pPr>
    <w:rPr>
      <w:i/>
      <w:iCs/>
      <w:sz w:val="16"/>
      <w:szCs w:val="16"/>
    </w:rPr>
  </w:style>
  <w:style w:type="paragraph" w:styleId="berschrift9">
    <w:name w:val="heading 9"/>
    <w:basedOn w:val="Standard"/>
    <w:next w:val="Standard"/>
    <w:qFormat/>
    <w:pPr>
      <w:numPr>
        <w:ilvl w:val="8"/>
        <w:numId w:val="1"/>
      </w:numPr>
      <w:spacing w:before="240" w:after="60"/>
      <w:outlineLvl w:val="8"/>
    </w:pPr>
    <w:rPr>
      <w:sz w:val="16"/>
      <w:szCs w:val="16"/>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Abstract">
    <w:name w:val="Abstract"/>
    <w:basedOn w:val="Standard"/>
    <w:next w:val="Standard"/>
    <w:pPr>
      <w:spacing w:before="20"/>
      <w:ind w:firstLine="202"/>
      <w:jc w:val="both"/>
    </w:pPr>
    <w:rPr>
      <w:b/>
      <w:bCs/>
      <w:sz w:val="18"/>
      <w:szCs w:val="18"/>
    </w:rPr>
  </w:style>
  <w:style w:type="paragraph" w:customStyle="1" w:styleId="Authors">
    <w:name w:val="Authors"/>
    <w:basedOn w:val="Standard"/>
    <w:next w:val="Standard"/>
    <w:pPr>
      <w:framePr w:w="9072" w:hSpace="187" w:vSpace="187" w:wrap="notBeside" w:vAnchor="text" w:hAnchor="page" w:xAlign="center" w:y="1"/>
      <w:spacing w:after="320"/>
      <w:jc w:val="center"/>
    </w:pPr>
    <w:rPr>
      <w:sz w:val="22"/>
      <w:szCs w:val="22"/>
    </w:rPr>
  </w:style>
  <w:style w:type="character" w:customStyle="1" w:styleId="MemberType">
    <w:name w:val="MemberType"/>
    <w:rPr>
      <w:rFonts w:ascii="Times New Roman" w:hAnsi="Times New Roman" w:cs="Times New Roman"/>
      <w:i/>
      <w:iCs/>
      <w:sz w:val="22"/>
      <w:szCs w:val="22"/>
    </w:rPr>
  </w:style>
  <w:style w:type="paragraph" w:styleId="Titel">
    <w:name w:val="Title"/>
    <w:basedOn w:val="Standard"/>
    <w:next w:val="Standard"/>
    <w:qFormat/>
    <w:pPr>
      <w:framePr w:w="9360" w:hSpace="187" w:vSpace="187" w:wrap="notBeside" w:vAnchor="text" w:hAnchor="page" w:xAlign="center" w:y="1"/>
      <w:jc w:val="center"/>
    </w:pPr>
    <w:rPr>
      <w:kern w:val="28"/>
      <w:sz w:val="48"/>
      <w:szCs w:val="48"/>
    </w:rPr>
  </w:style>
  <w:style w:type="paragraph" w:styleId="Funotentext">
    <w:name w:val="footnote text"/>
    <w:basedOn w:val="Standard"/>
    <w:semiHidden/>
    <w:pPr>
      <w:ind w:firstLine="202"/>
      <w:jc w:val="both"/>
    </w:pPr>
    <w:rPr>
      <w:sz w:val="16"/>
      <w:szCs w:val="16"/>
    </w:rPr>
  </w:style>
  <w:style w:type="paragraph" w:customStyle="1" w:styleId="References">
    <w:name w:val="References"/>
    <w:basedOn w:val="Standard"/>
    <w:pPr>
      <w:numPr>
        <w:numId w:val="12"/>
      </w:numPr>
      <w:jc w:val="both"/>
    </w:pPr>
    <w:rPr>
      <w:sz w:val="16"/>
      <w:szCs w:val="16"/>
    </w:rPr>
  </w:style>
  <w:style w:type="paragraph" w:customStyle="1" w:styleId="IndexTerms">
    <w:name w:val="IndexTerms"/>
    <w:basedOn w:val="Standard"/>
    <w:next w:val="Standard"/>
    <w:pPr>
      <w:ind w:firstLine="202"/>
      <w:jc w:val="both"/>
    </w:pPr>
    <w:rPr>
      <w:b/>
      <w:bCs/>
      <w:sz w:val="18"/>
      <w:szCs w:val="18"/>
    </w:rPr>
  </w:style>
  <w:style w:type="character" w:styleId="Funotenzeichen">
    <w:name w:val="footnote reference"/>
    <w:semiHidden/>
    <w:rPr>
      <w:vertAlign w:val="superscript"/>
    </w:rPr>
  </w:style>
  <w:style w:type="paragraph" w:styleId="Fuzeile">
    <w:name w:val="footer"/>
    <w:basedOn w:val="Standard"/>
    <w:pPr>
      <w:tabs>
        <w:tab w:val="center" w:pos="4320"/>
        <w:tab w:val="right" w:pos="8640"/>
      </w:tabs>
    </w:pPr>
  </w:style>
  <w:style w:type="paragraph" w:customStyle="1" w:styleId="Text">
    <w:name w:val="Text"/>
    <w:basedOn w:val="Standard"/>
    <w:pPr>
      <w:widowControl w:val="0"/>
      <w:spacing w:line="252" w:lineRule="auto"/>
      <w:ind w:firstLine="202"/>
      <w:jc w:val="both"/>
    </w:pPr>
  </w:style>
  <w:style w:type="paragraph" w:customStyle="1" w:styleId="FigureCaption">
    <w:name w:val="Figure Caption"/>
    <w:basedOn w:val="Standard"/>
    <w:pPr>
      <w:jc w:val="both"/>
    </w:pPr>
    <w:rPr>
      <w:sz w:val="16"/>
      <w:szCs w:val="16"/>
    </w:rPr>
  </w:style>
  <w:style w:type="paragraph" w:customStyle="1" w:styleId="TableTitle">
    <w:name w:val="Table Title"/>
    <w:basedOn w:val="Standard"/>
    <w:pPr>
      <w:jc w:val="center"/>
    </w:pPr>
    <w:rPr>
      <w:smallCaps/>
      <w:sz w:val="16"/>
      <w:szCs w:val="16"/>
    </w:rPr>
  </w:style>
  <w:style w:type="paragraph" w:customStyle="1" w:styleId="ReferenceHead">
    <w:name w:val="Reference Head"/>
    <w:basedOn w:val="berschrift1"/>
    <w:pPr>
      <w:numPr>
        <w:numId w:val="0"/>
      </w:numPr>
    </w:pPr>
  </w:style>
  <w:style w:type="paragraph" w:styleId="Kopfzeile">
    <w:name w:val="header"/>
    <w:basedOn w:val="Standard"/>
    <w:pPr>
      <w:tabs>
        <w:tab w:val="center" w:pos="4320"/>
        <w:tab w:val="right" w:pos="8640"/>
      </w:tabs>
    </w:pPr>
  </w:style>
  <w:style w:type="paragraph" w:customStyle="1" w:styleId="Equation">
    <w:name w:val="Equation"/>
    <w:basedOn w:val="Standard"/>
    <w:next w:val="Standard"/>
    <w:pPr>
      <w:widowControl w:val="0"/>
      <w:tabs>
        <w:tab w:val="right" w:pos="5040"/>
      </w:tabs>
      <w:spacing w:line="252" w:lineRule="auto"/>
      <w:jc w:val="both"/>
    </w:pPr>
  </w:style>
  <w:style w:type="character" w:styleId="Hyperlink">
    <w:name w:val="Hyperlink"/>
    <w:rPr>
      <w:color w:val="0000FF"/>
      <w:u w:val="single"/>
    </w:rPr>
  </w:style>
  <w:style w:type="character" w:styleId="BesuchterLink">
    <w:name w:val="FollowedHyperlink"/>
    <w:rPr>
      <w:color w:val="800080"/>
      <w:u w:val="single"/>
    </w:rPr>
  </w:style>
  <w:style w:type="paragraph" w:styleId="Textkrper-Zeileneinzug">
    <w:name w:val="Body Text Indent"/>
    <w:basedOn w:val="Standard"/>
    <w:pPr>
      <w:ind w:left="630" w:hanging="630"/>
    </w:pPr>
    <w:rPr>
      <w:szCs w:val="24"/>
    </w:rPr>
  </w:style>
  <w:style w:type="character" w:styleId="Seitenzahl">
    <w:name w:val="page number"/>
    <w:basedOn w:val="Absatz-Standardschriftart"/>
    <w:rsid w:val="00C571A2"/>
  </w:style>
  <w:style w:type="character" w:styleId="Hervorhebung">
    <w:name w:val="Emphasis"/>
    <w:qFormat/>
    <w:rsid w:val="00936230"/>
    <w:rPr>
      <w:i/>
      <w:iCs/>
    </w:rPr>
  </w:style>
  <w:style w:type="character" w:styleId="NichtaufgelsteErwhnung">
    <w:name w:val="Unresolved Mention"/>
    <w:uiPriority w:val="99"/>
    <w:semiHidden/>
    <w:unhideWhenUsed/>
    <w:rsid w:val="00E45B96"/>
    <w:rPr>
      <w:color w:val="605E5C"/>
      <w:shd w:val="clear" w:color="auto" w:fill="E1DFDD"/>
    </w:rPr>
  </w:style>
  <w:style w:type="paragraph" w:styleId="KeinLeerraum">
    <w:name w:val="No Spacing"/>
    <w:uiPriority w:val="1"/>
    <w:qFormat/>
    <w:rsid w:val="00805D4F"/>
    <w:rPr>
      <w:rFonts w:ascii="Calibri" w:eastAsia="Calibri" w:hAnsi="Calibr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689113">
      <w:bodyDiv w:val="1"/>
      <w:marLeft w:val="0"/>
      <w:marRight w:val="0"/>
      <w:marTop w:val="0"/>
      <w:marBottom w:val="0"/>
      <w:divBdr>
        <w:top w:val="none" w:sz="0" w:space="0" w:color="auto"/>
        <w:left w:val="none" w:sz="0" w:space="0" w:color="auto"/>
        <w:bottom w:val="none" w:sz="0" w:space="0" w:color="auto"/>
        <w:right w:val="none" w:sz="0" w:space="0" w:color="auto"/>
      </w:divBdr>
    </w:div>
    <w:div w:id="72970529">
      <w:bodyDiv w:val="1"/>
      <w:marLeft w:val="0"/>
      <w:marRight w:val="0"/>
      <w:marTop w:val="0"/>
      <w:marBottom w:val="0"/>
      <w:divBdr>
        <w:top w:val="none" w:sz="0" w:space="0" w:color="auto"/>
        <w:left w:val="none" w:sz="0" w:space="0" w:color="auto"/>
        <w:bottom w:val="none" w:sz="0" w:space="0" w:color="auto"/>
        <w:right w:val="none" w:sz="0" w:space="0" w:color="auto"/>
      </w:divBdr>
    </w:div>
    <w:div w:id="199172097">
      <w:bodyDiv w:val="1"/>
      <w:marLeft w:val="0"/>
      <w:marRight w:val="0"/>
      <w:marTop w:val="0"/>
      <w:marBottom w:val="0"/>
      <w:divBdr>
        <w:top w:val="none" w:sz="0" w:space="0" w:color="auto"/>
        <w:left w:val="none" w:sz="0" w:space="0" w:color="auto"/>
        <w:bottom w:val="none" w:sz="0" w:space="0" w:color="auto"/>
        <w:right w:val="none" w:sz="0" w:space="0" w:color="auto"/>
      </w:divBdr>
    </w:div>
    <w:div w:id="224412718">
      <w:bodyDiv w:val="1"/>
      <w:marLeft w:val="0"/>
      <w:marRight w:val="0"/>
      <w:marTop w:val="0"/>
      <w:marBottom w:val="0"/>
      <w:divBdr>
        <w:top w:val="none" w:sz="0" w:space="0" w:color="auto"/>
        <w:left w:val="none" w:sz="0" w:space="0" w:color="auto"/>
        <w:bottom w:val="none" w:sz="0" w:space="0" w:color="auto"/>
        <w:right w:val="none" w:sz="0" w:space="0" w:color="auto"/>
      </w:divBdr>
    </w:div>
    <w:div w:id="271018658">
      <w:bodyDiv w:val="1"/>
      <w:marLeft w:val="0"/>
      <w:marRight w:val="0"/>
      <w:marTop w:val="0"/>
      <w:marBottom w:val="0"/>
      <w:divBdr>
        <w:top w:val="none" w:sz="0" w:space="0" w:color="auto"/>
        <w:left w:val="none" w:sz="0" w:space="0" w:color="auto"/>
        <w:bottom w:val="none" w:sz="0" w:space="0" w:color="auto"/>
        <w:right w:val="none" w:sz="0" w:space="0" w:color="auto"/>
      </w:divBdr>
    </w:div>
    <w:div w:id="604575919">
      <w:bodyDiv w:val="1"/>
      <w:marLeft w:val="0"/>
      <w:marRight w:val="0"/>
      <w:marTop w:val="0"/>
      <w:marBottom w:val="0"/>
      <w:divBdr>
        <w:top w:val="none" w:sz="0" w:space="0" w:color="auto"/>
        <w:left w:val="none" w:sz="0" w:space="0" w:color="auto"/>
        <w:bottom w:val="none" w:sz="0" w:space="0" w:color="auto"/>
        <w:right w:val="none" w:sz="0" w:space="0" w:color="auto"/>
      </w:divBdr>
    </w:div>
    <w:div w:id="711929818">
      <w:bodyDiv w:val="1"/>
      <w:marLeft w:val="0"/>
      <w:marRight w:val="0"/>
      <w:marTop w:val="0"/>
      <w:marBottom w:val="0"/>
      <w:divBdr>
        <w:top w:val="none" w:sz="0" w:space="0" w:color="auto"/>
        <w:left w:val="none" w:sz="0" w:space="0" w:color="auto"/>
        <w:bottom w:val="none" w:sz="0" w:space="0" w:color="auto"/>
        <w:right w:val="none" w:sz="0" w:space="0" w:color="auto"/>
      </w:divBdr>
    </w:div>
    <w:div w:id="760874195">
      <w:bodyDiv w:val="1"/>
      <w:marLeft w:val="0"/>
      <w:marRight w:val="0"/>
      <w:marTop w:val="0"/>
      <w:marBottom w:val="0"/>
      <w:divBdr>
        <w:top w:val="none" w:sz="0" w:space="0" w:color="auto"/>
        <w:left w:val="none" w:sz="0" w:space="0" w:color="auto"/>
        <w:bottom w:val="none" w:sz="0" w:space="0" w:color="auto"/>
        <w:right w:val="none" w:sz="0" w:space="0" w:color="auto"/>
      </w:divBdr>
    </w:div>
    <w:div w:id="845678718">
      <w:bodyDiv w:val="1"/>
      <w:marLeft w:val="0"/>
      <w:marRight w:val="0"/>
      <w:marTop w:val="0"/>
      <w:marBottom w:val="0"/>
      <w:divBdr>
        <w:top w:val="none" w:sz="0" w:space="0" w:color="auto"/>
        <w:left w:val="none" w:sz="0" w:space="0" w:color="auto"/>
        <w:bottom w:val="none" w:sz="0" w:space="0" w:color="auto"/>
        <w:right w:val="none" w:sz="0" w:space="0" w:color="auto"/>
      </w:divBdr>
    </w:div>
    <w:div w:id="1113131388">
      <w:bodyDiv w:val="1"/>
      <w:marLeft w:val="0"/>
      <w:marRight w:val="0"/>
      <w:marTop w:val="0"/>
      <w:marBottom w:val="0"/>
      <w:divBdr>
        <w:top w:val="none" w:sz="0" w:space="0" w:color="auto"/>
        <w:left w:val="none" w:sz="0" w:space="0" w:color="auto"/>
        <w:bottom w:val="none" w:sz="0" w:space="0" w:color="auto"/>
        <w:right w:val="none" w:sz="0" w:space="0" w:color="auto"/>
      </w:divBdr>
    </w:div>
    <w:div w:id="1124275112">
      <w:bodyDiv w:val="1"/>
      <w:marLeft w:val="0"/>
      <w:marRight w:val="0"/>
      <w:marTop w:val="0"/>
      <w:marBottom w:val="0"/>
      <w:divBdr>
        <w:top w:val="none" w:sz="0" w:space="0" w:color="auto"/>
        <w:left w:val="none" w:sz="0" w:space="0" w:color="auto"/>
        <w:bottom w:val="none" w:sz="0" w:space="0" w:color="auto"/>
        <w:right w:val="none" w:sz="0" w:space="0" w:color="auto"/>
      </w:divBdr>
    </w:div>
    <w:div w:id="1137843233">
      <w:bodyDiv w:val="1"/>
      <w:marLeft w:val="0"/>
      <w:marRight w:val="0"/>
      <w:marTop w:val="0"/>
      <w:marBottom w:val="0"/>
      <w:divBdr>
        <w:top w:val="none" w:sz="0" w:space="0" w:color="auto"/>
        <w:left w:val="none" w:sz="0" w:space="0" w:color="auto"/>
        <w:bottom w:val="none" w:sz="0" w:space="0" w:color="auto"/>
        <w:right w:val="none" w:sz="0" w:space="0" w:color="auto"/>
      </w:divBdr>
    </w:div>
    <w:div w:id="1189640191">
      <w:bodyDiv w:val="1"/>
      <w:marLeft w:val="0"/>
      <w:marRight w:val="0"/>
      <w:marTop w:val="0"/>
      <w:marBottom w:val="0"/>
      <w:divBdr>
        <w:top w:val="none" w:sz="0" w:space="0" w:color="auto"/>
        <w:left w:val="none" w:sz="0" w:space="0" w:color="auto"/>
        <w:bottom w:val="none" w:sz="0" w:space="0" w:color="auto"/>
        <w:right w:val="none" w:sz="0" w:space="0" w:color="auto"/>
      </w:divBdr>
    </w:div>
    <w:div w:id="1350376993">
      <w:bodyDiv w:val="1"/>
      <w:marLeft w:val="0"/>
      <w:marRight w:val="0"/>
      <w:marTop w:val="0"/>
      <w:marBottom w:val="0"/>
      <w:divBdr>
        <w:top w:val="none" w:sz="0" w:space="0" w:color="auto"/>
        <w:left w:val="none" w:sz="0" w:space="0" w:color="auto"/>
        <w:bottom w:val="none" w:sz="0" w:space="0" w:color="auto"/>
        <w:right w:val="none" w:sz="0" w:space="0" w:color="auto"/>
      </w:divBdr>
    </w:div>
    <w:div w:id="1596208208">
      <w:bodyDiv w:val="1"/>
      <w:marLeft w:val="0"/>
      <w:marRight w:val="0"/>
      <w:marTop w:val="0"/>
      <w:marBottom w:val="0"/>
      <w:divBdr>
        <w:top w:val="none" w:sz="0" w:space="0" w:color="auto"/>
        <w:left w:val="none" w:sz="0" w:space="0" w:color="auto"/>
        <w:bottom w:val="none" w:sz="0" w:space="0" w:color="auto"/>
        <w:right w:val="none" w:sz="0" w:space="0" w:color="auto"/>
      </w:divBdr>
    </w:div>
    <w:div w:id="1617373551">
      <w:bodyDiv w:val="1"/>
      <w:marLeft w:val="0"/>
      <w:marRight w:val="0"/>
      <w:marTop w:val="0"/>
      <w:marBottom w:val="0"/>
      <w:divBdr>
        <w:top w:val="none" w:sz="0" w:space="0" w:color="auto"/>
        <w:left w:val="none" w:sz="0" w:space="0" w:color="auto"/>
        <w:bottom w:val="none" w:sz="0" w:space="0" w:color="auto"/>
        <w:right w:val="none" w:sz="0" w:space="0" w:color="auto"/>
      </w:divBdr>
    </w:div>
    <w:div w:id="1674141714">
      <w:bodyDiv w:val="1"/>
      <w:marLeft w:val="0"/>
      <w:marRight w:val="0"/>
      <w:marTop w:val="0"/>
      <w:marBottom w:val="0"/>
      <w:divBdr>
        <w:top w:val="none" w:sz="0" w:space="0" w:color="auto"/>
        <w:left w:val="none" w:sz="0" w:space="0" w:color="auto"/>
        <w:bottom w:val="none" w:sz="0" w:space="0" w:color="auto"/>
        <w:right w:val="none" w:sz="0" w:space="0" w:color="auto"/>
      </w:divBdr>
    </w:div>
    <w:div w:id="1745562318">
      <w:bodyDiv w:val="1"/>
      <w:marLeft w:val="0"/>
      <w:marRight w:val="0"/>
      <w:marTop w:val="0"/>
      <w:marBottom w:val="0"/>
      <w:divBdr>
        <w:top w:val="none" w:sz="0" w:space="0" w:color="auto"/>
        <w:left w:val="none" w:sz="0" w:space="0" w:color="auto"/>
        <w:bottom w:val="none" w:sz="0" w:space="0" w:color="auto"/>
        <w:right w:val="none" w:sz="0" w:space="0" w:color="auto"/>
      </w:divBdr>
    </w:div>
    <w:div w:id="1768425724">
      <w:bodyDiv w:val="1"/>
      <w:marLeft w:val="0"/>
      <w:marRight w:val="0"/>
      <w:marTop w:val="0"/>
      <w:marBottom w:val="0"/>
      <w:divBdr>
        <w:top w:val="none" w:sz="0" w:space="0" w:color="auto"/>
        <w:left w:val="none" w:sz="0" w:space="0" w:color="auto"/>
        <w:bottom w:val="none" w:sz="0" w:space="0" w:color="auto"/>
        <w:right w:val="none" w:sz="0" w:space="0" w:color="auto"/>
      </w:divBdr>
    </w:div>
    <w:div w:id="1794204613">
      <w:bodyDiv w:val="1"/>
      <w:marLeft w:val="0"/>
      <w:marRight w:val="0"/>
      <w:marTop w:val="0"/>
      <w:marBottom w:val="0"/>
      <w:divBdr>
        <w:top w:val="none" w:sz="0" w:space="0" w:color="auto"/>
        <w:left w:val="none" w:sz="0" w:space="0" w:color="auto"/>
        <w:bottom w:val="none" w:sz="0" w:space="0" w:color="auto"/>
        <w:right w:val="none" w:sz="0" w:space="0" w:color="auto"/>
      </w:divBdr>
    </w:div>
    <w:div w:id="1838299606">
      <w:bodyDiv w:val="1"/>
      <w:marLeft w:val="0"/>
      <w:marRight w:val="0"/>
      <w:marTop w:val="0"/>
      <w:marBottom w:val="0"/>
      <w:divBdr>
        <w:top w:val="none" w:sz="0" w:space="0" w:color="auto"/>
        <w:left w:val="none" w:sz="0" w:space="0" w:color="auto"/>
        <w:bottom w:val="none" w:sz="0" w:space="0" w:color="auto"/>
        <w:right w:val="none" w:sz="0" w:space="0" w:color="auto"/>
      </w:divBdr>
    </w:div>
    <w:div w:id="20912675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hyperlink" Target="mailto:dk@sintro.eu" TargetMode="Externa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2744</Words>
  <Characters>15646</Characters>
  <Application>Microsoft Office Word</Application>
  <DocSecurity>0</DocSecurity>
  <Lines>130</Lines>
  <Paragraphs>36</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vt:lpstr>
      <vt:lpstr></vt:lpstr>
    </vt:vector>
  </TitlesOfParts>
  <Company>IEEE</Company>
  <LinksUpToDate>false</LinksUpToDate>
  <CharactersWithSpaces>18354</CharactersWithSpaces>
  <SharedDoc>false</SharedDoc>
  <HLinks>
    <vt:vector size="6" baseType="variant">
      <vt:variant>
        <vt:i4>5308512</vt:i4>
      </vt:variant>
      <vt:variant>
        <vt:i4>0</vt:i4>
      </vt:variant>
      <vt:variant>
        <vt:i4>0</vt:i4>
      </vt:variant>
      <vt:variant>
        <vt:i4>5</vt:i4>
      </vt:variant>
      <vt:variant>
        <vt:lpwstr>mailto:dk@sintro.eu</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SPY3 - Whitepaper</dc:title>
  <dc:subject>Financial Engineering</dc:subject>
  <dc:creator>DK</dc:creator>
  <cp:keywords/>
  <cp:lastModifiedBy>Denis Keller</cp:lastModifiedBy>
  <cp:revision>167</cp:revision>
  <cp:lastPrinted>2025-02-23T20:26:00Z</cp:lastPrinted>
  <dcterms:created xsi:type="dcterms:W3CDTF">2025-02-21T09:42:00Z</dcterms:created>
  <dcterms:modified xsi:type="dcterms:W3CDTF">2025-02-25T09:14:00Z</dcterms:modified>
</cp:coreProperties>
</file>