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6A877BA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compared 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61537F57"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emerge of technology, new quantitative strategies 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from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7777777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77777777"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7A26476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(Asness,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behavioural</w:t>
      </w:r>
      <w:r w:rsidR="008B4747" w:rsidRPr="008B4747">
        <w:rPr>
          <w:lang w:val="en-GB"/>
        </w:rPr>
        <w:t xml:space="preserve">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0F1A284E" w:rsidR="00B50BF0" w:rsidRDefault="00E953EF" w:rsidP="00D76AA1">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25639118"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randomly.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w:t>
      </w:r>
      <w:r w:rsidR="00EB629D">
        <w:rPr>
          <w:lang w:val="en-GB"/>
        </w:rPr>
        <w:t xml:space="preserve">base </w:t>
      </w:r>
      <w:r w:rsidRPr="006F2B5F">
        <w:rPr>
          <w:lang w:val="en-GB"/>
        </w:rPr>
        <w:t>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r w:rsidRPr="006F2B5F">
        <w:t>Backtesting</w:t>
      </w:r>
      <w:bookmarkEnd w:id="1"/>
    </w:p>
    <w:p w14:paraId="3FB9AE1C" w14:textId="70A44529" w:rsidR="00EA4DFB" w:rsidRDefault="006F2B5F" w:rsidP="00EA4DFB">
      <w:pPr>
        <w:pStyle w:val="Text"/>
        <w:ind w:firstLine="144"/>
        <w:rPr>
          <w:lang w:val="en-GB"/>
        </w:rPr>
      </w:pPr>
      <w:r w:rsidRPr="006F2B5F">
        <w:rPr>
          <w:lang w:val="en-GB"/>
        </w:rPr>
        <w:t>An important part of developing a systematic trading strategy, involves backtesting,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he underlying idea of backtesting</w:t>
      </w:r>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backtesting.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r w:rsidR="00EB629D">
        <w:rPr>
          <w:lang w:val="en-GB"/>
        </w:rPr>
        <w:t>live</w:t>
      </w:r>
      <w:r w:rsidRPr="006F2B5F">
        <w:rPr>
          <w:lang w:val="en-GB"/>
        </w:rPr>
        <w:t>test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2B3EC04F" w14:textId="2136A7D5" w:rsidR="00F63546" w:rsidRPr="00F63546" w:rsidRDefault="00F63546" w:rsidP="00C857E1">
      <w:pPr>
        <w:ind w:firstLine="144"/>
        <w:jc w:val="both"/>
      </w:pPr>
      <w:r w:rsidRPr="00F63546">
        <w:t xml:space="preserve">Although many finance theories and models assume that stock returns follow a normal distribution, </w:t>
      </w:r>
      <w:r w:rsidR="00161C5E">
        <w:t>in reality</w:t>
      </w:r>
      <w:r w:rsidR="005B6A3A">
        <w:t>,</w:t>
      </w:r>
      <w:r w:rsidR="006254B3">
        <w:t xml:space="preserve"> </w:t>
      </w:r>
      <w:r w:rsidRPr="00F63546">
        <w:t xml:space="preserve">these returns are </w:t>
      </w:r>
      <w:r w:rsidR="006B07DC">
        <w:t xml:space="preserve">usually </w:t>
      </w:r>
      <w:r w:rsidRPr="00F63546">
        <w:t xml:space="preserve">skewed. They rise steadily and </w:t>
      </w:r>
      <w:r w:rsidR="005B6A3A" w:rsidRPr="00F63546">
        <w:t>slowly</w:t>
      </w:r>
      <w:r w:rsidR="005B6A3A">
        <w:t xml:space="preserve"> but</w:t>
      </w:r>
      <w:r w:rsidRPr="00F63546">
        <w:t xml:space="preserve"> fall quickly and rapidly. The negative </w:t>
      </w:r>
      <w:r w:rsidR="00AB6661" w:rsidRPr="00F63546">
        <w:t>skew</w:t>
      </w:r>
      <w:r w:rsidR="006B07DC">
        <w:t>ness</w:t>
      </w:r>
      <w:r w:rsidR="00AB6661">
        <w:t xml:space="preserve"> </w:t>
      </w:r>
      <w:r w:rsidRPr="00F63546">
        <w:t>indicates that an investor can expect frequent small gains and few large losses, so-called fat-tails.</w:t>
      </w:r>
    </w:p>
    <w:p w14:paraId="663B164C" w14:textId="77777777" w:rsidR="001C5E06" w:rsidRPr="00E21949" w:rsidRDefault="00697E9F">
      <w:pPr>
        <w:pStyle w:val="berschrift2"/>
      </w:pPr>
      <w:r>
        <w:lastRenderedPageBreak/>
        <w:t>Risk Management</w:t>
      </w:r>
    </w:p>
    <w:p w14:paraId="03D35022" w14:textId="0C09B794" w:rsidR="00CF117B" w:rsidRPr="00CF117B" w:rsidRDefault="00CF117B" w:rsidP="005C1D6D">
      <w:pPr>
        <w:pStyle w:val="Text"/>
      </w:pPr>
      <w:r w:rsidRPr="00CF117B">
        <w:t xml:space="preserve">Value-at-Risk (VaR) is the most commonly used statistics to </w:t>
      </w:r>
      <w:r w:rsidR="00C30EE6">
        <w:t>assess</w:t>
      </w:r>
      <w:r w:rsidRPr="00CF117B">
        <w:t xml:space="preserve"> the downside risk of a financial asset over a given period based on its historical. </w:t>
      </w:r>
      <w:r w:rsidR="005C1D6D" w:rsidRPr="00A16169">
        <w:t xml:space="preserve">VaR is a measure of potential loss over a given time period and represents the 1-α %-percentile loss. The SPY3 model calculates the daily VaR with a 99% confidence level and a </w:t>
      </w:r>
      <w:r w:rsidR="00EB629D">
        <w:t>9</w:t>
      </w:r>
      <w:r w:rsidR="005C1D6D" w:rsidRPr="00A16169">
        <w:t xml:space="preserve">0-day observation period. </w:t>
      </w:r>
      <w:r w:rsidR="00337AFE" w:rsidRPr="00A16169">
        <w:t>If</w:t>
      </w:r>
      <w:r w:rsidR="005C1D6D" w:rsidRPr="00A16169">
        <w:t xml:space="preserve"> the daily 99% VaR remains below 2%, </w:t>
      </w:r>
      <w:r w:rsidR="00337AFE">
        <w:t>the model signals</w:t>
      </w:r>
      <w:r w:rsidR="005C1D6D" w:rsidRPr="00A16169">
        <w:t xml:space="preserve"> risk-on. Conversely, a VaR above 5% serves as </w:t>
      </w:r>
      <w:r w:rsidR="00337AFE">
        <w:t>our</w:t>
      </w:r>
      <w:r w:rsidR="005C1D6D" w:rsidRPr="00A16169">
        <w:t xml:space="preserve"> risk threshold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77777777"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term market trends, while actively avoiding downside trends</w:t>
      </w:r>
      <w:r>
        <w:t xml:space="preserve"> in the short</w:t>
      </w:r>
      <w:r w:rsidR="00D66FC5">
        <w:t xml:space="preserve"> </w:t>
      </w:r>
      <w:r>
        <w:t>term</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77777777"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equity</w:t>
      </w:r>
      <w:r w:rsidRPr="005C1D6D">
        <w:t xml:space="preserve"> markets tend to revert to their mean and recover in the short term, offering investors the opportunity to benefit from significant price discounts and capture potential gains when markets rally and rebound in the short term.</w:t>
      </w:r>
    </w:p>
    <w:p w14:paraId="30FC94A6" w14:textId="77777777" w:rsidR="00805D4F" w:rsidRDefault="005C1D6D" w:rsidP="00805D4F">
      <w:pPr>
        <w:pStyle w:val="berschrift2"/>
      </w:pPr>
      <w:r>
        <w:t>Results</w:t>
      </w:r>
    </w:p>
    <w:p w14:paraId="64DF711B" w14:textId="77777777" w:rsidR="00805D4F" w:rsidRDefault="00805D4F" w:rsidP="00605485">
      <w:pPr>
        <w:pStyle w:val="Text"/>
      </w:pPr>
      <w:r w:rsidRPr="00012797">
        <w:t>The</w:t>
      </w:r>
      <w:r w:rsidR="00EB629D">
        <w:t xml:space="preserve"> SPY3 base</w:t>
      </w:r>
      <w:r w:rsidRPr="00012797">
        <w:t xml:space="preserve"> </w:t>
      </w:r>
      <w:r w:rsidR="00EB629D">
        <w:t>model</w:t>
      </w:r>
      <w:r w:rsidRPr="00012797">
        <w:t xml:space="preserve"> is </w:t>
      </w:r>
      <w:r>
        <w:t>able</w:t>
      </w:r>
      <w:r w:rsidRPr="00012797">
        <w:t xml:space="preserve"> to </w:t>
      </w:r>
      <w:r>
        <w:t xml:space="preserve">capture </w:t>
      </w:r>
      <w:r w:rsidR="00605485">
        <w:t>bull markets, avoid large drawdowns</w:t>
      </w:r>
      <w:r>
        <w:t xml:space="preserve"> and </w:t>
      </w:r>
      <w:r w:rsidRPr="00012797">
        <w:t>deliver more stable and consistent returns. The primary goal</w:t>
      </w:r>
      <w:r>
        <w:t xml:space="preserve"> </w:t>
      </w:r>
      <w:r w:rsidRPr="00012797">
        <w:t xml:space="preserve">is to </w:t>
      </w:r>
      <w:r>
        <w:t xml:space="preserve">maximize the </w:t>
      </w:r>
      <w:r w:rsidR="00605485">
        <w:t>Sharpe</w:t>
      </w:r>
      <w:r>
        <w:t xml:space="preserve"> ratio and </w:t>
      </w:r>
      <w:r w:rsidRPr="00012797">
        <w:t>minimize drawdowns</w:t>
      </w:r>
      <w:r>
        <w:t xml:space="preserve">. </w:t>
      </w:r>
      <w:r w:rsidRPr="00012797">
        <w:t>Historically, the fund achieved</w:t>
      </w:r>
      <w:r>
        <w:t xml:space="preserve"> </w:t>
      </w:r>
      <w:r w:rsidRPr="00012797">
        <w:t>an annualized return of 1</w:t>
      </w:r>
      <w:r>
        <w:t>3</w:t>
      </w:r>
      <w:r w:rsidRPr="00012797">
        <w:t>.</w:t>
      </w:r>
      <w:r>
        <w:t>4</w:t>
      </w:r>
      <w:r w:rsidRPr="00012797">
        <w:t>% since 2000 with a Sharpe Ratio</w:t>
      </w:r>
      <w:r>
        <w:t xml:space="preserve"> of 1.01 </w:t>
      </w:r>
      <w:r w:rsidRPr="00012797">
        <w:t>and an annual alpha of 4.</w:t>
      </w:r>
      <w:r w:rsidR="00337AFE">
        <w:t>4</w:t>
      </w:r>
      <w:r w:rsidRPr="00012797">
        <w:t xml:space="preserve">%. </w:t>
      </w:r>
    </w:p>
    <w:p w14:paraId="6B02F99D" w14:textId="77777777" w:rsidR="002725FF" w:rsidRPr="00605485" w:rsidRDefault="002725FF" w:rsidP="00605485">
      <w:pPr>
        <w:pStyle w:val="Text"/>
        <w:rPr>
          <w:sz w:val="10"/>
          <w:szCs w:val="10"/>
        </w:rPr>
      </w:pPr>
    </w:p>
    <w:p w14:paraId="6AD58913" w14:textId="4BEFB2F7" w:rsidR="00CC38D0" w:rsidRDefault="00CE46C3" w:rsidP="00A5350A">
      <w:pPr>
        <w:pStyle w:val="Text"/>
        <w:ind w:firstLine="0"/>
      </w:pPr>
      <w:r w:rsidRPr="00734770">
        <w:rPr>
          <w:noProof/>
        </w:rPr>
        <w:drawing>
          <wp:inline distT="0" distB="0" distL="0" distR="0" wp14:anchorId="309745ED" wp14:editId="70DE9F5D">
            <wp:extent cx="3200400" cy="2583180"/>
            <wp:effectExtent l="0" t="0" r="0"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2583180"/>
                    </a:xfrm>
                    <a:prstGeom prst="rect">
                      <a:avLst/>
                    </a:prstGeom>
                    <a:noFill/>
                    <a:ln>
                      <a:noFill/>
                    </a:ln>
                  </pic:spPr>
                </pic:pic>
              </a:graphicData>
            </a:graphic>
          </wp:inline>
        </w:drawing>
      </w:r>
    </w:p>
    <w:p w14:paraId="1CF89065" w14:textId="39600E24" w:rsidR="00CC38D0" w:rsidRDefault="00CE46C3" w:rsidP="00A5350A">
      <w:pPr>
        <w:pStyle w:val="Text"/>
        <w:ind w:firstLine="0"/>
      </w:pPr>
      <w:r>
        <w:rPr>
          <w:noProof/>
        </w:rPr>
        <w:drawing>
          <wp:anchor distT="0" distB="0" distL="114300" distR="114300" simplePos="0" relativeHeight="251657728" behindDoc="0" locked="0" layoutInCell="1" allowOverlap="1" wp14:anchorId="712A490C" wp14:editId="10521E46">
            <wp:simplePos x="0" y="0"/>
            <wp:positionH relativeFrom="column">
              <wp:posOffset>36195</wp:posOffset>
            </wp:positionH>
            <wp:positionV relativeFrom="paragraph">
              <wp:posOffset>-42545</wp:posOffset>
            </wp:positionV>
            <wp:extent cx="3152775" cy="2017395"/>
            <wp:effectExtent l="0" t="0" r="0" b="0"/>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7777777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backtesting,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 xml:space="preserve">Harvey, C., R. (2021), “Why Is Systematic Investing Important?”, </w:t>
      </w:r>
      <w:r w:rsidRPr="007E408C">
        <w:rPr>
          <w:bCs/>
          <w:i/>
          <w:iCs/>
          <w:sz w:val="18"/>
          <w:szCs w:val="18"/>
        </w:rPr>
        <w:t>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7E408C"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Pr="007E408C" w:rsidRDefault="00FF2893" w:rsidP="00605485">
      <w:pPr>
        <w:pStyle w:val="References"/>
        <w:rPr>
          <w:lang w:val="en-GB"/>
        </w:rPr>
      </w:pPr>
      <w:r w:rsidRPr="007E408C">
        <w:rPr>
          <w:lang w:val="en-GB"/>
        </w:rPr>
        <w:t xml:space="preserve">Markowitz, H. (1959), “Portfolio Selection: Efficient Diversification of Investments”, Vol. 16, </w:t>
      </w:r>
      <w:r w:rsidRPr="007E408C">
        <w:rPr>
          <w:i/>
          <w:iCs/>
          <w:lang w:val="en-GB"/>
        </w:rPr>
        <w:t>John Wiley New York</w:t>
      </w:r>
    </w:p>
    <w:p w14:paraId="5AA537F6" w14:textId="77777777" w:rsidR="00FF2893" w:rsidRDefault="00FF2893" w:rsidP="00605485">
      <w:pPr>
        <w:pStyle w:val="References"/>
        <w:rPr>
          <w:lang w:val="en-GB"/>
        </w:rPr>
      </w:pPr>
      <w:r w:rsidRPr="00FF2893">
        <w:rPr>
          <w:lang w:val="en-GB"/>
        </w:rPr>
        <w:t xml:space="preserve">Bodie, Z., Kane, A. and Marcus, A. J. (2014), </w:t>
      </w:r>
      <w:r w:rsidRPr="005B7B69">
        <w:rPr>
          <w:i/>
          <w:iCs/>
          <w:lang w:val="en-GB"/>
        </w:rPr>
        <w:t>“Investments”, 10th edition, McGraw-Hill Education.</w:t>
      </w:r>
    </w:p>
    <w:p w14:paraId="2B8A2F99" w14:textId="7401B611" w:rsidR="007E408C" w:rsidRPr="007E408C" w:rsidRDefault="00FF2893" w:rsidP="007E408C">
      <w:pPr>
        <w:pStyle w:val="References"/>
        <w:rPr>
          <w:lang w:val="en-GB"/>
        </w:rPr>
      </w:pPr>
      <w:r w:rsidRPr="00FF2893">
        <w:rPr>
          <w:lang w:val="en-GB"/>
        </w:rPr>
        <w:t>Treynor, J. (1962), “Toward a Theory of Market Value of Risky Assets”</w:t>
      </w:r>
    </w:p>
    <w:p w14:paraId="1052F6DF" w14:textId="61082D4E" w:rsidR="00FF2893" w:rsidRDefault="00FF2893" w:rsidP="00605485">
      <w:pPr>
        <w:pStyle w:val="References"/>
        <w:rPr>
          <w:lang w:val="en-GB"/>
        </w:rPr>
      </w:pPr>
      <w:r w:rsidRPr="00FF2893">
        <w:rPr>
          <w:lang w:val="en-GB"/>
        </w:rPr>
        <w:t xml:space="preserve">De Bondt, W. F. and Thaler, R. (1985), „Does the Stock Market Overreact?”, </w:t>
      </w:r>
      <w:r w:rsidRPr="005B7B69">
        <w:rPr>
          <w:i/>
          <w:iCs/>
          <w:lang w:val="en-GB"/>
        </w:rPr>
        <w:t>The Journal</w:t>
      </w:r>
      <w:r w:rsidR="006061FA" w:rsidRPr="005B7B69">
        <w:rPr>
          <w:i/>
          <w:iCs/>
          <w:lang w:val="en-GB"/>
        </w:rPr>
        <w:t xml:space="preserve"> of Finance</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7E408C" w:rsidRDefault="00FF2893" w:rsidP="00605485">
      <w:pPr>
        <w:pStyle w:val="References"/>
        <w:rPr>
          <w:lang w:val="en-GB"/>
        </w:rPr>
      </w:pPr>
      <w:r w:rsidRPr="00C302BA">
        <w:rPr>
          <w:lang w:val="en-GB"/>
        </w:rPr>
        <w:t xml:space="preserve">Asness,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7E408C" w:rsidRDefault="00FF2893" w:rsidP="00605485">
      <w:pPr>
        <w:pStyle w:val="References"/>
        <w:rPr>
          <w:lang w:val="en-GB"/>
        </w:rPr>
      </w:pPr>
      <w:r w:rsidRPr="007E408C">
        <w:rPr>
          <w:lang w:val="en-GB"/>
        </w:rPr>
        <w:t xml:space="preserve">Barroso, P., Santa-Clara, P. (2012), “Momentum has its moments”, </w:t>
      </w:r>
      <w:r w:rsidRPr="007E408C">
        <w:rPr>
          <w:i/>
          <w:iCs/>
          <w:lang w:val="en-GB"/>
        </w:rPr>
        <w:t>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w:t>
      </w:r>
      <w:r w:rsidRPr="007E408C">
        <w:rPr>
          <w:i/>
          <w:iCs/>
          <w:lang w:val="en-GB"/>
        </w:rPr>
        <w:t xml:space="preserve">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4AB086A5" w14:textId="77777777" w:rsidR="00894A1E" w:rsidRPr="00775E40" w:rsidRDefault="00775E40" w:rsidP="00775E40">
      <w:pPr>
        <w:pStyle w:val="References"/>
        <w:rPr>
          <w:lang w:val="en-GB"/>
        </w:rPr>
      </w:pPr>
      <w:r w:rsidRPr="00775E40">
        <w:rPr>
          <w:lang w:val="en-GB"/>
        </w:rPr>
        <w:t>Lamont, O. A. and Thaler, R. H. (2003a), „Anomalies: The Law of One Price in Financial Markets”,</w:t>
      </w:r>
      <w:r w:rsidRPr="00775E40">
        <w:rPr>
          <w:i/>
          <w:iCs/>
          <w:lang w:val="en-GB"/>
        </w:rPr>
        <w:t xml:space="preserve"> Journal of Economic Perspectives 17(4)</w:t>
      </w:r>
    </w:p>
    <w:sectPr w:rsidR="00894A1E" w:rsidRPr="00775E40" w:rsidSect="00F93E8F">
      <w:headerReference w:type="even" r:id="rId10"/>
      <w:headerReference w:type="default" r:id="rId11"/>
      <w:footerReference w:type="even" r:id="rId12"/>
      <w:footerReference w:type="default" r:id="rId13"/>
      <w:type w:val="continuous"/>
      <w:pgSz w:w="11907" w:h="16839" w:code="9"/>
      <w:pgMar w:top="993" w:right="708" w:bottom="851" w:left="709" w:header="187" w:footer="216" w:gutter="0"/>
      <w:cols w:num="2" w:space="4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7FBD6" w14:textId="77777777" w:rsidR="00760813" w:rsidRDefault="00760813">
      <w:r>
        <w:separator/>
      </w:r>
    </w:p>
  </w:endnote>
  <w:endnote w:type="continuationSeparator" w:id="0">
    <w:p w14:paraId="677FCDC5" w14:textId="77777777" w:rsidR="00760813" w:rsidRDefault="007608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D93A3" w14:textId="77777777" w:rsidR="00760813" w:rsidRDefault="00760813"/>
  </w:footnote>
  <w:footnote w:type="continuationSeparator" w:id="0">
    <w:p w14:paraId="622F77F7" w14:textId="77777777" w:rsidR="00760813" w:rsidRDefault="007608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1544536041"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425825544"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479C3"/>
    <w:rsid w:val="00053099"/>
    <w:rsid w:val="0006545C"/>
    <w:rsid w:val="00092DDB"/>
    <w:rsid w:val="0009450F"/>
    <w:rsid w:val="000B3D86"/>
    <w:rsid w:val="000F6DE4"/>
    <w:rsid w:val="00106077"/>
    <w:rsid w:val="00120134"/>
    <w:rsid w:val="00161C5E"/>
    <w:rsid w:val="00165EDD"/>
    <w:rsid w:val="00173C6A"/>
    <w:rsid w:val="00182A8D"/>
    <w:rsid w:val="001B310F"/>
    <w:rsid w:val="001B6317"/>
    <w:rsid w:val="001C4830"/>
    <w:rsid w:val="001C5E06"/>
    <w:rsid w:val="00200999"/>
    <w:rsid w:val="00204494"/>
    <w:rsid w:val="002123BA"/>
    <w:rsid w:val="002725FF"/>
    <w:rsid w:val="00280979"/>
    <w:rsid w:val="00290F4F"/>
    <w:rsid w:val="002B0E4A"/>
    <w:rsid w:val="002B6F01"/>
    <w:rsid w:val="002D4C67"/>
    <w:rsid w:val="00337AFE"/>
    <w:rsid w:val="003464D0"/>
    <w:rsid w:val="003A037C"/>
    <w:rsid w:val="003A4286"/>
    <w:rsid w:val="003B2F07"/>
    <w:rsid w:val="003B45AE"/>
    <w:rsid w:val="003D226A"/>
    <w:rsid w:val="003D4CD8"/>
    <w:rsid w:val="003E0A95"/>
    <w:rsid w:val="003E1B3E"/>
    <w:rsid w:val="003E5ED6"/>
    <w:rsid w:val="004257EB"/>
    <w:rsid w:val="00434059"/>
    <w:rsid w:val="004A6849"/>
    <w:rsid w:val="004D01B1"/>
    <w:rsid w:val="004D33B3"/>
    <w:rsid w:val="00525574"/>
    <w:rsid w:val="00544E72"/>
    <w:rsid w:val="00563644"/>
    <w:rsid w:val="0056390A"/>
    <w:rsid w:val="00565A18"/>
    <w:rsid w:val="00571CD5"/>
    <w:rsid w:val="005765C5"/>
    <w:rsid w:val="005960B3"/>
    <w:rsid w:val="005A7985"/>
    <w:rsid w:val="005B6A3A"/>
    <w:rsid w:val="005B7B69"/>
    <w:rsid w:val="005C19D1"/>
    <w:rsid w:val="005C1D6D"/>
    <w:rsid w:val="005E35D9"/>
    <w:rsid w:val="005F2365"/>
    <w:rsid w:val="00605485"/>
    <w:rsid w:val="006061FA"/>
    <w:rsid w:val="00612E1F"/>
    <w:rsid w:val="006254B3"/>
    <w:rsid w:val="00627508"/>
    <w:rsid w:val="0065458A"/>
    <w:rsid w:val="00666A6D"/>
    <w:rsid w:val="00676696"/>
    <w:rsid w:val="00695EB9"/>
    <w:rsid w:val="00697E9F"/>
    <w:rsid w:val="006B07DC"/>
    <w:rsid w:val="006C4E75"/>
    <w:rsid w:val="006D6216"/>
    <w:rsid w:val="006F2B5F"/>
    <w:rsid w:val="00720142"/>
    <w:rsid w:val="00721758"/>
    <w:rsid w:val="00731AC2"/>
    <w:rsid w:val="00734A22"/>
    <w:rsid w:val="00760813"/>
    <w:rsid w:val="00775E40"/>
    <w:rsid w:val="0077708A"/>
    <w:rsid w:val="007833CD"/>
    <w:rsid w:val="00787122"/>
    <w:rsid w:val="00792A02"/>
    <w:rsid w:val="007C0E6D"/>
    <w:rsid w:val="007C5EB3"/>
    <w:rsid w:val="007E408C"/>
    <w:rsid w:val="007F08A9"/>
    <w:rsid w:val="00804F80"/>
    <w:rsid w:val="00805D4F"/>
    <w:rsid w:val="00835875"/>
    <w:rsid w:val="008358C4"/>
    <w:rsid w:val="00855805"/>
    <w:rsid w:val="0087023B"/>
    <w:rsid w:val="00894A1E"/>
    <w:rsid w:val="008B4747"/>
    <w:rsid w:val="008B48D1"/>
    <w:rsid w:val="00903433"/>
    <w:rsid w:val="00936230"/>
    <w:rsid w:val="00953432"/>
    <w:rsid w:val="00960ABD"/>
    <w:rsid w:val="0096637C"/>
    <w:rsid w:val="009B5BB2"/>
    <w:rsid w:val="009C0274"/>
    <w:rsid w:val="009D06A4"/>
    <w:rsid w:val="009D6E5A"/>
    <w:rsid w:val="009F1954"/>
    <w:rsid w:val="00A016DD"/>
    <w:rsid w:val="00A5350A"/>
    <w:rsid w:val="00A61EBB"/>
    <w:rsid w:val="00AB6661"/>
    <w:rsid w:val="00AC7AD8"/>
    <w:rsid w:val="00B03A26"/>
    <w:rsid w:val="00B15A92"/>
    <w:rsid w:val="00B50BF0"/>
    <w:rsid w:val="00B97714"/>
    <w:rsid w:val="00BA5AC9"/>
    <w:rsid w:val="00BB5D70"/>
    <w:rsid w:val="00BC28D1"/>
    <w:rsid w:val="00BE0B69"/>
    <w:rsid w:val="00C00AA6"/>
    <w:rsid w:val="00C012D0"/>
    <w:rsid w:val="00C30EE6"/>
    <w:rsid w:val="00C50267"/>
    <w:rsid w:val="00C51965"/>
    <w:rsid w:val="00C571A2"/>
    <w:rsid w:val="00C64A13"/>
    <w:rsid w:val="00C857E1"/>
    <w:rsid w:val="00C8649E"/>
    <w:rsid w:val="00CA2017"/>
    <w:rsid w:val="00CB29C8"/>
    <w:rsid w:val="00CB654C"/>
    <w:rsid w:val="00CC38D0"/>
    <w:rsid w:val="00CD5F3B"/>
    <w:rsid w:val="00CE46C3"/>
    <w:rsid w:val="00CF117B"/>
    <w:rsid w:val="00D0150E"/>
    <w:rsid w:val="00D12B04"/>
    <w:rsid w:val="00D5325D"/>
    <w:rsid w:val="00D66039"/>
    <w:rsid w:val="00D66FC5"/>
    <w:rsid w:val="00D76AA1"/>
    <w:rsid w:val="00D9137F"/>
    <w:rsid w:val="00E21949"/>
    <w:rsid w:val="00E45B96"/>
    <w:rsid w:val="00E63757"/>
    <w:rsid w:val="00E63D0E"/>
    <w:rsid w:val="00E9006E"/>
    <w:rsid w:val="00E950F6"/>
    <w:rsid w:val="00E953EF"/>
    <w:rsid w:val="00EA4DFB"/>
    <w:rsid w:val="00EB092C"/>
    <w:rsid w:val="00EB629D"/>
    <w:rsid w:val="00EE771C"/>
    <w:rsid w:val="00F42F8B"/>
    <w:rsid w:val="00F50ABA"/>
    <w:rsid w:val="00F63546"/>
    <w:rsid w:val="00F85D50"/>
    <w:rsid w:val="00F86191"/>
    <w:rsid w:val="00F87565"/>
    <w:rsid w:val="00F9275E"/>
    <w:rsid w:val="00F93E8F"/>
    <w:rsid w:val="00FA7A6F"/>
    <w:rsid w:val="00FC00B1"/>
    <w:rsid w:val="00FD04E3"/>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2717</Words>
  <Characters>15490</Characters>
  <Application>Microsoft Office Word</Application>
  <DocSecurity>0</DocSecurity>
  <Lines>129</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18171</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41</cp:revision>
  <cp:lastPrinted>2025-02-21T11:28:00Z</cp:lastPrinted>
  <dcterms:created xsi:type="dcterms:W3CDTF">2025-02-21T09:42:00Z</dcterms:created>
  <dcterms:modified xsi:type="dcterms:W3CDTF">2025-02-21T13:19:00Z</dcterms:modified>
</cp:coreProperties>
</file>