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rPr>
          <w:rFonts w:ascii="Calibri" w:cs="Calibri" w:eastAsia="Calibri" w:hAnsi="Calibri"/>
          <w:b/>
          <w:bCs/>
          <w:i w:val="false"/>
          <w:iCs w:val="false"/>
          <w:color w:val="8A5A2B"/>
          <w:spacing w:val="26"/>
          <w:sz w:val="16"/>
          <w:szCs w:val="16"/>
        </w:rPr>
        <w:t xml:space="preserve">SBD WIP FACILITATOR CERTIFICATION  ·  LEVEL 2 · ADVANCED FACILITATOR</w:t>
      </w:r>
    </w:p>
    <w:p>
      <w:pPr>
        <w:spacing w:after="0" w:before="160"/>
      </w:pPr>
      <w:r>
        <w:rPr>
          <w:rFonts w:ascii="Georgia" w:cs="Georgia" w:eastAsia="Georgia" w:hAnsi="Georgia"/>
          <w:b/>
          <w:bCs/>
          <w:i w:val="false"/>
          <w:iCs w:val="false"/>
          <w:color w:val="8A5A2B"/>
          <w:sz w:val="30"/>
          <w:szCs w:val="30"/>
        </w:rPr>
        <w:t xml:space="preserve">Module 10</w:t>
      </w:r>
    </w:p>
    <w:p>
      <w:pPr>
        <w:spacing w:after="6"/>
      </w:pPr>
      <w:r>
        <w:rPr>
          <w:rFonts w:ascii="Calibri" w:cs="Calibri" w:eastAsia="Calibri" w:hAnsi="Calibri"/>
          <w:b/>
          <w:bCs/>
          <w:i w:val="false"/>
          <w:iCs w:val="false"/>
          <w:color w:val="6B7B8C"/>
          <w:spacing w:val="10"/>
          <w:sz w:val="19"/>
          <w:szCs w:val="19"/>
        </w:rPr>
        <w:t xml:space="preserve">Level 2 · Module 4 of 4</w:t>
      </w:r>
    </w:p>
    <w:p>
      <w:pPr>
        <w:spacing w:after="40" w:before="20"/>
      </w:pPr>
      <w:r>
        <w:rPr>
          <w:rFonts w:ascii="Georgia" w:cs="Georgia" w:eastAsia="Georgia" w:hAnsi="Georgia"/>
          <w:b/>
          <w:bCs/>
          <w:i w:val="false"/>
          <w:iCs w:val="false"/>
          <w:color w:val="1E2761"/>
          <w:sz w:val="44"/>
          <w:szCs w:val="44"/>
        </w:rPr>
        <w:t xml:space="preserve">Organizational Change Management</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The best program in the world fails if the organization will not embrace it. This final Level 2 module is about leading the change, not just designing it.</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6 hours   ·   Completes the 24-hour Level 2 program   ·   Prerequisite: Level 1 certification</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w:t>
      </w:r>
    </w:p>
    <w:p>
      <w:pPr>
        <w:spacing w:after="150" w:before="0" w:line="292"/>
      </w:pPr>
      <w:r>
        <w:rPr>
          <w:rFonts w:ascii="Calibri" w:cs="Calibri" w:eastAsia="Calibri" w:hAnsi="Calibri"/>
          <w:b w:val="false"/>
          <w:bCs w:val="false"/>
          <w:i w:val="false"/>
          <w:iCs w:val="false"/>
          <w:color w:val="2E3B4B"/>
          <w:sz w:val="22"/>
          <w:szCs w:val="22"/>
        </w:rPr>
        <w:t xml:space="preserve">This is the last module of Level 2, and it addresses the thing that quietly defeats good programs more than any other: the organization simply does not adopt them. You can design a flawless program, prove it with data, and still watch it die because the people who had to embrace it never did. Change is not announced. It is led.</w:t>
      </w:r>
    </w:p>
    <w:p>
      <w:pPr>
        <w:spacing w:after="150" w:before="0" w:line="292"/>
      </w:pPr>
      <w:r>
        <w:rPr>
          <w:rFonts w:ascii="Calibri" w:cs="Calibri" w:eastAsia="Calibri" w:hAnsi="Calibri"/>
          <w:b w:val="false"/>
          <w:bCs w:val="false"/>
          <w:i w:val="false"/>
          <w:iCs w:val="false"/>
          <w:color w:val="2E3B4B"/>
          <w:sz w:val="22"/>
          <w:szCs w:val="22"/>
        </w:rPr>
        <w:t xml:space="preserve">As an advanced facilitator, you are often the person introducing SBD into a facility that has done things the same way for decades. That makes you a change leader whether you signed up for it or not. This module gives you the discipline of change: how to roll it out in phases, how to meet resistance without fighting it, how to earn buy-in from three very different audiences, and how to make the change permanent instead of a program everyone quietly abandons once the attention moves on.</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Why good programs die.</w:t>
            </w:r>
          </w:p>
          <w:p>
            <w:pPr>
              <w:spacing w:after="100" w:before="0" w:line="284"/>
            </w:pPr>
            <w:r>
              <w:rPr>
                <w:rFonts w:ascii="Calibri" w:cs="Calibri" w:eastAsia="Calibri" w:hAnsi="Calibri"/>
                <w:b w:val="false"/>
                <w:bCs w:val="false"/>
                <w:i w:val="false"/>
                <w:iCs w:val="false"/>
                <w:color w:val="2E3B4B"/>
                <w:sz w:val="22"/>
                <w:szCs w:val="22"/>
              </w:rPr>
              <w:t xml:space="preserve">The graveyard of healthcare is full of good programs that failed on adoption, not merit. They were announced in a meeting, launched with enthusiasm, and abandoned within a year because no one led the human side of the change. Your program's quality is necessary but not sufficient. What makes it last is how you bring people through the change, and that is a skill as real as coaching or observation.</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 of Module 10:</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Lead an SBD implementation </w:t>
      </w:r>
      <w:r>
        <w:rPr>
          <w:rFonts w:ascii="Calibri" w:cs="Calibri" w:eastAsia="Calibri" w:hAnsi="Calibri"/>
          <w:b w:val="false"/>
          <w:bCs w:val="false"/>
          <w:i w:val="false"/>
          <w:iCs w:val="false"/>
          <w:color w:val="2E3B4B"/>
          <w:sz w:val="22"/>
          <w:szCs w:val="22"/>
        </w:rPr>
        <w:t xml:space="preserve">in a new facility, in phases, not all at once.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Manage resistance </w:t>
      </w:r>
      <w:r>
        <w:rPr>
          <w:rFonts w:ascii="Calibri" w:cs="Calibri" w:eastAsia="Calibri" w:hAnsi="Calibri"/>
          <w:b w:val="false"/>
          <w:bCs w:val="false"/>
          <w:i w:val="false"/>
          <w:iCs w:val="false"/>
          <w:color w:val="2E3B4B"/>
          <w:sz w:val="22"/>
          <w:szCs w:val="22"/>
        </w:rPr>
        <w:t xml:space="preserve">by addressing the fear underneath it, not fighting the objection.</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Build buy-in </w:t>
      </w:r>
      <w:r>
        <w:rPr>
          <w:rFonts w:ascii="Calibri" w:cs="Calibri" w:eastAsia="Calibri" w:hAnsi="Calibri"/>
          <w:b w:val="false"/>
          <w:bCs w:val="false"/>
          <w:i w:val="false"/>
          <w:iCs w:val="false"/>
          <w:color w:val="2E3B4B"/>
          <w:sz w:val="22"/>
          <w:szCs w:val="22"/>
        </w:rPr>
        <w:t xml:space="preserve">with executives, physicians, and staff, each in their own language.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Sustain the change </w:t>
      </w:r>
      <w:r>
        <w:rPr>
          <w:rFonts w:ascii="Calibri" w:cs="Calibri" w:eastAsia="Calibri" w:hAnsi="Calibri"/>
          <w:b w:val="false"/>
          <w:bCs w:val="false"/>
          <w:i w:val="false"/>
          <w:iCs w:val="false"/>
          <w:color w:val="2E3B4B"/>
          <w:sz w:val="22"/>
          <w:szCs w:val="22"/>
        </w:rPr>
        <w:t xml:space="preserve">so it becomes how the department works, not a passing initiative.</w:t>
      </w:r>
    </w:p>
    <w:p>
      <w:r>
        <w:br w:type="page"/>
      </w:r>
    </w:p>
    <w:p>
      <w:pPr>
        <w:spacing w:after="30" w:before="40"/>
      </w:pPr>
      <w:r>
        <w:rPr>
          <w:rFonts w:ascii="Calibri" w:cs="Calibri" w:eastAsia="Calibri" w:hAnsi="Calibri"/>
          <w:b/>
          <w:bCs/>
          <w:i w:val="false"/>
          <w:iCs w:val="false"/>
          <w:color w:val="8A5A2B"/>
          <w:spacing w:val="34"/>
          <w:sz w:val="16"/>
          <w:szCs w:val="16"/>
        </w:rPr>
        <w:t xml:space="preserve">SECTION 1 OF 4</w:t>
      </w:r>
    </w:p>
    <w:p>
      <w:pPr>
        <w:pStyle w:val="Heading1"/>
        <w:spacing w:after="150" w:before="360"/>
      </w:pPr>
      <w:r>
        <w:rPr>
          <w:rFonts w:ascii="Georgia" w:cs="Georgia" w:eastAsia="Georgia" w:hAnsi="Georgia"/>
          <w:b/>
          <w:bCs/>
          <w:i w:val="false"/>
          <w:iCs w:val="false"/>
          <w:color w:val="1E2761"/>
          <w:sz w:val="34"/>
          <w:szCs w:val="34"/>
        </w:rPr>
        <w:t xml:space="preserve">Leading an implementation</w:t>
      </w:r>
    </w:p>
    <w:p>
      <w:pPr>
        <w:spacing w:after="170" w:before="0" w:line="300"/>
      </w:pPr>
      <w:r>
        <w:rPr>
          <w:rFonts w:ascii="Georgia" w:cs="Georgia" w:eastAsia="Georgia" w:hAnsi="Georgia"/>
          <w:b w:val="false"/>
          <w:bCs w:val="false"/>
          <w:i/>
          <w:iCs/>
          <w:color w:val="1E2761"/>
          <w:sz w:val="23"/>
          <w:szCs w:val="23"/>
        </w:rPr>
        <w:t xml:space="preserve">You do not flip a switch. You lead a phased rollout that builds proof and belief before it asks for full commitment.</w:t>
      </w:r>
    </w:p>
    <w:p>
      <w:pPr>
        <w:pStyle w:val="Heading2"/>
        <w:spacing w:after="110" w:before="320"/>
      </w:pPr>
      <w:r>
        <w:rPr>
          <w:rFonts w:ascii="Calibri" w:cs="Calibri" w:eastAsia="Calibri" w:hAnsi="Calibri"/>
          <w:b/>
          <w:bCs/>
          <w:i w:val="false"/>
          <w:iCs w:val="false"/>
          <w:color w:val="0E1726"/>
          <w:sz w:val="27"/>
          <w:szCs w:val="27"/>
        </w:rPr>
        <w:t xml:space="preserve">Why phased, not all at once</w:t>
      </w:r>
    </w:p>
    <w:p>
      <w:pPr>
        <w:spacing w:after="150" w:before="0" w:line="292"/>
      </w:pPr>
      <w:r>
        <w:rPr>
          <w:rFonts w:ascii="Calibri" w:cs="Calibri" w:eastAsia="Calibri" w:hAnsi="Calibri"/>
          <w:b w:val="false"/>
          <w:bCs w:val="false"/>
          <w:i w:val="false"/>
          <w:iCs w:val="false"/>
          <w:color w:val="2E3B4B"/>
          <w:sz w:val="22"/>
          <w:szCs w:val="22"/>
        </w:rPr>
        <w:t xml:space="preserve">The instinct to launch everything on day one is the instinct that kills rollouts. A whole-facility overnight change overwhelms people, magnifies every early problem, and gives skeptics a big target. A phased rollout does the opposite: it starts small, produces a visible win, and lets that win do the persuading. You are not just installing a program; you are building belief, one phase at a time.</w:t>
      </w:r>
    </w:p>
    <w:tbl>
      <w:tblPr>
        <w:tblW w:type="dxa" w:w="9840"/>
        <w:tblBorders>
          <w:top w:val="none"/>
          <w:left w:val="none"/>
          <w:bottom w:val="none"/>
          <w:right w:val="none"/>
          <w:insideH w:val="single" w:color="auto" w:sz="4"/>
          <w:insideV w:val="single" w:color="auto" w:sz="4"/>
        </w:tblBorders>
      </w:tblPr>
      <w:tblGrid>
        <w:gridCol w:w="1500"/>
        <w:gridCol w:w="8340"/>
      </w:tblGrid>
      <w:tr>
        <w:tc>
          <w:tcPr>
            <w:tcW w:type="dxa" w:w="1500"/>
            <w:shd w:fill="1E5FA8" w:color="auto" w:val="clear"/>
            <w:tcMar>
              <w:top w:type="dxa" w:w="120"/>
              <w:left w:type="dxa" w:w="140"/>
              <w:bottom w:type="dxa" w:w="120"/>
              <w:right w:type="dxa" w:w="140"/>
            </w:tcMar>
            <w:vAlign w:val="center"/>
          </w:tcPr>
          <w:p>
            <w:pPr>
              <w:jc w:val="center"/>
            </w:pPr>
            <w:r>
              <w:rPr>
                <w:rFonts w:ascii="Georgia" w:cs="Georgia" w:eastAsia="Georgia" w:hAnsi="Georgia"/>
                <w:b/>
                <w:bCs/>
                <w:i w:val="false"/>
                <w:iCs w:val="false"/>
                <w:color w:val="FFFFFF"/>
                <w:sz w:val="26"/>
                <w:szCs w:val="26"/>
              </w:rPr>
              <w:t xml:space="preserve">1</w:t>
            </w:r>
          </w:p>
        </w:tc>
        <w:tc>
          <w:tcPr>
            <w:tcW w:type="dxa" w:w="83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Assess and prepare</w:t>
            </w:r>
          </w:p>
          <w:p>
            <w:r>
              <w:rPr>
                <w:rFonts w:ascii="Calibri" w:cs="Calibri" w:eastAsia="Calibri" w:hAnsi="Calibri"/>
                <w:b w:val="false"/>
                <w:bCs w:val="false"/>
                <w:i w:val="false"/>
                <w:iCs w:val="false"/>
                <w:color w:val="2E3B4B"/>
                <w:sz w:val="20"/>
                <w:szCs w:val="20"/>
              </w:rPr>
              <w:t xml:space="preserve">Map the stakeholders, read the facility's readiness, and identify where an early win is most achievable. Do not launch into unknown ground.</w:t>
            </w:r>
          </w:p>
        </w:tc>
      </w:tr>
    </w:tbl>
    <w:tbl>
      <w:tblPr>
        <w:tblW w:type="dxa" w:w="9840"/>
        <w:tblBorders>
          <w:top w:val="none"/>
          <w:left w:val="none"/>
          <w:bottom w:val="none"/>
          <w:right w:val="none"/>
          <w:insideH w:val="single" w:color="auto" w:sz="4"/>
          <w:insideV w:val="single" w:color="auto" w:sz="4"/>
        </w:tblBorders>
      </w:tblPr>
      <w:tblGrid>
        <w:gridCol w:w="1500"/>
        <w:gridCol w:w="8340"/>
      </w:tblGrid>
      <w:tr>
        <w:tc>
          <w:tcPr>
            <w:tcW w:type="dxa" w:w="1500"/>
            <w:shd w:fill="1C7293" w:color="auto" w:val="clear"/>
            <w:tcMar>
              <w:top w:type="dxa" w:w="120"/>
              <w:left w:type="dxa" w:w="140"/>
              <w:bottom w:type="dxa" w:w="120"/>
              <w:right w:type="dxa" w:w="140"/>
            </w:tcMar>
            <w:vAlign w:val="center"/>
          </w:tcPr>
          <w:p>
            <w:pPr>
              <w:jc w:val="center"/>
            </w:pPr>
            <w:r>
              <w:rPr>
                <w:rFonts w:ascii="Georgia" w:cs="Georgia" w:eastAsia="Georgia" w:hAnsi="Georgia"/>
                <w:b/>
                <w:bCs/>
                <w:i w:val="false"/>
                <w:iCs w:val="false"/>
                <w:color w:val="FFFFFF"/>
                <w:sz w:val="26"/>
                <w:szCs w:val="26"/>
              </w:rPr>
              <w:t xml:space="preserve">2</w:t>
            </w:r>
          </w:p>
        </w:tc>
        <w:tc>
          <w:tcPr>
            <w:tcW w:type="dxa" w:w="83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Pilot small</w:t>
            </w:r>
          </w:p>
          <w:p>
            <w:r>
              <w:rPr>
                <w:rFonts w:ascii="Calibri" w:cs="Calibri" w:eastAsia="Calibri" w:hAnsi="Calibri"/>
                <w:b w:val="false"/>
                <w:bCs w:val="false"/>
                <w:i w:val="false"/>
                <w:iCs w:val="false"/>
                <w:color w:val="2E3B4B"/>
                <w:sz w:val="20"/>
                <w:szCs w:val="20"/>
              </w:rPr>
              <w:t xml:space="preserve">Start with one area, one cohort, or one shift. Contain the risk, work out the friction, and gather real local proof.</w:t>
            </w:r>
          </w:p>
        </w:tc>
      </w:tr>
    </w:tbl>
    <w:tbl>
      <w:tblPr>
        <w:tblW w:type="dxa" w:w="9840"/>
        <w:tblBorders>
          <w:top w:val="none"/>
          <w:left w:val="none"/>
          <w:bottom w:val="none"/>
          <w:right w:val="none"/>
          <w:insideH w:val="single" w:color="auto" w:sz="4"/>
          <w:insideV w:val="single" w:color="auto" w:sz="4"/>
        </w:tblBorders>
      </w:tblPr>
      <w:tblGrid>
        <w:gridCol w:w="1500"/>
        <w:gridCol w:w="8340"/>
      </w:tblGrid>
      <w:tr>
        <w:tc>
          <w:tcPr>
            <w:tcW w:type="dxa" w:w="1500"/>
            <w:shd w:fill="8A5A2B" w:color="auto" w:val="clear"/>
            <w:tcMar>
              <w:top w:type="dxa" w:w="120"/>
              <w:left w:type="dxa" w:w="140"/>
              <w:bottom w:type="dxa" w:w="120"/>
              <w:right w:type="dxa" w:w="140"/>
            </w:tcMar>
            <w:vAlign w:val="center"/>
          </w:tcPr>
          <w:p>
            <w:pPr>
              <w:jc w:val="center"/>
            </w:pPr>
            <w:r>
              <w:rPr>
                <w:rFonts w:ascii="Georgia" w:cs="Georgia" w:eastAsia="Georgia" w:hAnsi="Georgia"/>
                <w:b/>
                <w:bCs/>
                <w:i w:val="false"/>
                <w:iCs w:val="false"/>
                <w:color w:val="FFFFFF"/>
                <w:sz w:val="26"/>
                <w:szCs w:val="26"/>
              </w:rPr>
              <w:t xml:space="preserve">3</w:t>
            </w:r>
          </w:p>
        </w:tc>
        <w:tc>
          <w:tcPr>
            <w:tcW w:type="dxa" w:w="83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Show the win</w:t>
            </w:r>
          </w:p>
          <w:p>
            <w:r>
              <w:rPr>
                <w:rFonts w:ascii="Calibri" w:cs="Calibri" w:eastAsia="Calibri" w:hAnsi="Calibri"/>
                <w:b w:val="false"/>
                <w:bCs w:val="false"/>
                <w:i w:val="false"/>
                <w:iCs w:val="false"/>
                <w:color w:val="2E3B4B"/>
                <w:sz w:val="20"/>
                <w:szCs w:val="20"/>
              </w:rPr>
              <w:t xml:space="preserve">Make the pilot's results visible to everyone. A concrete local result persuades the undecided far better than any pitch.</w:t>
            </w:r>
          </w:p>
        </w:tc>
      </w:tr>
    </w:tbl>
    <w:tbl>
      <w:tblPr>
        <w:tblW w:type="dxa" w:w="9840"/>
        <w:tblBorders>
          <w:top w:val="none"/>
          <w:left w:val="none"/>
          <w:bottom w:val="none"/>
          <w:right w:val="none"/>
          <w:insideH w:val="single" w:color="auto" w:sz="4"/>
          <w:insideV w:val="single" w:color="auto" w:sz="4"/>
        </w:tblBorders>
      </w:tblPr>
      <w:tblGrid>
        <w:gridCol w:w="1500"/>
        <w:gridCol w:w="8340"/>
      </w:tblGrid>
      <w:tr>
        <w:tc>
          <w:tcPr>
            <w:tcW w:type="dxa" w:w="1500"/>
            <w:shd w:fill="1C5C30" w:color="auto" w:val="clear"/>
            <w:tcMar>
              <w:top w:type="dxa" w:w="120"/>
              <w:left w:type="dxa" w:w="140"/>
              <w:bottom w:type="dxa" w:w="120"/>
              <w:right w:type="dxa" w:w="140"/>
            </w:tcMar>
            <w:vAlign w:val="center"/>
          </w:tcPr>
          <w:p>
            <w:pPr>
              <w:jc w:val="center"/>
            </w:pPr>
            <w:r>
              <w:rPr>
                <w:rFonts w:ascii="Georgia" w:cs="Georgia" w:eastAsia="Georgia" w:hAnsi="Georgia"/>
                <w:b/>
                <w:bCs/>
                <w:i w:val="false"/>
                <w:iCs w:val="false"/>
                <w:color w:val="FFFFFF"/>
                <w:sz w:val="26"/>
                <w:szCs w:val="26"/>
              </w:rPr>
              <w:t xml:space="preserve">4</w:t>
            </w:r>
          </w:p>
        </w:tc>
        <w:tc>
          <w:tcPr>
            <w:tcW w:type="dxa" w:w="8340"/>
            <w:shd w:fill="F4F6F9" w:color="auto" w:val="clear"/>
            <w:tcMar>
              <w:top w:type="dxa" w:w="120"/>
              <w:left w:type="dxa" w:w="200"/>
              <w:bottom w:type="dxa" w:w="120"/>
              <w:right w:type="dxa" w:w="200"/>
            </w:tcMar>
            <w:vAlign w:val="center"/>
          </w:tcPr>
          <w:p>
            <w:pPr>
              <w:spacing w:after="40"/>
            </w:pPr>
            <w:r>
              <w:rPr>
                <w:rFonts w:ascii="Calibri" w:cs="Calibri" w:eastAsia="Calibri" w:hAnsi="Calibri"/>
                <w:b/>
                <w:bCs/>
                <w:i w:val="false"/>
                <w:iCs w:val="false"/>
                <w:color w:val="0E1726"/>
                <w:sz w:val="21"/>
                <w:szCs w:val="21"/>
              </w:rPr>
              <w:t xml:space="preserve">Expand deliberately</w:t>
            </w:r>
          </w:p>
          <w:p>
            <w:r>
              <w:rPr>
                <w:rFonts w:ascii="Calibri" w:cs="Calibri" w:eastAsia="Calibri" w:hAnsi="Calibri"/>
                <w:b w:val="false"/>
                <w:bCs w:val="false"/>
                <w:i w:val="false"/>
                <w:iCs w:val="false"/>
                <w:color w:val="2E3B4B"/>
                <w:sz w:val="20"/>
                <w:szCs w:val="20"/>
              </w:rPr>
              <w:t xml:space="preserve">Scale from the proven pilot outward, carrying the credibility and the lessons with you. Growth rides on the win, not on mandate.</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Quick wins buy you the room to do the deep work.</w:t>
            </w:r>
          </w:p>
          <w:p>
            <w:pPr>
              <w:spacing w:after="100" w:before="0" w:line="284"/>
            </w:pPr>
            <w:r>
              <w:rPr>
                <w:rFonts w:ascii="Calibri" w:cs="Calibri" w:eastAsia="Calibri" w:hAnsi="Calibri"/>
                <w:b w:val="false"/>
                <w:bCs w:val="false"/>
                <w:i w:val="false"/>
                <w:iCs w:val="false"/>
                <w:color w:val="2E3B4B"/>
                <w:sz w:val="22"/>
                <w:szCs w:val="22"/>
              </w:rPr>
              <w:t xml:space="preserve">Every phased rollout balances two things: the quick win that builds momentum and belief, and the long-term transformation that actually changes the department. You need both, and in that order. The quick win is not the goal; it is what earns you the credibility and patience to pursue the real, slower change underneath. Skip the quick win and you run out of goodwill before the transformation lands.</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Name the four phases of a rollout in order, and one thing that happens in each. Then explain, in one sentence, why a quick win matters even though it is not the real goal.</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4</w:t>
      </w:r>
    </w:p>
    <w:p>
      <w:pPr>
        <w:pStyle w:val="Heading1"/>
        <w:spacing w:after="150" w:before="360"/>
      </w:pPr>
      <w:r>
        <w:rPr>
          <w:rFonts w:ascii="Georgia" w:cs="Georgia" w:eastAsia="Georgia" w:hAnsi="Georgia"/>
          <w:b/>
          <w:bCs/>
          <w:i w:val="false"/>
          <w:iCs w:val="false"/>
          <w:color w:val="1E2761"/>
          <w:sz w:val="34"/>
          <w:szCs w:val="34"/>
        </w:rPr>
        <w:t xml:space="preserve">Managing resistance</w:t>
      </w:r>
    </w:p>
    <w:p>
      <w:pPr>
        <w:spacing w:after="170" w:before="0" w:line="300"/>
      </w:pPr>
      <w:r>
        <w:rPr>
          <w:rFonts w:ascii="Georgia" w:cs="Georgia" w:eastAsia="Georgia" w:hAnsi="Georgia"/>
          <w:b w:val="false"/>
          <w:bCs w:val="false"/>
          <w:i/>
          <w:iCs/>
          <w:color w:val="1E2761"/>
          <w:sz w:val="23"/>
          <w:szCs w:val="23"/>
        </w:rPr>
        <w:t xml:space="preserve">Resistance is not the enemy. It is information about a fear you have not yet addressed. Fight the objection and you lose; address the fear and you often win the person.</w:t>
      </w:r>
    </w:p>
    <w:p>
      <w:pPr>
        <w:pStyle w:val="Heading2"/>
        <w:spacing w:after="110" w:before="320"/>
      </w:pPr>
      <w:r>
        <w:rPr>
          <w:rFonts w:ascii="Calibri" w:cs="Calibri" w:eastAsia="Calibri" w:hAnsi="Calibri"/>
          <w:b/>
          <w:bCs/>
          <w:i w:val="false"/>
          <w:iCs w:val="false"/>
          <w:color w:val="0E1726"/>
          <w:sz w:val="27"/>
          <w:szCs w:val="27"/>
        </w:rPr>
        <w:t xml:space="preserve">What resistance really is</w:t>
      </w:r>
    </w:p>
    <w:p>
      <w:pPr>
        <w:spacing w:after="150" w:before="0" w:line="292"/>
      </w:pPr>
      <w:r>
        <w:rPr>
          <w:rFonts w:ascii="Calibri" w:cs="Calibri" w:eastAsia="Calibri" w:hAnsi="Calibri"/>
          <w:b w:val="false"/>
          <w:bCs w:val="false"/>
          <w:i w:val="false"/>
          <w:iCs w:val="false"/>
          <w:color w:val="2E3B4B"/>
          <w:sz w:val="22"/>
          <w:szCs w:val="22"/>
        </w:rPr>
        <w:t xml:space="preserve">When people resist a change, they are almost never arguing about the thing they name. Underneath “this is a waste of time” is usually a fear: of being exposed as not good enough, of losing status, of extra work with no benefit, of a past change that burned them. If you argue the surface objection, you are fighting the wrong battle. Name and address the fear, and the objection often dissolves on its own.</w:t>
      </w:r>
    </w:p>
    <w:p>
      <w:pPr>
        <w:pStyle w:val="Heading2"/>
        <w:spacing w:after="110" w:before="320"/>
      </w:pPr>
      <w:r>
        <w:rPr>
          <w:rFonts w:ascii="Calibri" w:cs="Calibri" w:eastAsia="Calibri" w:hAnsi="Calibri"/>
          <w:b/>
          <w:bCs/>
          <w:i w:val="false"/>
          <w:iCs w:val="false"/>
          <w:color w:val="0E1726"/>
          <w:sz w:val="27"/>
          <w:szCs w:val="27"/>
        </w:rPr>
        <w:t xml:space="preserve">The common objections, and what is under them</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40"/>
              <w:left w:type="dxa" w:w="220"/>
              <w:bottom w:type="dxa" w:w="140"/>
              <w:right w:type="dxa" w:w="220"/>
            </w:tcMar>
          </w:tcPr>
          <w:p>
            <w:pPr>
              <w:spacing w:after="60"/>
            </w:pPr>
            <w:r>
              <w:rPr>
                <w:rFonts w:ascii="Calibri" w:cs="Calibri" w:eastAsia="Calibri" w:hAnsi="Calibri"/>
                <w:b/>
                <w:bCs/>
                <w:i w:val="false"/>
                <w:iCs w:val="false"/>
                <w:color w:val="8A5A2B"/>
                <w:sz w:val="20"/>
                <w:szCs w:val="20"/>
              </w:rPr>
              <w:t xml:space="preserve">A veteran tech:  </w:t>
            </w:r>
            <w:r>
              <w:rPr>
                <w:rFonts w:ascii="Calibri" w:cs="Calibri" w:eastAsia="Calibri" w:hAnsi="Calibri"/>
                <w:b w:val="false"/>
                <w:bCs w:val="false"/>
                <w:i/>
                <w:iCs/>
                <w:color w:val="2E3B4B"/>
                <w:sz w:val="20"/>
                <w:szCs w:val="20"/>
              </w:rPr>
              <w:t xml:space="preserve">“I've done this for twenty years. I don't need a belt to prove I'm good.”</w:t>
            </w:r>
          </w:p>
          <w:p>
            <w:r>
              <w:rPr>
                <w:rFonts w:ascii="Calibri" w:cs="Calibri" w:eastAsia="Calibri" w:hAnsi="Calibri"/>
                <w:b/>
                <w:bCs/>
                <w:i w:val="false"/>
                <w:iCs w:val="false"/>
                <w:color w:val="1C5C30"/>
                <w:sz w:val="20"/>
                <w:szCs w:val="20"/>
              </w:rPr>
              <w:t xml:space="preserve">You:  </w:t>
            </w:r>
            <w:r>
              <w:rPr>
                <w:rFonts w:ascii="Calibri" w:cs="Calibri" w:eastAsia="Calibri" w:hAnsi="Calibri"/>
                <w:b w:val="false"/>
                <w:bCs w:val="false"/>
                <w:i w:val="false"/>
                <w:iCs w:val="false"/>
                <w:color w:val="0E1726"/>
                <w:sz w:val="20"/>
                <w:szCs w:val="20"/>
              </w:rPr>
              <w:t xml:space="preserve">You don't have anything to prove to me. The belt isn't a test of you, it's how we make what you already know the standard everyone else is held to. I need your experience setting that bar, not sitting outside it.</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40"/>
              <w:left w:type="dxa" w:w="220"/>
              <w:bottom w:type="dxa" w:w="140"/>
              <w:right w:type="dxa" w:w="220"/>
            </w:tcMar>
          </w:tcPr>
          <w:p>
            <w:pPr>
              <w:spacing w:after="60"/>
            </w:pPr>
            <w:r>
              <w:rPr>
                <w:rFonts w:ascii="Calibri" w:cs="Calibri" w:eastAsia="Calibri" w:hAnsi="Calibri"/>
                <w:b/>
                <w:bCs/>
                <w:i w:val="false"/>
                <w:iCs w:val="false"/>
                <w:color w:val="8A5A2B"/>
                <w:sz w:val="20"/>
                <w:szCs w:val="20"/>
              </w:rPr>
              <w:t xml:space="preserve">A skeptical manager:  </w:t>
            </w:r>
            <w:r>
              <w:rPr>
                <w:rFonts w:ascii="Calibri" w:cs="Calibri" w:eastAsia="Calibri" w:hAnsi="Calibri"/>
                <w:b w:val="false"/>
                <w:bCs w:val="false"/>
                <w:i/>
                <w:iCs/>
                <w:color w:val="2E3B4B"/>
                <w:sz w:val="20"/>
                <w:szCs w:val="20"/>
              </w:rPr>
              <w:t xml:space="preserve">“We've tried training programs before. They never stick.”</w:t>
            </w:r>
          </w:p>
          <w:p>
            <w:r>
              <w:rPr>
                <w:rFonts w:ascii="Calibri" w:cs="Calibri" w:eastAsia="Calibri" w:hAnsi="Calibri"/>
                <w:b/>
                <w:bCs/>
                <w:i w:val="false"/>
                <w:iCs w:val="false"/>
                <w:color w:val="1C5C30"/>
                <w:sz w:val="20"/>
                <w:szCs w:val="20"/>
              </w:rPr>
              <w:t xml:space="preserve">You:  </w:t>
            </w:r>
            <w:r>
              <w:rPr>
                <w:rFonts w:ascii="Calibri" w:cs="Calibri" w:eastAsia="Calibri" w:hAnsi="Calibri"/>
                <w:b w:val="false"/>
                <w:bCs w:val="false"/>
                <w:i w:val="false"/>
                <w:iCs w:val="false"/>
                <w:color w:val="0E1726"/>
                <w:sz w:val="20"/>
                <w:szCs w:val="20"/>
              </w:rPr>
              <w:t xml:space="preserve">You're right to be skeptical, most don't, because no one leads the adoption. That's exactly what I'm here to do differently. Let me prove it small first, one area, and you judge it on the result, not the promise.</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40"/>
              <w:left w:type="dxa" w:w="220"/>
              <w:bottom w:type="dxa" w:w="140"/>
              <w:right w:type="dxa" w:w="220"/>
            </w:tcMar>
          </w:tcPr>
          <w:p>
            <w:pPr>
              <w:spacing w:after="60"/>
            </w:pPr>
            <w:r>
              <w:rPr>
                <w:rFonts w:ascii="Calibri" w:cs="Calibri" w:eastAsia="Calibri" w:hAnsi="Calibri"/>
                <w:b/>
                <w:bCs/>
                <w:i w:val="false"/>
                <w:iCs w:val="false"/>
                <w:color w:val="8A5A2B"/>
                <w:sz w:val="20"/>
                <w:szCs w:val="20"/>
              </w:rPr>
              <w:t xml:space="preserve">An anxious staff member:  </w:t>
            </w:r>
            <w:r>
              <w:rPr>
                <w:rFonts w:ascii="Calibri" w:cs="Calibri" w:eastAsia="Calibri" w:hAnsi="Calibri"/>
                <w:b w:val="false"/>
                <w:bCs w:val="false"/>
                <w:i/>
                <w:iCs/>
                <w:color w:val="2E3B4B"/>
                <w:sz w:val="20"/>
                <w:szCs w:val="20"/>
              </w:rPr>
              <w:t xml:space="preserve">“What if I go through all this and still fail?”</w:t>
            </w:r>
          </w:p>
          <w:p>
            <w:r>
              <w:rPr>
                <w:rFonts w:ascii="Calibri" w:cs="Calibri" w:eastAsia="Calibri" w:hAnsi="Calibri"/>
                <w:b/>
                <w:bCs/>
                <w:i w:val="false"/>
                <w:iCs w:val="false"/>
                <w:color w:val="1C5C30"/>
                <w:sz w:val="20"/>
                <w:szCs w:val="20"/>
              </w:rPr>
              <w:t xml:space="preserve">You:  </w:t>
            </w:r>
            <w:r>
              <w:rPr>
                <w:rFonts w:ascii="Calibri" w:cs="Calibri" w:eastAsia="Calibri" w:hAnsi="Calibri"/>
                <w:b w:val="false"/>
                <w:bCs w:val="false"/>
                <w:i w:val="false"/>
                <w:iCs w:val="false"/>
                <w:color w:val="0E1726"/>
                <w:sz w:val="20"/>
                <w:szCs w:val="20"/>
              </w:rPr>
              <w:t xml:space="preserve">Then we learn exactly what to work on, and we go again, no penalty. This system is built to show you where you are and get you where you're going. Failing a gate is information, not a verdict, and I'll be with you the whole way.</w:t>
            </w:r>
          </w:p>
        </w:tc>
      </w:tr>
    </w:tbl>
    <w:p>
      <w:pPr>
        <w:pStyle w:val="Heading2"/>
        <w:spacing w:after="110" w:before="320"/>
      </w:pPr>
      <w:r>
        <w:rPr>
          <w:rFonts w:ascii="Calibri" w:cs="Calibri" w:eastAsia="Calibri" w:hAnsi="Calibri"/>
          <w:b/>
          <w:bCs/>
          <w:i w:val="false"/>
          <w:iCs w:val="false"/>
          <w:color w:val="0E1726"/>
          <w:sz w:val="27"/>
          <w:szCs w:val="27"/>
        </w:rPr>
        <w:t xml:space="preserve">Build champions, do not just fight saboteurs</w:t>
      </w:r>
    </w:p>
    <w:p>
      <w:pPr>
        <w:spacing w:after="150" w:before="0" w:line="292"/>
      </w:pPr>
      <w:r>
        <w:rPr>
          <w:rFonts w:ascii="Calibri" w:cs="Calibri" w:eastAsia="Calibri" w:hAnsi="Calibri"/>
          <w:b w:val="false"/>
          <w:bCs w:val="false"/>
          <w:i w:val="false"/>
          <w:iCs w:val="false"/>
          <w:color w:val="2E3B4B"/>
          <w:sz w:val="22"/>
          <w:szCs w:val="22"/>
        </w:rPr>
        <w:t xml:space="preserve">You will not convert everyone, and you should not spend all your energy on the loudest resister. The better strategy is to build champions, the credible people whose visible support pulls the undecided middle along, while you address the true saboteurs directly and, when necessary, escalate. Most of a department is not for or against; it is watching to see which way the credible people lean. Win them, and the middle follows.</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Pick one of the three objections above. Write your own response to it, in your words, that addresses the fear underneath rather than arguing the surface objection.</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4</w:t>
      </w:r>
    </w:p>
    <w:p>
      <w:pPr>
        <w:pStyle w:val="Heading1"/>
        <w:spacing w:after="150" w:before="360"/>
      </w:pPr>
      <w:r>
        <w:rPr>
          <w:rFonts w:ascii="Georgia" w:cs="Georgia" w:eastAsia="Georgia" w:hAnsi="Georgia"/>
          <w:b/>
          <w:bCs/>
          <w:i w:val="false"/>
          <w:iCs w:val="false"/>
          <w:color w:val="1E2761"/>
          <w:sz w:val="34"/>
          <w:szCs w:val="34"/>
        </w:rPr>
        <w:t xml:space="preserve">Building buy-in, in three languages</w:t>
      </w:r>
    </w:p>
    <w:p>
      <w:pPr>
        <w:spacing w:after="170" w:before="0" w:line="300"/>
      </w:pPr>
      <w:r>
        <w:rPr>
          <w:rFonts w:ascii="Georgia" w:cs="Georgia" w:eastAsia="Georgia" w:hAnsi="Georgia"/>
          <w:b w:val="false"/>
          <w:bCs w:val="false"/>
          <w:i/>
          <w:iCs/>
          <w:color w:val="1E2761"/>
          <w:sz w:val="23"/>
          <w:szCs w:val="23"/>
        </w:rPr>
        <w:t xml:space="preserve">Executives, physicians, and staff care about different things. The same program has to be pitched three different ways, each in the language of the person hearing it.</w:t>
      </w:r>
    </w:p>
    <w:p>
      <w:pPr>
        <w:spacing w:after="150" w:before="0" w:line="292"/>
      </w:pPr>
      <w:r>
        <w:rPr>
          <w:rFonts w:ascii="Calibri" w:cs="Calibri" w:eastAsia="Calibri" w:hAnsi="Calibri"/>
          <w:b w:val="false"/>
          <w:bCs w:val="false"/>
          <w:i w:val="false"/>
          <w:iCs w:val="false"/>
          <w:color w:val="2E3B4B"/>
          <w:sz w:val="22"/>
          <w:szCs w:val="22"/>
        </w:rPr>
        <w:t xml:space="preserve">A common mistake is to make one case for SBD and repeat it to everyone. It falls flat, because a VP, a surgeon, and a technician do not want the same thing. Master facilitators translate the identical program into three value propositions.</w:t>
      </w:r>
    </w:p>
    <w:p>
      <w:pPr>
        <w:pStyle w:val="Heading3"/>
        <w:spacing w:after="80" w:before="240"/>
      </w:pPr>
      <w:r>
        <w:rPr>
          <w:rFonts w:ascii="Calibri" w:cs="Calibri" w:eastAsia="Calibri" w:hAnsi="Calibri"/>
          <w:b/>
          <w:bCs/>
          <w:i w:val="false"/>
          <w:iCs w:val="false"/>
          <w:color w:val="8A5A2B"/>
          <w:sz w:val="22"/>
          <w:szCs w:val="22"/>
        </w:rPr>
        <w:t xml:space="preserve">To executives: outcomes and cost</w:t>
      </w:r>
    </w:p>
    <w:p>
      <w:pPr>
        <w:spacing w:after="150" w:before="0" w:line="292"/>
      </w:pPr>
      <w:r>
        <w:rPr>
          <w:rFonts w:ascii="Calibri" w:cs="Calibri" w:eastAsia="Calibri" w:hAnsi="Calibri"/>
          <w:b w:val="false"/>
          <w:bCs w:val="false"/>
          <w:i w:val="false"/>
          <w:iCs w:val="false"/>
          <w:color w:val="2E3B4B"/>
          <w:sz w:val="22"/>
          <w:szCs w:val="22"/>
        </w:rPr>
        <w:t xml:space="preserve">Leadership thinks in risk, throughput, and dollars. They do not want to hear about belts and modules; they want to hear that competency gaps cause OR delays and turnover, and that this reduces both. Speak efficiency, patient-safety risk, traveler and overtime cost, and survey readiness. Secure executive sponsorship by making the program the answer to a problem they already lose sleep over.</w:t>
      </w:r>
    </w:p>
    <w:p>
      <w:pPr>
        <w:pStyle w:val="Heading3"/>
        <w:spacing w:after="80" w:before="240"/>
      </w:pPr>
      <w:r>
        <w:rPr>
          <w:rFonts w:ascii="Calibri" w:cs="Calibri" w:eastAsia="Calibri" w:hAnsi="Calibri"/>
          <w:b/>
          <w:bCs/>
          <w:i w:val="false"/>
          <w:iCs w:val="false"/>
          <w:color w:val="8A5A2B"/>
          <w:sz w:val="22"/>
          <w:szCs w:val="22"/>
        </w:rPr>
        <w:t xml:space="preserve">To physicians: outcomes and safety</w:t>
      </w:r>
    </w:p>
    <w:p>
      <w:pPr>
        <w:spacing w:after="150" w:before="0" w:line="292"/>
      </w:pPr>
      <w:r>
        <w:rPr>
          <w:rFonts w:ascii="Calibri" w:cs="Calibri" w:eastAsia="Calibri" w:hAnsi="Calibri"/>
          <w:b w:val="false"/>
          <w:bCs w:val="false"/>
          <w:i w:val="false"/>
          <w:iCs w:val="false"/>
          <w:color w:val="2E3B4B"/>
          <w:sz w:val="22"/>
          <w:szCs w:val="22"/>
        </w:rPr>
        <w:t xml:space="preserve">Surgeons and proceduralists care about safe, correct, on-time instrumentation and fewer surprises in the OR. Engage them by tying SBD to the thing they feel directly: reliable trays, fewer flashed instruments, fewer delays caused by a competency gap upstream. A physician who connects the program to a smoother OR becomes a powerful ally leadership listens to.</w:t>
      </w:r>
    </w:p>
    <w:p>
      <w:pPr>
        <w:pStyle w:val="Heading3"/>
        <w:spacing w:after="80" w:before="240"/>
      </w:pPr>
      <w:r>
        <w:rPr>
          <w:rFonts w:ascii="Calibri" w:cs="Calibri" w:eastAsia="Calibri" w:hAnsi="Calibri"/>
          <w:b/>
          <w:bCs/>
          <w:i w:val="false"/>
          <w:iCs w:val="false"/>
          <w:color w:val="8A5A2B"/>
          <w:sz w:val="22"/>
          <w:szCs w:val="22"/>
        </w:rPr>
        <w:t xml:space="preserve">To staff: growth and respect</w:t>
      </w:r>
    </w:p>
    <w:p>
      <w:pPr>
        <w:spacing w:after="150" w:before="0" w:line="292"/>
      </w:pPr>
      <w:r>
        <w:rPr>
          <w:rFonts w:ascii="Calibri" w:cs="Calibri" w:eastAsia="Calibri" w:hAnsi="Calibri"/>
          <w:b w:val="false"/>
          <w:bCs w:val="false"/>
          <w:i w:val="false"/>
          <w:iCs w:val="false"/>
          <w:color w:val="2E3B4B"/>
          <w:sz w:val="22"/>
          <w:szCs w:val="22"/>
        </w:rPr>
        <w:t xml:space="preserve">Technicians care about their own development, recognition, and a fair path forward. Frame SBD as growth, not surveillance: a clear route to advancement, real skill, and being recognized for competence rather than tenure. Staff who see the program as something done for them, not to them, become its engine instead of its obstacle.</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One program, three pitches</w:t>
            </w:r>
          </w:p>
          <w:p>
            <w:pPr>
              <w:spacing w:after="100" w:before="0" w:line="284"/>
            </w:pPr>
            <w:r>
              <w:rPr>
                <w:rFonts w:ascii="Calibri" w:cs="Calibri" w:eastAsia="Calibri" w:hAnsi="Calibri"/>
                <w:b w:val="false"/>
                <w:bCs w:val="false"/>
                <w:i w:val="false"/>
                <w:iCs w:val="false"/>
                <w:color w:val="2E3B4B"/>
                <w:sz w:val="22"/>
                <w:szCs w:val="22"/>
              </w:rPr>
              <w:t xml:space="preserve">To the VP: “This cuts traveler dependency and OR delays by making competency measurable, and gives you an audit-ready record for survey.”</w:t>
            </w:r>
          </w:p>
          <w:p>
            <w:pPr>
              <w:spacing w:after="100" w:before="0" w:line="284"/>
            </w:pPr>
            <w:r>
              <w:rPr>
                <w:rFonts w:ascii="Calibri" w:cs="Calibri" w:eastAsia="Calibri" w:hAnsi="Calibri"/>
                <w:b w:val="false"/>
                <w:bCs w:val="false"/>
                <w:i w:val="false"/>
                <w:iCs w:val="false"/>
                <w:color w:val="2E3B4B"/>
                <w:sz w:val="22"/>
                <w:szCs w:val="22"/>
              </w:rPr>
              <w:t xml:space="preserve">To the surgeon: “This means the tray is right and on time, because the people building it are verified competent, not just credentialed.”</w:t>
            </w:r>
          </w:p>
          <w:p>
            <w:pPr>
              <w:spacing w:after="100" w:before="0" w:line="284"/>
            </w:pPr>
            <w:r>
              <w:rPr>
                <w:rFonts w:ascii="Calibri" w:cs="Calibri" w:eastAsia="Calibri" w:hAnsi="Calibri"/>
                <w:b w:val="false"/>
                <w:bCs w:val="false"/>
                <w:i w:val="false"/>
                <w:iCs w:val="false"/>
                <w:color w:val="2E3B4B"/>
                <w:sz w:val="22"/>
                <w:szCs w:val="22"/>
              </w:rPr>
              <w:t xml:space="preserve">To the tech: “This is a clear path to advance, real skills, and recognition for what you can actually do, not just how long you've been here.”</w:t>
            </w:r>
          </w:p>
          <w:p>
            <w:pPr>
              <w:spacing w:after="100" w:before="0" w:line="284"/>
            </w:pPr>
            <w:r>
              <w:rPr>
                <w:rFonts w:ascii="Calibri" w:cs="Calibri" w:eastAsia="Calibri" w:hAnsi="Calibri"/>
                <w:b w:val="false"/>
                <w:bCs w:val="false"/>
                <w:i w:val="false"/>
                <w:iCs w:val="false"/>
                <w:color w:val="2E3B4B"/>
                <w:sz w:val="22"/>
                <w:szCs w:val="22"/>
              </w:rPr>
              <w:t xml:space="preserve">Same program, three audiences, three languages. That is how buy-in is actually built.</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Write the one-sentence pitch for SBD to each of the three audiences, executive, physician, staff, each in the language of what that audience actually cares about.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4</w:t>
      </w:r>
    </w:p>
    <w:p>
      <w:pPr>
        <w:pStyle w:val="Heading1"/>
        <w:spacing w:after="150" w:before="360"/>
      </w:pPr>
      <w:r>
        <w:rPr>
          <w:rFonts w:ascii="Georgia" w:cs="Georgia" w:eastAsia="Georgia" w:hAnsi="Georgia"/>
          <w:b/>
          <w:bCs/>
          <w:i w:val="false"/>
          <w:iCs w:val="false"/>
          <w:color w:val="1E2761"/>
          <w:sz w:val="34"/>
          <w:szCs w:val="34"/>
        </w:rPr>
        <w:t xml:space="preserve">Making the change stick</w:t>
      </w:r>
    </w:p>
    <w:p>
      <w:pPr>
        <w:spacing w:after="170" w:before="0" w:line="300"/>
      </w:pPr>
      <w:r>
        <w:rPr>
          <w:rFonts w:ascii="Georgia" w:cs="Georgia" w:eastAsia="Georgia" w:hAnsi="Georgia"/>
          <w:b w:val="false"/>
          <w:bCs w:val="false"/>
          <w:i/>
          <w:iCs/>
          <w:color w:val="1E2761"/>
          <w:sz w:val="23"/>
          <w:szCs w:val="23"/>
        </w:rPr>
        <w:t xml:space="preserve">Adoption is not the finish line. A change that is not sustained quietly reverts, and often no one notices until it is gone.</w:t>
      </w:r>
    </w:p>
    <w:p>
      <w:pPr>
        <w:spacing w:after="150" w:before="0" w:line="292"/>
      </w:pPr>
      <w:r>
        <w:rPr>
          <w:rFonts w:ascii="Calibri" w:cs="Calibri" w:eastAsia="Calibri" w:hAnsi="Calibri"/>
          <w:b w:val="false"/>
          <w:bCs w:val="false"/>
          <w:i w:val="false"/>
          <w:iCs w:val="false"/>
          <w:color w:val="2E3B4B"/>
          <w:sz w:val="22"/>
          <w:szCs w:val="22"/>
        </w:rPr>
        <w:t xml:space="preserve">The most dangerous moment for a change is not the launch; it is six months later, when the attention has moved on and the old habits pull people back. Sustaining the change is its own discipline, and it is what separates a lasting transformation from a program people remember fondly as “that thing we did for a while.”</w:t>
      </w:r>
    </w:p>
    <w:p>
      <w:pPr>
        <w:pStyle w:val="Heading2"/>
        <w:spacing w:after="110" w:before="320"/>
      </w:pPr>
      <w:r>
        <w:rPr>
          <w:rFonts w:ascii="Calibri" w:cs="Calibri" w:eastAsia="Calibri" w:hAnsi="Calibri"/>
          <w:b/>
          <w:bCs/>
          <w:i w:val="false"/>
          <w:iCs w:val="false"/>
          <w:color w:val="0E1726"/>
          <w:sz w:val="27"/>
          <w:szCs w:val="27"/>
        </w:rPr>
        <w:t xml:space="preserve">Embed it in daily operations</w:t>
      </w:r>
    </w:p>
    <w:p>
      <w:pPr>
        <w:spacing w:after="150" w:before="0" w:line="292"/>
      </w:pPr>
      <w:r>
        <w:rPr>
          <w:rFonts w:ascii="Calibri" w:cs="Calibri" w:eastAsia="Calibri" w:hAnsi="Calibri"/>
          <w:b w:val="false"/>
          <w:bCs w:val="false"/>
          <w:i w:val="false"/>
          <w:iCs w:val="false"/>
          <w:color w:val="2E3B4B"/>
          <w:sz w:val="22"/>
          <w:szCs w:val="22"/>
        </w:rPr>
        <w:t xml:space="preserve">A change survives when it becomes how the work is done, not an extra thing layered on top. That means SBD is woven into the daily rhythm, the hiring process, the advancement decisions, and the way the department talks about competency, until there is no separate “SBD program,” there is just how this department operates. Anything that stays bolted on the side eventually falls off.</w:t>
      </w:r>
    </w:p>
    <w:p>
      <w:pPr>
        <w:pStyle w:val="Heading2"/>
        <w:spacing w:after="110" w:before="320"/>
      </w:pPr>
      <w:r>
        <w:rPr>
          <w:rFonts w:ascii="Calibri" w:cs="Calibri" w:eastAsia="Calibri" w:hAnsi="Calibri"/>
          <w:b/>
          <w:bCs/>
          <w:i w:val="false"/>
          <w:iCs w:val="false"/>
          <w:color w:val="0E1726"/>
          <w:sz w:val="27"/>
          <w:szCs w:val="27"/>
        </w:rPr>
        <w:t xml:space="preserve">Celebrate milestones</w:t>
      </w:r>
    </w:p>
    <w:p>
      <w:pPr>
        <w:spacing w:after="150" w:before="0" w:line="292"/>
      </w:pPr>
      <w:r>
        <w:rPr>
          <w:rFonts w:ascii="Calibri" w:cs="Calibri" w:eastAsia="Calibri" w:hAnsi="Calibri"/>
          <w:b w:val="false"/>
          <w:bCs w:val="false"/>
          <w:i w:val="false"/>
          <w:iCs w:val="false"/>
          <w:color w:val="2E3B4B"/>
          <w:sz w:val="22"/>
          <w:szCs w:val="22"/>
        </w:rPr>
        <w:t xml:space="preserve">People sustain what feels rewarding. Make advancement visible and celebrated, a belt earned, a facility milestone hit, a team that cut its traveler dependency. Recognition is not fluff; it is what keeps momentum alive after the novelty fades and signals to everyone that this is valued and here to stay.</w:t>
      </w:r>
    </w:p>
    <w:p>
      <w:pPr>
        <w:pStyle w:val="Heading2"/>
        <w:spacing w:after="110" w:before="320"/>
      </w:pPr>
      <w:r>
        <w:rPr>
          <w:rFonts w:ascii="Calibri" w:cs="Calibri" w:eastAsia="Calibri" w:hAnsi="Calibri"/>
          <w:b/>
          <w:bCs/>
          <w:i w:val="false"/>
          <w:iCs w:val="false"/>
          <w:color w:val="0E1726"/>
          <w:sz w:val="27"/>
          <w:szCs w:val="27"/>
        </w:rPr>
        <w:t xml:space="preserve">Prevent the silent backslide</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The standard erodes quietly, one exception at a time.</w:t>
            </w:r>
          </w:p>
          <w:p>
            <w:pPr>
              <w:spacing w:after="100" w:before="0" w:line="284"/>
            </w:pPr>
            <w:r>
              <w:rPr>
                <w:rFonts w:ascii="Calibri" w:cs="Calibri" w:eastAsia="Calibri" w:hAnsi="Calibri"/>
                <w:b w:val="false"/>
                <w:bCs w:val="false"/>
                <w:i w:val="false"/>
                <w:iCs w:val="false"/>
                <w:color w:val="2E3B4B"/>
                <w:sz w:val="22"/>
                <w:szCs w:val="22"/>
              </w:rPr>
              <w:t xml:space="preserve">Backsliding rarely announces itself. It is one skipped observation during a busy week, one softened gate to move someone onto the floor, one “we'll do it properly next time.” Each exception feels reasonable, and together they are how a standard dies. Sustaining the change means watching for these small erosions and holding the line on them precisely because they seem minor. The quiet exceptions are the real threat, not the loud resister.</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Name one way you would embed SBD into daily operations so it is not a bolt-on, and one small “reasonable” exception you would refuse in order to prevent a silent backslide. Explain why that small exception matters.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Put it to work</w:t>
      </w:r>
    </w:p>
    <w:p>
      <w:pPr>
        <w:spacing w:after="150" w:before="0" w:line="292"/>
      </w:pPr>
      <w:r>
        <w:rPr>
          <w:rFonts w:ascii="Calibri" w:cs="Calibri" w:eastAsia="Calibri" w:hAnsi="Calibri"/>
          <w:b w:val="false"/>
          <w:bCs w:val="false"/>
          <w:i w:val="false"/>
          <w:iCs w:val="false"/>
          <w:color w:val="2E3B4B"/>
          <w:sz w:val="22"/>
          <w:szCs w:val="22"/>
        </w:rPr>
        <w:t xml:space="preserve">Two activities before the module assessment, both drawn from what Level 2 tests.</w:t>
      </w:r>
    </w:p>
    <w:p>
      <w:pPr>
        <w:pStyle w:val="Heading3"/>
        <w:spacing w:after="80" w:before="240"/>
      </w:pPr>
      <w:r>
        <w:rPr>
          <w:rFonts w:ascii="Calibri" w:cs="Calibri" w:eastAsia="Calibri" w:hAnsi="Calibri"/>
          <w:b/>
          <w:bCs/>
          <w:i w:val="false"/>
          <w:iCs w:val="false"/>
          <w:color w:val="8A5A2B"/>
          <w:sz w:val="22"/>
          <w:szCs w:val="22"/>
        </w:rPr>
        <w:t xml:space="preserve">Activity 1 · Build a rollout plan</w:t>
      </w:r>
    </w:p>
    <w:p>
      <w:pPr>
        <w:spacing w:after="150" w:before="0" w:line="292"/>
      </w:pPr>
      <w:r>
        <w:rPr>
          <w:rFonts w:ascii="Calibri" w:cs="Calibri" w:eastAsia="Calibri" w:hAnsi="Calibri"/>
          <w:b w:val="false"/>
          <w:bCs w:val="false"/>
          <w:i w:val="false"/>
          <w:iCs w:val="false"/>
          <w:color w:val="2E3B4B"/>
          <w:sz w:val="22"/>
          <w:szCs w:val="22"/>
        </w:rPr>
        <w:t xml:space="preserve">You are introducing SBD to a facility that has trained the same way for twenty years. Write a phased 90-day rollout plan: how you assess and prepare, where you pilot, how you make the win visible, and how you expand, plus the quick win you would target first.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2 · Make the three pitches</w:t>
      </w:r>
    </w:p>
    <w:p>
      <w:pPr>
        <w:spacing w:after="150" w:before="0" w:line="292"/>
      </w:pPr>
      <w:r>
        <w:rPr>
          <w:rFonts w:ascii="Calibri" w:cs="Calibri" w:eastAsia="Calibri" w:hAnsi="Calibri"/>
          <w:b w:val="false"/>
          <w:bCs w:val="false"/>
          <w:i w:val="false"/>
          <w:iCs w:val="false"/>
          <w:color w:val="2E3B4B"/>
          <w:sz w:val="22"/>
          <w:szCs w:val="22"/>
        </w:rPr>
        <w:t xml:space="preserve">For that same facility, write your buy-in pitch for each of the three audiences, executive, physician, and staff, each in the language of what that audience actually cares about. Then name the one champion you would most want to recruit and why.</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Module 10 assessment</w:t>
      </w:r>
    </w:p>
    <w:p>
      <w:pPr>
        <w:spacing w:after="150" w:before="0" w:line="292"/>
      </w:pPr>
      <w:r>
        <w:rPr>
          <w:rFonts w:ascii="Calibri" w:cs="Calibri" w:eastAsia="Calibri" w:hAnsi="Calibri"/>
          <w:b w:val="false"/>
          <w:bCs w:val="false"/>
          <w:i w:val="false"/>
          <w:iCs w:val="false"/>
          <w:color w:val="2E3B4B"/>
          <w:sz w:val="22"/>
          <w:szCs w:val="22"/>
        </w:rPr>
        <w:t xml:space="preserve">Two applied tasks that mirror the real work of leading an SBD adoption. Complete both fully; they combine with the other Level 2 modules toward the certification gates. Score yourself against the guide that follows.</w:t>
      </w:r>
    </w:p>
    <w:p>
      <w:pPr>
        <w:pStyle w:val="Heading2"/>
        <w:spacing w:after="110" w:before="320"/>
      </w:pPr>
      <w:r>
        <w:rPr>
          <w:rFonts w:ascii="Calibri" w:cs="Calibri" w:eastAsia="Calibri" w:hAnsi="Calibri"/>
          <w:b/>
          <w:bCs/>
          <w:i w:val="false"/>
          <w:iCs w:val="false"/>
          <w:color w:val="0E1726"/>
          <w:sz w:val="27"/>
          <w:szCs w:val="27"/>
        </w:rPr>
        <w:t xml:space="preserve">Task 1 · A complete change and sustainment plan</w:t>
      </w:r>
    </w:p>
    <w:p>
      <w:pPr>
        <w:spacing w:after="150" w:before="0" w:line="292"/>
      </w:pPr>
      <w:r>
        <w:rPr>
          <w:rFonts w:ascii="Calibri" w:cs="Calibri" w:eastAsia="Calibri" w:hAnsi="Calibri"/>
          <w:b w:val="false"/>
          <w:bCs w:val="false"/>
          <w:i w:val="false"/>
          <w:iCs w:val="false"/>
          <w:color w:val="2E3B4B"/>
          <w:sz w:val="22"/>
          <w:szCs w:val="22"/>
        </w:rPr>
        <w:t xml:space="preserve">Using your facility from Activity 1, write the full plan: the phased rollout, how you will manage the resistance you expect, and, crucially, how you will sustain the change past six months, embedding it in operations, celebrating milestones, and guarding against the silent backslide.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2"/>
        <w:spacing w:after="110" w:before="320"/>
      </w:pPr>
      <w:r>
        <w:rPr>
          <w:rFonts w:ascii="Calibri" w:cs="Calibri" w:eastAsia="Calibri" w:hAnsi="Calibri"/>
          <w:b/>
          <w:bCs/>
          <w:i w:val="false"/>
          <w:iCs w:val="false"/>
          <w:color w:val="0E1726"/>
          <w:sz w:val="27"/>
          <w:szCs w:val="27"/>
        </w:rPr>
        <w:t xml:space="preserve">Task 2 · The executive briefing</w:t>
      </w:r>
    </w:p>
    <w:p>
      <w:pPr>
        <w:spacing w:after="150" w:before="0" w:line="292"/>
      </w:pPr>
      <w:r>
        <w:rPr>
          <w:rFonts w:ascii="Calibri" w:cs="Calibri" w:eastAsia="Calibri" w:hAnsi="Calibri"/>
          <w:b w:val="false"/>
          <w:bCs w:val="false"/>
          <w:i w:val="false"/>
          <w:iCs w:val="false"/>
          <w:color w:val="2E3B4B"/>
          <w:sz w:val="22"/>
          <w:szCs w:val="22"/>
        </w:rPr>
        <w:t xml:space="preserve">Write a fifteen-minute executive briefing that makes the case for SBD adoption to a VP of Perioperative Services. Frame it entirely in leadership's language, outcomes, risk, cost, survey readiness, and ask clearly for the sponsorship you need.</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task against its marks. Both tasks must reach at least four of five to complete Module 10, and the Level 2 coursework.</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1 · Change and sustainment plan</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Rolls out in phases with a deliberate early win, not all at once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Manages resistance by addressing the fear, not fighting the objection</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Builds champions rather than only battling saboteurs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Embeds the change in daily operations, not as a bolt-on</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Guards explicitly against the silent backslide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spacing w:after="20" w:before="0" w:line="288"/>
      </w:pPr>
      <w:r>
        <w:rPr>
          <w:rFonts w:ascii="Calibri" w:cs="Calibri" w:eastAsia="Calibri" w:hAnsi="Calibri"/>
          <w:b w:val="false"/>
          <w:bCs w:val="false"/>
          <w:i w:val="false"/>
          <w:iCs w:val="false"/>
          <w:color w:val="2E3B4B"/>
          <w:sz w:val="8"/>
          <w:szCs w:val="8"/>
        </w:rPr>
        <w:t xml:space="preserve"> </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2 · Executive briefing</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Speaks leadership's language: outcomes, risk, cost, survey readiness</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Ties competency gaps to problems the executive already feels</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Avoids belt/module jargon the audience does not care about</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Makes a clear, specific ask for sponsorship</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Is persuasive and fits the time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10, and the Level 2 coursework</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lead a phased implementation, manage resistance at the level of fear, build buy-in in three languages, and sustain the change past the danger point. With this module done, you have completed all four modules of Level 2. What remains is to earn the Advanced Facilitator credential itself.</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What comes next: the Level 2 gates</w:t>
            </w:r>
          </w:p>
          <w:p>
            <w:pPr>
              <w:spacing w:after="100" w:before="0" w:line="284"/>
            </w:pPr>
            <w:r>
              <w:rPr>
                <w:rFonts w:ascii="Calibri" w:cs="Calibri" w:eastAsia="Calibri" w:hAnsi="Calibri"/>
                <w:b w:val="false"/>
                <w:bCs w:val="false"/>
                <w:i w:val="false"/>
                <w:iCs w:val="false"/>
                <w:color w:val="2E3B4B"/>
                <w:sz w:val="22"/>
                <w:szCs w:val="22"/>
              </w:rPr>
              <w:t xml:space="preserve">You earned Level 1 through three gates, and Level 2 is earned the same way, at a higher bar:</w:t>
            </w:r>
          </w:p>
          <w:p>
            <w:pPr>
              <w:spacing w:after="100" w:before="0" w:line="284"/>
            </w:pPr>
            <w:r>
              <w:rPr>
                <w:rFonts w:ascii="Calibri" w:cs="Calibri" w:eastAsia="Calibri" w:hAnsi="Calibri"/>
                <w:b w:val="false"/>
                <w:bCs w:val="false"/>
                <w:i w:val="false"/>
                <w:iCs w:val="false"/>
                <w:color w:val="2E3B4B"/>
                <w:sz w:val="22"/>
                <w:szCs w:val="22"/>
              </w:rPr>
              <w:t xml:space="preserve">Gate 1, Knowledge: a comprehensive exam plus a case-study analysis, at 90%.</w:t>
            </w:r>
          </w:p>
          <w:p>
            <w:pPr>
              <w:spacing w:after="100" w:before="0" w:line="284"/>
            </w:pPr>
            <w:r>
              <w:rPr>
                <w:rFonts w:ascii="Calibri" w:cs="Calibri" w:eastAsia="Calibri" w:hAnsi="Calibri"/>
                <w:b w:val="false"/>
                <w:bCs w:val="false"/>
                <w:i w:val="false"/>
                <w:iCs w:val="false"/>
                <w:color w:val="2E3B4B"/>
                <w:sz w:val="22"/>
                <w:szCs w:val="22"/>
              </w:rPr>
              <w:t xml:space="preserve">Gate 2, Simulation: a full-day multi-facility simulation, managing several facilities for a simulated week, at 85%.</w:t>
            </w:r>
          </w:p>
          <w:p>
            <w:pPr>
              <w:spacing w:after="100" w:before="0" w:line="284"/>
            </w:pPr>
            <w:r>
              <w:rPr>
                <w:rFonts w:ascii="Calibri" w:cs="Calibri" w:eastAsia="Calibri" w:hAnsi="Calibri"/>
                <w:b w:val="false"/>
                <w:bCs w:val="false"/>
                <w:i w:val="false"/>
                <w:iCs w:val="false"/>
                <w:color w:val="2E3B4B"/>
                <w:sz w:val="22"/>
                <w:szCs w:val="22"/>
              </w:rPr>
              <w:t xml:space="preserve">Gate 3, Observation and capstone: conduct a Blue Belt observation, coach a Level 1 facilitator through an observation, and present and defend a twelve-month program design, at 90%.</w:t>
            </w:r>
          </w:p>
          <w:p>
            <w:pPr>
              <w:spacing w:after="100" w:before="0" w:line="284"/>
            </w:pPr>
            <w:r>
              <w:rPr>
                <w:rFonts w:ascii="Calibri" w:cs="Calibri" w:eastAsia="Calibri" w:hAnsi="Calibri"/>
                <w:b w:val="false"/>
                <w:bCs w:val="false"/>
                <w:i w:val="false"/>
                <w:iCs w:val="false"/>
                <w:color w:val="2E3B4B"/>
                <w:sz w:val="22"/>
                <w:szCs w:val="22"/>
              </w:rPr>
              <w:t xml:space="preserve">You have done the Level 2 work: multi-facility operations, advanced leadership, program design, and change management. The gates are where you prove you can lead at that altitude.</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2 · Module 10 (Module 4 of 4)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2 · Module 10 (Module 4 of 4) · Organizational Change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10 (Level 2, Module 4 of 4)</dc:title>
  <dc:creator>Jake Tayler Jacobs DBA, MBA, B.Ed.</dc:creator>
  <cp:lastModifiedBy>Un-named</cp:lastModifiedBy>
  <cp:revision>1</cp:revision>
  <dcterms:created xsi:type="dcterms:W3CDTF">2026-07-12T23:05:28.914Z</dcterms:created>
  <dcterms:modified xsi:type="dcterms:W3CDTF">2026-07-12T23:05:28.980Z</dcterms:modified>
</cp:coreProperties>
</file>

<file path=docProps/custom.xml><?xml version="1.0" encoding="utf-8"?>
<Properties xmlns="http://schemas.openxmlformats.org/officeDocument/2006/custom-properties" xmlns:vt="http://schemas.openxmlformats.org/officeDocument/2006/docPropsVTypes"/>
</file>