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40"/>
      </w:pPr>
      <w:r>
        <w:rPr>
          <w:rFonts w:ascii="Calibri" w:cs="Calibri" w:eastAsia="Calibri" w:hAnsi="Calibri"/>
          <w:b/>
          <w:bCs/>
          <w:i w:val="false"/>
          <w:iCs w:val="false"/>
          <w:color w:val="8A5A2B"/>
          <w:spacing w:val="26"/>
          <w:sz w:val="16"/>
          <w:szCs w:val="16"/>
        </w:rPr>
        <w:t xml:space="preserve">SBD WIP FACILITATOR CERTIFICATION  ·  LEVEL 3 · MASTER FACILITATOR</w:t>
      </w:r>
    </w:p>
    <w:p>
      <w:pPr>
        <w:spacing w:after="0" w:before="160"/>
      </w:pPr>
      <w:r>
        <w:rPr>
          <w:rFonts w:ascii="Georgia" w:cs="Georgia" w:eastAsia="Georgia" w:hAnsi="Georgia"/>
          <w:b/>
          <w:bCs/>
          <w:i w:val="false"/>
          <w:iCs w:val="false"/>
          <w:color w:val="8A5A2B"/>
          <w:sz w:val="30"/>
          <w:szCs w:val="30"/>
        </w:rPr>
        <w:t xml:space="preserve">Module 12</w:t>
      </w:r>
    </w:p>
    <w:p>
      <w:pPr>
        <w:spacing w:after="6"/>
      </w:pPr>
      <w:r>
        <w:rPr>
          <w:rFonts w:ascii="Calibri" w:cs="Calibri" w:eastAsia="Calibri" w:hAnsi="Calibri"/>
          <w:b/>
          <w:bCs/>
          <w:i w:val="false"/>
          <w:iCs w:val="false"/>
          <w:color w:val="6B7B8C"/>
          <w:spacing w:val="10"/>
          <w:sz w:val="19"/>
          <w:szCs w:val="19"/>
        </w:rPr>
        <w:t xml:space="preserve">Level 3 · Module 2 of 5</w:t>
      </w:r>
    </w:p>
    <w:p>
      <w:pPr>
        <w:spacing w:after="40" w:before="20"/>
      </w:pPr>
      <w:r>
        <w:rPr>
          <w:rFonts w:ascii="Georgia" w:cs="Georgia" w:eastAsia="Georgia" w:hAnsi="Georgia"/>
          <w:b/>
          <w:bCs/>
          <w:i w:val="false"/>
          <w:iCs w:val="false"/>
          <w:color w:val="1E2761"/>
          <w:sz w:val="46"/>
          <w:szCs w:val="46"/>
        </w:rPr>
        <w:t xml:space="preserve">Curriculum Development</w:t>
      </w:r>
    </w:p>
    <w:p>
      <w:pPr>
        <w:spacing w:after="60"/>
      </w:pPr>
      <w:r>
        <w:rPr>
          <w:rFonts w:ascii="Georgia" w:cs="Georgia" w:eastAsia="Georgia" w:hAnsi="Georgia"/>
          <w:b w:val="false"/>
          <w:bCs w:val="false"/>
          <w:i w:val="false"/>
          <w:iCs w:val="false"/>
          <w:color w:val="0E1726"/>
          <w:sz w:val="24"/>
          <w:szCs w:val="24"/>
        </w:rPr>
        <w:t xml:space="preserve">Self-Paced Learner Workbook</w:t>
      </w:r>
    </w:p>
    <w:p>
      <w:pPr>
        <w:spacing w:after="300"/>
      </w:pPr>
      <w:r>
        <w:rPr>
          <w:rFonts w:ascii="Calibri" w:cs="Calibri" w:eastAsia="Calibri" w:hAnsi="Calibri"/>
          <w:b w:val="false"/>
          <w:bCs w:val="false"/>
          <w:i/>
          <w:iCs/>
          <w:color w:val="6B7B8C"/>
          <w:sz w:val="21"/>
          <w:szCs w:val="21"/>
        </w:rPr>
        <w:t xml:space="preserve">You have taught the curriculum and certified the people who teach it. Now you learn to build the curriculum itself: the modules, rubrics, and assessments the whole system depends on.</w:t>
      </w:r>
    </w:p>
    <w:p>
      <w:pPr>
        <w:pBdr>
          <w:top w:val="single" w:color="D8DEE6" w:sz="8" w:space="8"/>
          <w:bottom w:val="single" w:color="D8DEE6" w:sz="8" w:space="8"/>
        </w:pBdr>
        <w:spacing w:after="120" w:before="200"/>
      </w:pPr>
      <w:r>
        <w:rPr>
          <w:rFonts w:ascii="Calibri" w:cs="Calibri" w:eastAsia="Calibri" w:hAnsi="Calibri"/>
          <w:b/>
          <w:bCs/>
          <w:i w:val="false"/>
          <w:iCs w:val="false"/>
          <w:color w:val="1E2761"/>
          <w:sz w:val="20"/>
          <w:szCs w:val="20"/>
        </w:rPr>
        <w:t xml:space="preserve">Estimated time: 8 hours   ·   Part of the 40-hour Level 3 program   ·   Prerequisite: Level 2 certification</w:t>
      </w:r>
    </w:p>
    <w:p>
      <w:pPr>
        <w:spacing w:before="240"/>
      </w:pPr>
      <w:r>
        <w:rPr>
          <w:rFonts w:ascii="Calibri" w:cs="Calibri" w:eastAsia="Calibri" w:hAnsi="Calibri"/>
          <w:b w:val="false"/>
          <w:bCs w:val="false"/>
          <w:i w:val="false"/>
          <w:iCs w:val="false"/>
          <w:color w:val="6B7B8C"/>
          <w:sz w:val="19"/>
          <w:szCs w:val="19"/>
        </w:rPr>
        <w:t xml:space="preserve">Jake Tayler Jacobs DBA, MBA, B.Ed.  ·  SIPS Healthcare Solutions</w:t>
      </w:r>
    </w:p>
    <w:p>
      <w:r>
        <w:br w:type="page"/>
      </w:r>
    </w:p>
    <w:p>
      <w:pPr>
        <w:pStyle w:val="Heading1"/>
        <w:spacing w:after="150" w:before="360"/>
      </w:pPr>
      <w:r>
        <w:rPr>
          <w:rFonts w:ascii="Georgia" w:cs="Georgia" w:eastAsia="Georgia" w:hAnsi="Georgia"/>
          <w:b/>
          <w:bCs/>
          <w:i w:val="false"/>
          <w:iCs w:val="false"/>
          <w:color w:val="1E2761"/>
          <w:sz w:val="34"/>
          <w:szCs w:val="34"/>
        </w:rPr>
        <w:t xml:space="preserve">Before you begin</w:t>
      </w:r>
    </w:p>
    <w:p>
      <w:pPr>
        <w:spacing w:after="150" w:before="0" w:line="292"/>
      </w:pPr>
      <w:r>
        <w:rPr>
          <w:rFonts w:ascii="Calibri" w:cs="Calibri" w:eastAsia="Calibri" w:hAnsi="Calibri"/>
          <w:b w:val="false"/>
          <w:bCs w:val="false"/>
          <w:i w:val="false"/>
          <w:iCs w:val="false"/>
          <w:color w:val="2E3B4B"/>
          <w:sz w:val="22"/>
          <w:szCs w:val="22"/>
        </w:rPr>
        <w:t xml:space="preserve">In Module 9 you learned to surface a curriculum gap and route it up. This module is what happens when the answer to that gap is “build it.” As a Master Facilitator, you are one of the people trusted to create the actual content the system runs on: new modules where the curriculum has a hole, the rubrics that make observation objective, the practice items that predict readiness, and the learner content that teaches. This is authorship, and it carries the same weight as certification, because what you build will teach and assess people you will never meet.</w:t>
      </w:r>
    </w:p>
    <w:p>
      <w:pPr>
        <w:spacing w:after="150" w:before="0" w:line="292"/>
      </w:pPr>
      <w:r>
        <w:rPr>
          <w:rFonts w:ascii="Calibri" w:cs="Calibri" w:eastAsia="Calibri" w:hAnsi="Calibri"/>
          <w:b w:val="false"/>
          <w:bCs w:val="false"/>
          <w:i w:val="false"/>
          <w:iCs w:val="false"/>
          <w:color w:val="2E3B4B"/>
          <w:sz w:val="22"/>
          <w:szCs w:val="22"/>
        </w:rPr>
        <w:t xml:space="preserve">Good curriculum is not writing. It is engineering. A module has to reliably produce a competent operator, a rubric has to make two different observers reach the same fair decision, a practice item has to measure the right thing. When any of these is built poorly, the failure is silent and system-wide: every learner who touches it inherits the flaw. So this module is about the discipline of building content that works, not content that merely reads well.</w:t>
      </w:r>
    </w:p>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IDEA   </w:t>
            </w:r>
            <w:r>
              <w:rPr>
                <w:rFonts w:ascii="Calibri" w:cs="Calibri" w:eastAsia="Calibri" w:hAnsi="Calibri"/>
                <w:b/>
                <w:bCs/>
                <w:i w:val="false"/>
                <w:iCs w:val="false"/>
                <w:color w:val="0E1726"/>
                <w:sz w:val="22"/>
                <w:szCs w:val="22"/>
              </w:rPr>
              <w:t xml:space="preserve">You are building the standard now, not just holding it.</w:t>
            </w:r>
          </w:p>
          <w:p>
            <w:pPr>
              <w:spacing w:after="100" w:before="0" w:line="284"/>
            </w:pPr>
            <w:r>
              <w:rPr>
                <w:rFonts w:ascii="Calibri" w:cs="Calibri" w:eastAsia="Calibri" w:hAnsi="Calibri"/>
                <w:b w:val="false"/>
                <w:bCs w:val="false"/>
                <w:i w:val="false"/>
                <w:iCs w:val="false"/>
                <w:color w:val="2E3B4B"/>
                <w:sz w:val="22"/>
                <w:szCs w:val="22"/>
              </w:rPr>
              <w:t xml:space="preserve">Until this module, your job was to hold a standard someone else defined. Now you help define it. That is a different kind of responsibility: a flaw you build into a rubric or an exam does not affect one learner in one room, it affects every learner assessed with it, at every facility, for as long as it is in use. Build with the seriousness that leverage demands. The content is only as trustworthy as the person who authored it.</w:t>
            </w:r>
          </w:p>
        </w:tc>
      </w:tr>
    </w:tbl>
    <w:p>
      <w:pPr>
        <w:spacing w:after="60" w:before="0" w:line="292"/>
      </w:pPr>
      <w:r>
        <w:rPr>
          <w:rFonts w:ascii="Calibri" w:cs="Calibri" w:eastAsia="Calibri" w:hAnsi="Calibri"/>
          <w:b w:val="false"/>
          <w:bCs w:val="false"/>
          <w:i w:val="false"/>
          <w:iCs w:val="false"/>
          <w:color w:val="2E3B4B"/>
          <w:sz w:val="22"/>
          <w:szCs w:val="22"/>
        </w:rPr>
        <w:t xml:space="preserve">Four things you will be able to do by the end of Module 12:</w:t>
      </w:r>
    </w:p>
    <w:p>
      <w:pPr>
        <w:pStyle w:val="ListParagraph"/>
        <w:numPr>
          <w:ilvl w:val="0"/>
          <w:numId w:val="2"/>
        </w:numPr>
        <w:spacing w:after="90" w:line="274"/>
      </w:pPr>
      <w:r>
        <w:rPr>
          <w:rFonts w:ascii="Calibri" w:cs="Calibri" w:eastAsia="Calibri" w:hAnsi="Calibri"/>
          <w:b/>
          <w:bCs/>
          <w:i w:val="false"/>
          <w:iCs w:val="false"/>
          <w:color w:val="0E1726"/>
          <w:sz w:val="22"/>
          <w:szCs w:val="22"/>
        </w:rPr>
        <w:t xml:space="preserve">Apply instructional-design principles </w:t>
      </w:r>
      <w:r>
        <w:rPr>
          <w:rFonts w:ascii="Calibri" w:cs="Calibri" w:eastAsia="Calibri" w:hAnsi="Calibri"/>
          <w:b w:val="false"/>
          <w:bCs w:val="false"/>
          <w:i w:val="false"/>
          <w:iCs w:val="false"/>
          <w:color w:val="2E3B4B"/>
          <w:sz w:val="22"/>
          <w:szCs w:val="22"/>
        </w:rPr>
        <w:t xml:space="preserve">to sterile processing content.</w:t>
      </w:r>
    </w:p>
    <w:p>
      <w:pPr>
        <w:pStyle w:val="ListParagraph"/>
        <w:numPr>
          <w:ilvl w:val="0"/>
          <w:numId w:val="2"/>
        </w:numPr>
        <w:spacing w:after="90" w:line="274"/>
      </w:pPr>
      <w:r>
        <w:rPr>
          <w:rFonts w:ascii="Calibri" w:cs="Calibri" w:eastAsia="Calibri" w:hAnsi="Calibri"/>
          <w:b/>
          <w:bCs/>
          <w:i w:val="false"/>
          <w:iCs w:val="false"/>
          <w:color w:val="0E1726"/>
          <w:sz w:val="22"/>
          <w:szCs w:val="22"/>
        </w:rPr>
        <w:t xml:space="preserve">Create a Foundation module </w:t>
      </w:r>
      <w:r>
        <w:rPr>
          <w:rFonts w:ascii="Calibri" w:cs="Calibri" w:eastAsia="Calibri" w:hAnsi="Calibri"/>
          <w:b w:val="false"/>
          <w:bCs w:val="false"/>
          <w:i w:val="false"/>
          <w:iCs w:val="false"/>
          <w:color w:val="2E3B4B"/>
          <w:sz w:val="22"/>
          <w:szCs w:val="22"/>
        </w:rPr>
        <w:t xml:space="preserve">where the curriculum has a genuine gap.</w:t>
      </w:r>
    </w:p>
    <w:p>
      <w:pPr>
        <w:pStyle w:val="ListParagraph"/>
        <w:numPr>
          <w:ilvl w:val="0"/>
          <w:numId w:val="2"/>
        </w:numPr>
        <w:spacing w:after="90" w:line="274"/>
      </w:pPr>
      <w:r>
        <w:rPr>
          <w:rFonts w:ascii="Calibri" w:cs="Calibri" w:eastAsia="Calibri" w:hAnsi="Calibri"/>
          <w:b/>
          <w:bCs/>
          <w:i w:val="false"/>
          <w:iCs w:val="false"/>
          <w:color w:val="0E1726"/>
          <w:sz w:val="22"/>
          <w:szCs w:val="22"/>
        </w:rPr>
        <w:t xml:space="preserve">Develop objective rubrics </w:t>
      </w:r>
      <w:r>
        <w:rPr>
          <w:rFonts w:ascii="Calibri" w:cs="Calibri" w:eastAsia="Calibri" w:hAnsi="Calibri"/>
          <w:b w:val="false"/>
          <w:bCs w:val="false"/>
          <w:i w:val="false"/>
          <w:iCs w:val="false"/>
          <w:color w:val="2E3B4B"/>
          <w:sz w:val="22"/>
          <w:szCs w:val="22"/>
        </w:rPr>
        <w:t xml:space="preserve">that different observers can apply consistently.</w:t>
      </w:r>
    </w:p>
    <w:p>
      <w:pPr>
        <w:pStyle w:val="ListParagraph"/>
        <w:numPr>
          <w:ilvl w:val="0"/>
          <w:numId w:val="2"/>
        </w:numPr>
        <w:spacing w:after="90" w:line="274"/>
      </w:pPr>
      <w:r>
        <w:rPr>
          <w:rFonts w:ascii="Calibri" w:cs="Calibri" w:eastAsia="Calibri" w:hAnsi="Calibri"/>
          <w:b/>
          <w:bCs/>
          <w:i w:val="false"/>
          <w:iCs w:val="false"/>
          <w:color w:val="0E1726"/>
          <w:sz w:val="22"/>
          <w:szCs w:val="22"/>
        </w:rPr>
        <w:t xml:space="preserve">Write valid practice-exam items </w:t>
      </w:r>
      <w:r>
        <w:rPr>
          <w:rFonts w:ascii="Calibri" w:cs="Calibri" w:eastAsia="Calibri" w:hAnsi="Calibri"/>
          <w:b w:val="false"/>
          <w:bCs w:val="false"/>
          <w:i w:val="false"/>
          <w:iCs w:val="false"/>
          <w:color w:val="2E3B4B"/>
          <w:sz w:val="22"/>
          <w:szCs w:val="22"/>
        </w:rPr>
        <w:t xml:space="preserve">that measure the right competency.</w:t>
      </w:r>
    </w:p>
    <w:p>
      <w:r>
        <w:br w:type="page"/>
      </w:r>
    </w:p>
    <w:p>
      <w:pPr>
        <w:spacing w:after="30" w:before="40"/>
      </w:pPr>
      <w:r>
        <w:rPr>
          <w:rFonts w:ascii="Calibri" w:cs="Calibri" w:eastAsia="Calibri" w:hAnsi="Calibri"/>
          <w:b/>
          <w:bCs/>
          <w:i w:val="false"/>
          <w:iCs w:val="false"/>
          <w:color w:val="8A5A2B"/>
          <w:spacing w:val="34"/>
          <w:sz w:val="16"/>
          <w:szCs w:val="16"/>
        </w:rPr>
        <w:t xml:space="preserve">SECTION 1 OF 4</w:t>
      </w:r>
    </w:p>
    <w:p>
      <w:pPr>
        <w:pStyle w:val="Heading1"/>
        <w:spacing w:after="150" w:before="360"/>
      </w:pPr>
      <w:r>
        <w:rPr>
          <w:rFonts w:ascii="Georgia" w:cs="Georgia" w:eastAsia="Georgia" w:hAnsi="Georgia"/>
          <w:b/>
          <w:bCs/>
          <w:i w:val="false"/>
          <w:iCs w:val="false"/>
          <w:color w:val="1E2761"/>
          <w:sz w:val="34"/>
          <w:szCs w:val="34"/>
        </w:rPr>
        <w:t xml:space="preserve">Instructional design for sterile processing</w:t>
      </w:r>
    </w:p>
    <w:p>
      <w:pPr>
        <w:spacing w:after="170" w:before="0" w:line="300"/>
      </w:pPr>
      <w:r>
        <w:rPr>
          <w:rFonts w:ascii="Georgia" w:cs="Georgia" w:eastAsia="Georgia" w:hAnsi="Georgia"/>
          <w:b w:val="false"/>
          <w:bCs w:val="false"/>
          <w:i/>
          <w:iCs/>
          <w:color w:val="1E2761"/>
          <w:sz w:val="23"/>
          <w:szCs w:val="23"/>
        </w:rPr>
        <w:t xml:space="preserve">Before you build a single module, you need the discipline that separates content that teaches from content that merely informs.</w:t>
      </w:r>
    </w:p>
    <w:p>
      <w:pPr>
        <w:pStyle w:val="Heading2"/>
        <w:spacing w:after="110" w:before="320"/>
      </w:pPr>
      <w:r>
        <w:rPr>
          <w:rFonts w:ascii="Calibri" w:cs="Calibri" w:eastAsia="Calibri" w:hAnsi="Calibri"/>
          <w:b/>
          <w:bCs/>
          <w:i w:val="false"/>
          <w:iCs w:val="false"/>
          <w:color w:val="0E1726"/>
          <w:sz w:val="27"/>
          <w:szCs w:val="27"/>
        </w:rPr>
        <w:t xml:space="preserve">Design backward from the competency</w:t>
      </w:r>
    </w:p>
    <w:p>
      <w:pPr>
        <w:spacing w:after="150" w:before="0" w:line="292"/>
      </w:pPr>
      <w:r>
        <w:rPr>
          <w:rFonts w:ascii="Calibri" w:cs="Calibri" w:eastAsia="Calibri" w:hAnsi="Calibri"/>
          <w:b w:val="false"/>
          <w:bCs w:val="false"/>
          <w:i w:val="false"/>
          <w:iCs w:val="false"/>
          <w:color w:val="2E3B4B"/>
          <w:sz w:val="22"/>
          <w:szCs w:val="22"/>
        </w:rPr>
        <w:t xml:space="preserve">You met this idea in Module 11, and it is the foundation of all curriculum work: you start at the end. Define exactly what the learner must be able to do, then build backward to the content and practice that get them there. Never start by writing content and hope a competency emerges. The competency is the specification; the content is what you engineer to meet it.</w:t>
      </w:r>
    </w:p>
    <w:tbl>
      <w:tblPr>
        <w:tblW w:type="dxa" w:w="9840"/>
        <w:tblBorders>
          <w:top w:val="none"/>
          <w:left w:val="none"/>
          <w:bottom w:val="none"/>
          <w:right w:val="none"/>
          <w:insideH w:val="single" w:color="auto" w:sz="4"/>
          <w:insideV w:val="single" w:color="auto" w:sz="4"/>
        </w:tblBorders>
      </w:tblPr>
      <w:tblGrid>
        <w:gridCol w:w="1300"/>
        <w:gridCol w:w="8540"/>
      </w:tblGrid>
      <w:tr>
        <w:tc>
          <w:tcPr>
            <w:tcW w:type="dxa" w:w="1300"/>
            <w:shd w:fill="1E5FA8" w:color="auto" w:val="clear"/>
            <w:tcMar>
              <w:top w:type="dxa" w:w="120"/>
              <w:left w:type="dxa" w:w="120"/>
              <w:bottom w:type="dxa" w:w="120"/>
              <w:right w:type="dxa" w:w="120"/>
            </w:tcMar>
            <w:vAlign w:val="center"/>
          </w:tcPr>
          <w:p>
            <w:pPr>
              <w:jc w:val="center"/>
            </w:pPr>
            <w:r>
              <w:rPr>
                <w:rFonts w:ascii="Georgia" w:cs="Georgia" w:eastAsia="Georgia" w:hAnsi="Georgia"/>
                <w:b/>
                <w:bCs/>
                <w:i w:val="false"/>
                <w:iCs w:val="false"/>
                <w:color w:val="FFFFFF"/>
                <w:sz w:val="28"/>
                <w:szCs w:val="28"/>
              </w:rPr>
              <w:t xml:space="preserve">1</w:t>
            </w:r>
          </w:p>
        </w:tc>
        <w:tc>
          <w:tcPr>
            <w:tcW w:type="dxa" w:w="8540"/>
            <w:shd w:fill="F4F6F9" w:color="auto" w:val="clear"/>
            <w:tcMar>
              <w:top w:type="dxa" w:w="120"/>
              <w:left w:type="dxa" w:w="200"/>
              <w:bottom w:type="dxa" w:w="120"/>
              <w:right w:type="dxa" w:w="200"/>
            </w:tcMar>
            <w:vAlign w:val="center"/>
          </w:tcPr>
          <w:p>
            <w:pPr>
              <w:spacing w:after="40"/>
            </w:pPr>
            <w:r>
              <w:rPr>
                <w:rFonts w:ascii="Calibri" w:cs="Calibri" w:eastAsia="Calibri" w:hAnsi="Calibri"/>
                <w:b/>
                <w:bCs/>
                <w:i w:val="false"/>
                <w:iCs w:val="false"/>
                <w:color w:val="0E1726"/>
                <w:sz w:val="21"/>
                <w:szCs w:val="21"/>
              </w:rPr>
              <w:t xml:space="preserve">Define the competency</w:t>
            </w:r>
          </w:p>
          <w:p>
            <w:r>
              <w:rPr>
                <w:rFonts w:ascii="Calibri" w:cs="Calibri" w:eastAsia="Calibri" w:hAnsi="Calibri"/>
                <w:b w:val="false"/>
                <w:bCs w:val="false"/>
                <w:i w:val="false"/>
                <w:iCs w:val="false"/>
                <w:color w:val="2E3B4B"/>
                <w:sz w:val="20"/>
                <w:szCs w:val="20"/>
              </w:rPr>
              <w:t xml:space="preserve">State precisely what the learner must be able to DO, in observable terms. “Understands packaging” is not a competency. “Selects the correct packaging method and verifies seal integrity per IFU” is.</w:t>
            </w:r>
          </w:p>
        </w:tc>
      </w:tr>
    </w:tbl>
    <w:tbl>
      <w:tblPr>
        <w:tblW w:type="dxa" w:w="9840"/>
        <w:tblBorders>
          <w:top w:val="none"/>
          <w:left w:val="none"/>
          <w:bottom w:val="none"/>
          <w:right w:val="none"/>
          <w:insideH w:val="single" w:color="auto" w:sz="4"/>
          <w:insideV w:val="single" w:color="auto" w:sz="4"/>
        </w:tblBorders>
      </w:tblPr>
      <w:tblGrid>
        <w:gridCol w:w="1300"/>
        <w:gridCol w:w="8540"/>
      </w:tblGrid>
      <w:tr>
        <w:tc>
          <w:tcPr>
            <w:tcW w:type="dxa" w:w="1300"/>
            <w:shd w:fill="1C7293" w:color="auto" w:val="clear"/>
            <w:tcMar>
              <w:top w:type="dxa" w:w="120"/>
              <w:left w:type="dxa" w:w="120"/>
              <w:bottom w:type="dxa" w:w="120"/>
              <w:right w:type="dxa" w:w="120"/>
            </w:tcMar>
            <w:vAlign w:val="center"/>
          </w:tcPr>
          <w:p>
            <w:pPr>
              <w:jc w:val="center"/>
            </w:pPr>
            <w:r>
              <w:rPr>
                <w:rFonts w:ascii="Georgia" w:cs="Georgia" w:eastAsia="Georgia" w:hAnsi="Georgia"/>
                <w:b/>
                <w:bCs/>
                <w:i w:val="false"/>
                <w:iCs w:val="false"/>
                <w:color w:val="FFFFFF"/>
                <w:sz w:val="28"/>
                <w:szCs w:val="28"/>
              </w:rPr>
              <w:t xml:space="preserve">2</w:t>
            </w:r>
          </w:p>
        </w:tc>
        <w:tc>
          <w:tcPr>
            <w:tcW w:type="dxa" w:w="8540"/>
            <w:shd w:fill="F4F6F9" w:color="auto" w:val="clear"/>
            <w:tcMar>
              <w:top w:type="dxa" w:w="120"/>
              <w:left w:type="dxa" w:w="200"/>
              <w:bottom w:type="dxa" w:w="120"/>
              <w:right w:type="dxa" w:w="200"/>
            </w:tcMar>
            <w:vAlign w:val="center"/>
          </w:tcPr>
          <w:p>
            <w:pPr>
              <w:spacing w:after="40"/>
            </w:pPr>
            <w:r>
              <w:rPr>
                <w:rFonts w:ascii="Calibri" w:cs="Calibri" w:eastAsia="Calibri" w:hAnsi="Calibri"/>
                <w:b/>
                <w:bCs/>
                <w:i w:val="false"/>
                <w:iCs w:val="false"/>
                <w:color w:val="0E1726"/>
                <w:sz w:val="21"/>
                <w:szCs w:val="21"/>
              </w:rPr>
              <w:t xml:space="preserve">Define how it is measured</w:t>
            </w:r>
          </w:p>
          <w:p>
            <w:r>
              <w:rPr>
                <w:rFonts w:ascii="Calibri" w:cs="Calibri" w:eastAsia="Calibri" w:hAnsi="Calibri"/>
                <w:b w:val="false"/>
                <w:bCs w:val="false"/>
                <w:i w:val="false"/>
                <w:iCs w:val="false"/>
                <w:color w:val="2E3B4B"/>
                <w:sz w:val="20"/>
                <w:szCs w:val="20"/>
              </w:rPr>
              <w:t xml:space="preserve">Decide how you will know they have it, the gate, the rubric, the pass condition, before you write any teaching content.</w:t>
            </w:r>
          </w:p>
        </w:tc>
      </w:tr>
    </w:tbl>
    <w:tbl>
      <w:tblPr>
        <w:tblW w:type="dxa" w:w="9840"/>
        <w:tblBorders>
          <w:top w:val="none"/>
          <w:left w:val="none"/>
          <w:bottom w:val="none"/>
          <w:right w:val="none"/>
          <w:insideH w:val="single" w:color="auto" w:sz="4"/>
          <w:insideV w:val="single" w:color="auto" w:sz="4"/>
        </w:tblBorders>
      </w:tblPr>
      <w:tblGrid>
        <w:gridCol w:w="1300"/>
        <w:gridCol w:w="8540"/>
      </w:tblGrid>
      <w:tr>
        <w:tc>
          <w:tcPr>
            <w:tcW w:type="dxa" w:w="1300"/>
            <w:shd w:fill="8A5A2B" w:color="auto" w:val="clear"/>
            <w:tcMar>
              <w:top w:type="dxa" w:w="120"/>
              <w:left w:type="dxa" w:w="120"/>
              <w:bottom w:type="dxa" w:w="120"/>
              <w:right w:type="dxa" w:w="120"/>
            </w:tcMar>
            <w:vAlign w:val="center"/>
          </w:tcPr>
          <w:p>
            <w:pPr>
              <w:jc w:val="center"/>
            </w:pPr>
            <w:r>
              <w:rPr>
                <w:rFonts w:ascii="Georgia" w:cs="Georgia" w:eastAsia="Georgia" w:hAnsi="Georgia"/>
                <w:b/>
                <w:bCs/>
                <w:i w:val="false"/>
                <w:iCs w:val="false"/>
                <w:color w:val="FFFFFF"/>
                <w:sz w:val="28"/>
                <w:szCs w:val="28"/>
              </w:rPr>
              <w:t xml:space="preserve">3</w:t>
            </w:r>
          </w:p>
        </w:tc>
        <w:tc>
          <w:tcPr>
            <w:tcW w:type="dxa" w:w="8540"/>
            <w:shd w:fill="F4F6F9" w:color="auto" w:val="clear"/>
            <w:tcMar>
              <w:top w:type="dxa" w:w="120"/>
              <w:left w:type="dxa" w:w="200"/>
              <w:bottom w:type="dxa" w:w="120"/>
              <w:right w:type="dxa" w:w="200"/>
            </w:tcMar>
            <w:vAlign w:val="center"/>
          </w:tcPr>
          <w:p>
            <w:pPr>
              <w:spacing w:after="40"/>
            </w:pPr>
            <w:r>
              <w:rPr>
                <w:rFonts w:ascii="Calibri" w:cs="Calibri" w:eastAsia="Calibri" w:hAnsi="Calibri"/>
                <w:b/>
                <w:bCs/>
                <w:i w:val="false"/>
                <w:iCs w:val="false"/>
                <w:color w:val="0E1726"/>
                <w:sz w:val="21"/>
                <w:szCs w:val="21"/>
              </w:rPr>
              <w:t xml:space="preserve">Build the teaching to the measure</w:t>
            </w:r>
          </w:p>
          <w:p>
            <w:r>
              <w:rPr>
                <w:rFonts w:ascii="Calibri" w:cs="Calibri" w:eastAsia="Calibri" w:hAnsi="Calibri"/>
                <w:b w:val="false"/>
                <w:bCs w:val="false"/>
                <w:i w:val="false"/>
                <w:iCs w:val="false"/>
                <w:color w:val="2E3B4B"/>
                <w:sz w:val="20"/>
                <w:szCs w:val="20"/>
              </w:rPr>
              <w:t xml:space="preserve">Now create the content and practice that develop exactly that competency. Anything that does not serve it is cut.</w:t>
            </w:r>
          </w:p>
        </w:tc>
      </w:tr>
    </w:tbl>
    <w:tbl>
      <w:tblPr>
        <w:tblW w:type="dxa" w:w="9840"/>
        <w:tblBorders>
          <w:top w:val="none"/>
          <w:left w:val="none"/>
          <w:bottom w:val="none"/>
          <w:right w:val="none"/>
          <w:insideH w:val="single" w:color="auto" w:sz="4"/>
          <w:insideV w:val="single" w:color="auto" w:sz="4"/>
        </w:tblBorders>
      </w:tblPr>
      <w:tblGrid>
        <w:gridCol w:w="1300"/>
        <w:gridCol w:w="8540"/>
      </w:tblGrid>
      <w:tr>
        <w:tc>
          <w:tcPr>
            <w:tcW w:type="dxa" w:w="1300"/>
            <w:shd w:fill="1C5C30" w:color="auto" w:val="clear"/>
            <w:tcMar>
              <w:top w:type="dxa" w:w="120"/>
              <w:left w:type="dxa" w:w="120"/>
              <w:bottom w:type="dxa" w:w="120"/>
              <w:right w:type="dxa" w:w="120"/>
            </w:tcMar>
            <w:vAlign w:val="center"/>
          </w:tcPr>
          <w:p>
            <w:pPr>
              <w:jc w:val="center"/>
            </w:pPr>
            <w:r>
              <w:rPr>
                <w:rFonts w:ascii="Georgia" w:cs="Georgia" w:eastAsia="Georgia" w:hAnsi="Georgia"/>
                <w:b/>
                <w:bCs/>
                <w:i w:val="false"/>
                <w:iCs w:val="false"/>
                <w:color w:val="FFFFFF"/>
                <w:sz w:val="28"/>
                <w:szCs w:val="28"/>
              </w:rPr>
              <w:t xml:space="preserve">4</w:t>
            </w:r>
          </w:p>
        </w:tc>
        <w:tc>
          <w:tcPr>
            <w:tcW w:type="dxa" w:w="8540"/>
            <w:shd w:fill="F4F6F9" w:color="auto" w:val="clear"/>
            <w:tcMar>
              <w:top w:type="dxa" w:w="120"/>
              <w:left w:type="dxa" w:w="200"/>
              <w:bottom w:type="dxa" w:w="120"/>
              <w:right w:type="dxa" w:w="200"/>
            </w:tcMar>
            <w:vAlign w:val="center"/>
          </w:tcPr>
          <w:p>
            <w:pPr>
              <w:spacing w:after="40"/>
            </w:pPr>
            <w:r>
              <w:rPr>
                <w:rFonts w:ascii="Calibri" w:cs="Calibri" w:eastAsia="Calibri" w:hAnsi="Calibri"/>
                <w:b/>
                <w:bCs/>
                <w:i w:val="false"/>
                <w:iCs w:val="false"/>
                <w:color w:val="0E1726"/>
                <w:sz w:val="21"/>
                <w:szCs w:val="21"/>
              </w:rPr>
              <w:t xml:space="preserve">Align it to the whole system</w:t>
            </w:r>
          </w:p>
          <w:p>
            <w:r>
              <w:rPr>
                <w:rFonts w:ascii="Calibri" w:cs="Calibri" w:eastAsia="Calibri" w:hAnsi="Calibri"/>
                <w:b w:val="false"/>
                <w:bCs w:val="false"/>
                <w:i w:val="false"/>
                <w:iCs w:val="false"/>
                <w:color w:val="2E3B4B"/>
                <w:sz w:val="20"/>
                <w:szCs w:val="20"/>
              </w:rPr>
              <w:t xml:space="preserve">Make sure it fits the belt structure, the three-gate model, and the standardized-path discipline. Nothing is built in isolation.</w:t>
            </w:r>
          </w:p>
        </w:tc>
      </w:tr>
    </w:tbl>
    <w:tbl>
      <w:tblPr>
        <w:tblW w:type="dxa" w:w="9840"/>
        <w:tblBorders>
          <w:top w:val="none"/>
          <w:left w:val="single" w:color="B7791F" w:sz="22"/>
          <w:bottom w:val="none"/>
          <w:right w:val="none"/>
          <w:insideH w:val="none"/>
          <w:insideV w:val="none"/>
        </w:tblBorders>
      </w:tblPr>
      <w:tblGrid>
        <w:gridCol w:w="9840"/>
      </w:tblGrid>
      <w:tr>
        <w:tc>
          <w:tcPr>
            <w:tcW w:type="dxa" w:w="9840"/>
            <w:shd w:fill="FBF3E2"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12"/>
                <w:spacing w:val="20"/>
                <w:sz w:val="17"/>
                <w:szCs w:val="17"/>
              </w:rPr>
              <w:t xml:space="preserve">WATCH OUT   </w:t>
            </w:r>
            <w:r>
              <w:rPr>
                <w:rFonts w:ascii="Calibri" w:cs="Calibri" w:eastAsia="Calibri" w:hAnsi="Calibri"/>
                <w:b/>
                <w:bCs/>
                <w:i w:val="false"/>
                <w:iCs w:val="false"/>
                <w:color w:val="0E1726"/>
                <w:sz w:val="22"/>
                <w:szCs w:val="22"/>
              </w:rPr>
              <w:t xml:space="preserve">Content that does not serve a competency is decoration.</w:t>
            </w:r>
          </w:p>
          <w:p>
            <w:pPr>
              <w:spacing w:after="100" w:before="0" w:line="284"/>
            </w:pPr>
            <w:r>
              <w:rPr>
                <w:rFonts w:ascii="Calibri" w:cs="Calibri" w:eastAsia="Calibri" w:hAnsi="Calibri"/>
                <w:b w:val="false"/>
                <w:bCs w:val="false"/>
                <w:i w:val="false"/>
                <w:iCs w:val="false"/>
                <w:color w:val="2E3B4B"/>
                <w:sz w:val="22"/>
                <w:szCs w:val="22"/>
              </w:rPr>
              <w:t xml:space="preserve">The most common curriculum mistake is writing interesting content that does not map to a defined competency, history, tangents, nice-to-know detail. It feels educational and it wastes the learner's time. Every element you build must trace to a competency the learner is being developed toward. If it does not, cut it, however interesting it is. Curriculum is engineered, not decorated.</w:t>
            </w:r>
          </w:p>
        </w:tc>
      </w:tr>
    </w:tbl>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IDEA   </w:t>
            </w:r>
            <w:r>
              <w:rPr>
                <w:rFonts w:ascii="Calibri" w:cs="Calibri" w:eastAsia="Calibri" w:hAnsi="Calibri"/>
                <w:b/>
                <w:bCs/>
                <w:i w:val="false"/>
                <w:iCs w:val="false"/>
                <w:color w:val="0E1726"/>
                <w:sz w:val="22"/>
                <w:szCs w:val="22"/>
              </w:rPr>
              <w:t xml:space="preserve">Check yourself.</w:t>
            </w:r>
          </w:p>
          <w:p>
            <w:pPr>
              <w:spacing w:after="100" w:before="0" w:line="284"/>
            </w:pPr>
            <w:r>
              <w:rPr>
                <w:rFonts w:ascii="Calibri" w:cs="Calibri" w:eastAsia="Calibri" w:hAnsi="Calibri"/>
                <w:b w:val="false"/>
                <w:bCs w:val="false"/>
                <w:i w:val="false"/>
                <w:iCs w:val="false"/>
                <w:color w:val="2E3B4B"/>
                <w:sz w:val="22"/>
                <w:szCs w:val="22"/>
              </w:rPr>
              <w:t xml:space="preserve">Rewrite this weak competency into a strong, observable one: “the learner will understand sterilization.” Then name the four design steps in order, and explain why measurement is defined before teaching content is written.</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tc>
      </w:tr>
    </w:tbl>
    <w:p>
      <w:r>
        <w:br w:type="page"/>
      </w:r>
    </w:p>
    <w:p>
      <w:pPr>
        <w:spacing w:after="30" w:before="40"/>
      </w:pPr>
      <w:r>
        <w:rPr>
          <w:rFonts w:ascii="Calibri" w:cs="Calibri" w:eastAsia="Calibri" w:hAnsi="Calibri"/>
          <w:b/>
          <w:bCs/>
          <w:i w:val="false"/>
          <w:iCs w:val="false"/>
          <w:color w:val="8A5A2B"/>
          <w:spacing w:val="34"/>
          <w:sz w:val="16"/>
          <w:szCs w:val="16"/>
        </w:rPr>
        <w:t xml:space="preserve">SECTION 2 OF 4</w:t>
      </w:r>
    </w:p>
    <w:p>
      <w:pPr>
        <w:pStyle w:val="Heading1"/>
        <w:spacing w:after="150" w:before="360"/>
      </w:pPr>
      <w:r>
        <w:rPr>
          <w:rFonts w:ascii="Georgia" w:cs="Georgia" w:eastAsia="Georgia" w:hAnsi="Georgia"/>
          <w:b/>
          <w:bCs/>
          <w:i w:val="false"/>
          <w:iCs w:val="false"/>
          <w:color w:val="1E2761"/>
          <w:sz w:val="34"/>
          <w:szCs w:val="34"/>
        </w:rPr>
        <w:t xml:space="preserve">Creating a Foundation module</w:t>
      </w:r>
    </w:p>
    <w:p>
      <w:pPr>
        <w:spacing w:after="170" w:before="0" w:line="300"/>
      </w:pPr>
      <w:r>
        <w:rPr>
          <w:rFonts w:ascii="Georgia" w:cs="Georgia" w:eastAsia="Georgia" w:hAnsi="Georgia"/>
          <w:b w:val="false"/>
          <w:bCs w:val="false"/>
          <w:i/>
          <w:iCs/>
          <w:color w:val="1E2761"/>
          <w:sz w:val="23"/>
          <w:szCs w:val="23"/>
        </w:rPr>
        <w:t xml:space="preserve">When a real gap calls for new content, you build a module that matches the structure of every other module in the system, so it teaches and assesses to the same standard.</w:t>
      </w:r>
    </w:p>
    <w:p>
      <w:pPr>
        <w:pStyle w:val="Heading2"/>
        <w:spacing w:after="110" w:before="320"/>
      </w:pPr>
      <w:r>
        <w:rPr>
          <w:rFonts w:ascii="Calibri" w:cs="Calibri" w:eastAsia="Calibri" w:hAnsi="Calibri"/>
          <w:b/>
          <w:bCs/>
          <w:i w:val="false"/>
          <w:iCs w:val="false"/>
          <w:color w:val="0E1726"/>
          <w:sz w:val="27"/>
          <w:szCs w:val="27"/>
        </w:rPr>
        <w:t xml:space="preserve">A module is a complete unit, not a document</w:t>
      </w:r>
    </w:p>
    <w:p>
      <w:pPr>
        <w:spacing w:after="150" w:before="0" w:line="292"/>
      </w:pPr>
      <w:r>
        <w:rPr>
          <w:rFonts w:ascii="Calibri" w:cs="Calibri" w:eastAsia="Calibri" w:hAnsi="Calibri"/>
          <w:b w:val="false"/>
          <w:bCs w:val="false"/>
          <w:i w:val="false"/>
          <w:iCs w:val="false"/>
          <w:color w:val="2E3B4B"/>
          <w:sz w:val="22"/>
          <w:szCs w:val="22"/>
        </w:rPr>
        <w:t xml:space="preserve">A Foundation module is not just written content. It is a complete developmental unit with the same anatomy as every other module: clear competency objectives, teaching content that develops them, practice that builds readiness, and its own three gates, knowledge, simulation, and a facilitator observation. When you build a new module, you build all of it, to the same shape, so it slots into the system seamlessly.</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Objectives. </w:t>
      </w:r>
      <w:r>
        <w:rPr>
          <w:rFonts w:ascii="Calibri" w:cs="Calibri" w:eastAsia="Calibri" w:hAnsi="Calibri"/>
          <w:b w:val="false"/>
          <w:bCs w:val="false"/>
          <w:i w:val="false"/>
          <w:iCs w:val="false"/>
          <w:color w:val="2E3B4B"/>
          <w:sz w:val="22"/>
          <w:szCs w:val="22"/>
        </w:rPr>
        <w:t xml:space="preserve">The observable competencies the module produces, defined first.</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Teaching content. </w:t>
      </w:r>
      <w:r>
        <w:rPr>
          <w:rFonts w:ascii="Calibri" w:cs="Calibri" w:eastAsia="Calibri" w:hAnsi="Calibri"/>
          <w:b w:val="false"/>
          <w:bCs w:val="false"/>
          <w:i w:val="false"/>
          <w:iCs w:val="false"/>
          <w:color w:val="2E3B4B"/>
          <w:sz w:val="22"/>
          <w:szCs w:val="22"/>
        </w:rPr>
        <w:t xml:space="preserve">Written to develop those competencies, in the same self-paced, teach-then-do voice as the rest of the system.</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Practice. </w:t>
      </w:r>
      <w:r>
        <w:rPr>
          <w:rFonts w:ascii="Calibri" w:cs="Calibri" w:eastAsia="Calibri" w:hAnsi="Calibri"/>
          <w:b w:val="false"/>
          <w:bCs w:val="false"/>
          <w:i w:val="false"/>
          <w:iCs w:val="false"/>
          <w:color w:val="2E3B4B"/>
          <w:sz w:val="22"/>
          <w:szCs w:val="22"/>
        </w:rPr>
        <w:t xml:space="preserve">Knowledge and simulation practice that lets the learner build to the 90% readiness signal.</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Three gates. </w:t>
      </w:r>
      <w:r>
        <w:rPr>
          <w:rFonts w:ascii="Calibri" w:cs="Calibri" w:eastAsia="Calibri" w:hAnsi="Calibri"/>
          <w:b w:val="false"/>
          <w:bCs w:val="false"/>
          <w:i w:val="false"/>
          <w:iCs w:val="false"/>
          <w:color w:val="2E3B4B"/>
          <w:sz w:val="22"/>
          <w:szCs w:val="22"/>
        </w:rPr>
        <w:t xml:space="preserve">Its own knowledge, simulation, and observation gates, with a rubric for the observation.</w:t>
      </w:r>
    </w:p>
    <w:p>
      <w:pPr>
        <w:pStyle w:val="Heading2"/>
        <w:spacing w:after="110" w:before="320"/>
      </w:pPr>
      <w:r>
        <w:rPr>
          <w:rFonts w:ascii="Calibri" w:cs="Calibri" w:eastAsia="Calibri" w:hAnsi="Calibri"/>
          <w:b/>
          <w:bCs/>
          <w:i w:val="false"/>
          <w:iCs w:val="false"/>
          <w:color w:val="0E1726"/>
          <w:sz w:val="27"/>
          <w:szCs w:val="27"/>
        </w:rPr>
        <w:t xml:space="preserve">Match the system, do not reinvent it</w:t>
      </w:r>
    </w:p>
    <w:tbl>
      <w:tblPr>
        <w:tblW w:type="dxa" w:w="9840"/>
        <w:tblBorders>
          <w:top w:val="none"/>
          <w:left w:val="single" w:color="B7791F" w:sz="22"/>
          <w:bottom w:val="none"/>
          <w:right w:val="none"/>
          <w:insideH w:val="none"/>
          <w:insideV w:val="none"/>
        </w:tblBorders>
      </w:tblPr>
      <w:tblGrid>
        <w:gridCol w:w="9840"/>
      </w:tblGrid>
      <w:tr>
        <w:tc>
          <w:tcPr>
            <w:tcW w:type="dxa" w:w="9840"/>
            <w:shd w:fill="FBF3E2"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12"/>
                <w:spacing w:val="20"/>
                <w:sz w:val="17"/>
                <w:szCs w:val="17"/>
              </w:rPr>
              <w:t xml:space="preserve">WATCH OUT   </w:t>
            </w:r>
            <w:r>
              <w:rPr>
                <w:rFonts w:ascii="Calibri" w:cs="Calibri" w:eastAsia="Calibri" w:hAnsi="Calibri"/>
                <w:b/>
                <w:bCs/>
                <w:i w:val="false"/>
                <w:iCs w:val="false"/>
                <w:color w:val="0E1726"/>
                <w:sz w:val="22"/>
                <w:szCs w:val="22"/>
              </w:rPr>
              <w:t xml:space="preserve">A new module must fit, not stand out.</w:t>
            </w:r>
          </w:p>
          <w:p>
            <w:pPr>
              <w:spacing w:after="100" w:before="0" w:line="284"/>
            </w:pPr>
            <w:r>
              <w:rPr>
                <w:rFonts w:ascii="Calibri" w:cs="Calibri" w:eastAsia="Calibri" w:hAnsi="Calibri"/>
                <w:b w:val="false"/>
                <w:bCs w:val="false"/>
                <w:i w:val="false"/>
                <w:iCs w:val="false"/>
                <w:color w:val="2E3B4B"/>
                <w:sz w:val="22"/>
                <w:szCs w:val="22"/>
              </w:rPr>
              <w:t xml:space="preserve">The temptation, when you build something new, is to make it your own, a different structure, a different voice, a different assessment style. Resist it. The power of the system is its consistency: a learner moving from module to module should feel one coherent program, not a patchwork of authors. Build your module to match the existing anatomy exactly. Your creativity goes into the content, never into breaking the structure.</w:t>
            </w:r>
          </w:p>
        </w:tc>
      </w:tr>
    </w:tbl>
    <w:tbl>
      <w:tblPr>
        <w:tblW w:type="dxa" w:w="9840"/>
        <w:tblBorders>
          <w:top w:val="none"/>
          <w:left w:val="single" w:color="8A5A2B" w:sz="22"/>
          <w:bottom w:val="none"/>
          <w:right w:val="none"/>
          <w:insideH w:val="none"/>
          <w:insideV w:val="none"/>
        </w:tblBorders>
      </w:tblPr>
      <w:tblGrid>
        <w:gridCol w:w="9840"/>
      </w:tblGrid>
      <w:tr>
        <w:tc>
          <w:tcPr>
            <w:tcW w:type="dxa" w:w="9840"/>
            <w:shd w:fill="F4F6F9"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2B"/>
                <w:spacing w:val="20"/>
                <w:sz w:val="17"/>
                <w:szCs w:val="17"/>
              </w:rPr>
              <w:t xml:space="preserve">EXAMPLE   </w:t>
            </w:r>
            <w:r>
              <w:rPr>
                <w:rFonts w:ascii="Calibri" w:cs="Calibri" w:eastAsia="Calibri" w:hAnsi="Calibri"/>
                <w:b/>
                <w:bCs/>
                <w:i w:val="false"/>
                <w:iCs w:val="false"/>
                <w:color w:val="0E1726"/>
                <w:sz w:val="22"/>
                <w:szCs w:val="22"/>
              </w:rPr>
              <w:t xml:space="preserve">Filling a real gap</w:t>
            </w:r>
          </w:p>
          <w:p>
            <w:pPr>
              <w:spacing w:after="100" w:before="0" w:line="284"/>
            </w:pPr>
            <w:r>
              <w:rPr>
                <w:rFonts w:ascii="Calibri" w:cs="Calibri" w:eastAsia="Calibri" w:hAnsi="Calibri"/>
                <w:b w:val="false"/>
                <w:bCs w:val="false"/>
                <w:i w:val="false"/>
                <w:iCs w:val="false"/>
                <w:color w:val="2E3B4B"/>
                <w:sz w:val="22"/>
                <w:szCs w:val="22"/>
              </w:rPr>
              <w:t xml:space="preserve">Suppose a new robotic-instrument type has entered the department and there is no module for its specific reprocessing. That is a genuine gap. You build a module: you define the observable competencies (correct disassembly, lumen handling, IFU-specific steps), write the teaching content in the standard voice, build knowledge and simulation practice, and create the three gates with an observation rubric. It looks and behaves exactly like fm-05 or fm-06, because it is built to the same anatomy. The learner never feels the seam. That is a module done right.</w:t>
            </w:r>
          </w:p>
        </w:tc>
      </w:tr>
    </w:tbl>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IDEA   </w:t>
            </w:r>
            <w:r>
              <w:rPr>
                <w:rFonts w:ascii="Calibri" w:cs="Calibri" w:eastAsia="Calibri" w:hAnsi="Calibri"/>
                <w:b/>
                <w:bCs/>
                <w:i w:val="false"/>
                <w:iCs w:val="false"/>
                <w:color w:val="0E1726"/>
                <w:sz w:val="22"/>
                <w:szCs w:val="22"/>
              </w:rPr>
              <w:t xml:space="preserve">Pause and think.</w:t>
            </w:r>
          </w:p>
          <w:p>
            <w:pPr>
              <w:spacing w:after="100" w:before="0" w:line="284"/>
            </w:pPr>
            <w:r>
              <w:rPr>
                <w:rFonts w:ascii="Calibri" w:cs="Calibri" w:eastAsia="Calibri" w:hAnsi="Calibri"/>
                <w:b w:val="false"/>
                <w:bCs w:val="false"/>
                <w:i w:val="false"/>
                <w:iCs w:val="false"/>
                <w:color w:val="2E3B4B"/>
                <w:sz w:val="22"/>
                <w:szCs w:val="22"/>
              </w:rPr>
              <w:t xml:space="preserve">Name the four parts every Foundation module must contain. Then explain why a new module should match the existing structure exactly rather than improve on it, even if you think you have a better format.</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tc>
      </w:tr>
    </w:tbl>
    <w:p>
      <w:r>
        <w:br w:type="page"/>
      </w:r>
    </w:p>
    <w:p>
      <w:pPr>
        <w:spacing w:after="30" w:before="40"/>
      </w:pPr>
      <w:r>
        <w:rPr>
          <w:rFonts w:ascii="Calibri" w:cs="Calibri" w:eastAsia="Calibri" w:hAnsi="Calibri"/>
          <w:b/>
          <w:bCs/>
          <w:i w:val="false"/>
          <w:iCs w:val="false"/>
          <w:color w:val="8A5A2B"/>
          <w:spacing w:val="34"/>
          <w:sz w:val="16"/>
          <w:szCs w:val="16"/>
        </w:rPr>
        <w:t xml:space="preserve">SECTION 3 OF 4</w:t>
      </w:r>
    </w:p>
    <w:p>
      <w:pPr>
        <w:pStyle w:val="Heading1"/>
        <w:spacing w:after="150" w:before="360"/>
      </w:pPr>
      <w:r>
        <w:rPr>
          <w:rFonts w:ascii="Georgia" w:cs="Georgia" w:eastAsia="Georgia" w:hAnsi="Georgia"/>
          <w:b/>
          <w:bCs/>
          <w:i w:val="false"/>
          <w:iCs w:val="false"/>
          <w:color w:val="1E2761"/>
          <w:sz w:val="34"/>
          <w:szCs w:val="34"/>
        </w:rPr>
        <w:t xml:space="preserve">Developing objective rubrics</w:t>
      </w:r>
    </w:p>
    <w:p>
      <w:pPr>
        <w:spacing w:after="170" w:before="0" w:line="300"/>
      </w:pPr>
      <w:r>
        <w:rPr>
          <w:rFonts w:ascii="Georgia" w:cs="Georgia" w:eastAsia="Georgia" w:hAnsi="Georgia"/>
          <w:b w:val="false"/>
          <w:bCs w:val="false"/>
          <w:i/>
          <w:iCs/>
          <w:color w:val="1E2761"/>
          <w:sz w:val="23"/>
          <w:szCs w:val="23"/>
        </w:rPr>
        <w:t xml:space="preserve">A rubric is the instrument that makes observation fair. A poorly built rubric quietly reintroduces the subjectivity the whole system exists to remove.</w:t>
      </w:r>
    </w:p>
    <w:p>
      <w:pPr>
        <w:pStyle w:val="Heading2"/>
        <w:spacing w:after="110" w:before="320"/>
      </w:pPr>
      <w:r>
        <w:rPr>
          <w:rFonts w:ascii="Calibri" w:cs="Calibri" w:eastAsia="Calibri" w:hAnsi="Calibri"/>
          <w:b/>
          <w:bCs/>
          <w:i w:val="false"/>
          <w:iCs w:val="false"/>
          <w:color w:val="0E1726"/>
          <w:sz w:val="27"/>
          <w:szCs w:val="27"/>
        </w:rPr>
        <w:t xml:space="preserve">The test of a good rubric</w:t>
      </w:r>
    </w:p>
    <w:p>
      <w:pPr>
        <w:spacing w:after="150" w:before="0" w:line="292"/>
      </w:pPr>
      <w:r>
        <w:rPr>
          <w:rFonts w:ascii="Calibri" w:cs="Calibri" w:eastAsia="Calibri" w:hAnsi="Calibri"/>
          <w:b w:val="false"/>
          <w:bCs w:val="false"/>
          <w:i w:val="false"/>
          <w:iCs w:val="false"/>
          <w:color w:val="2E3B4B"/>
          <w:sz w:val="22"/>
          <w:szCs w:val="22"/>
        </w:rPr>
        <w:t xml:space="preserve">There is one test for a rubric, and it is demanding: two different trained observers, watching the same performance, must reach the same pass-or-fail decision. If your rubric lets two fair observers disagree, it is not objective, it is opinion in a table. Every criterion has to be specific and observable enough that judgment is constrained to what actually happened, not what the observer felt about it.</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Observable, not interpretive. </w:t>
      </w:r>
      <w:r>
        <w:rPr>
          <w:rFonts w:ascii="Calibri" w:cs="Calibri" w:eastAsia="Calibri" w:hAnsi="Calibri"/>
          <w:b w:val="false"/>
          <w:bCs w:val="false"/>
          <w:i w:val="false"/>
          <w:iCs w:val="false"/>
          <w:color w:val="2E3B4B"/>
          <w:sz w:val="22"/>
          <w:szCs w:val="22"/>
        </w:rPr>
        <w:t xml:space="preserve">“Cleans the lumen per IFU” can be seen. “Shows good technique” cannot. Write only what an observer can watch happen.</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Binary where safety demands it. </w:t>
      </w:r>
      <w:r>
        <w:rPr>
          <w:rFonts w:ascii="Calibri" w:cs="Calibri" w:eastAsia="Calibri" w:hAnsi="Calibri"/>
          <w:b w:val="false"/>
          <w:bCs w:val="false"/>
          <w:i w:val="false"/>
          <w:iCs w:val="false"/>
          <w:color w:val="2E3B4B"/>
          <w:sz w:val="22"/>
          <w:szCs w:val="22"/>
        </w:rPr>
        <w:t xml:space="preserve">Safety-critical items are pass/fail, not graded. Either the contamination event happened or it did not.</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Weighted to what matters. </w:t>
      </w:r>
      <w:r>
        <w:rPr>
          <w:rFonts w:ascii="Calibri" w:cs="Calibri" w:eastAsia="Calibri" w:hAnsi="Calibri"/>
          <w:b w:val="false"/>
          <w:bCs w:val="false"/>
          <w:i w:val="false"/>
          <w:iCs w:val="false"/>
          <w:color w:val="2E3B4B"/>
          <w:sz w:val="22"/>
          <w:szCs w:val="22"/>
        </w:rPr>
        <w:t xml:space="preserve">Points reflect real importance, and safety-critical items carry the override you built into every rubric: they fail regardless of the total.</w:t>
      </w:r>
    </w:p>
    <w:p>
      <w:pPr>
        <w:pStyle w:val="Heading2"/>
        <w:spacing w:after="110" w:before="320"/>
      </w:pPr>
      <w:r>
        <w:rPr>
          <w:rFonts w:ascii="Calibri" w:cs="Calibri" w:eastAsia="Calibri" w:hAnsi="Calibri"/>
          <w:b/>
          <w:bCs/>
          <w:i w:val="false"/>
          <w:iCs w:val="false"/>
          <w:color w:val="0E1726"/>
          <w:sz w:val="27"/>
          <w:szCs w:val="27"/>
        </w:rPr>
        <w:t xml:space="preserve">Build the fail conditions in deliberately</w:t>
      </w:r>
    </w:p>
    <w:p>
      <w:pPr>
        <w:spacing w:after="150" w:before="0" w:line="292"/>
      </w:pPr>
      <w:r>
        <w:rPr>
          <w:rFonts w:ascii="Calibri" w:cs="Calibri" w:eastAsia="Calibri" w:hAnsi="Calibri"/>
          <w:b w:val="false"/>
          <w:bCs w:val="false"/>
          <w:i w:val="false"/>
          <w:iCs w:val="false"/>
          <w:color w:val="2E3B4B"/>
          <w:sz w:val="22"/>
          <w:szCs w:val="22"/>
        </w:rPr>
        <w:t xml:space="preserve">A rubric is not only a scoring sheet; it encodes what can never be acceptable. When you build one, you deliberately define the automatic-fail conditions, the safety-critical behaviors that fail the observation no matter how strong the rest, because you learned in Module 5 that a 95 with a contamination event is a fail, not a 95. Building that override in is one of the most important things you do as an author.</w:t>
      </w:r>
    </w:p>
    <w:tbl>
      <w:tblPr>
        <w:tblW w:type="dxa" w:w="9840"/>
        <w:tblBorders>
          <w:top w:val="none"/>
          <w:left w:val="single" w:color="8A5A2B" w:sz="22"/>
          <w:bottom w:val="none"/>
          <w:right w:val="none"/>
          <w:insideH w:val="none"/>
          <w:insideV w:val="none"/>
        </w:tblBorders>
      </w:tblPr>
      <w:tblGrid>
        <w:gridCol w:w="9840"/>
      </w:tblGrid>
      <w:tr>
        <w:tc>
          <w:tcPr>
            <w:tcW w:type="dxa" w:w="9840"/>
            <w:shd w:fill="F4F6F9"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2B"/>
                <w:spacing w:val="20"/>
                <w:sz w:val="17"/>
                <w:szCs w:val="17"/>
              </w:rPr>
              <w:t xml:space="preserve">EXAMPLE   </w:t>
            </w:r>
            <w:r>
              <w:rPr>
                <w:rFonts w:ascii="Calibri" w:cs="Calibri" w:eastAsia="Calibri" w:hAnsi="Calibri"/>
                <w:b/>
                <w:bCs/>
                <w:i w:val="false"/>
                <w:iCs w:val="false"/>
                <w:color w:val="0E1726"/>
                <w:sz w:val="22"/>
                <w:szCs w:val="22"/>
              </w:rPr>
              <w:t xml:space="preserve">Turning a vague criterion objective</w:t>
            </w:r>
          </w:p>
          <w:p>
            <w:pPr>
              <w:spacing w:after="100" w:before="0" w:line="284"/>
            </w:pPr>
            <w:r>
              <w:rPr>
                <w:rFonts w:ascii="Calibri" w:cs="Calibri" w:eastAsia="Calibri" w:hAnsi="Calibri"/>
                <w:b w:val="false"/>
                <w:bCs w:val="false"/>
                <w:i w:val="false"/>
                <w:iCs w:val="false"/>
                <w:color w:val="2E3B4B"/>
                <w:sz w:val="22"/>
                <w:szCs w:val="22"/>
              </w:rPr>
              <w:t xml:space="preserve">Weak criterion: “Handles instruments safely.” Two observers will score that ten different ways. Rebuilt objective: “Transports sharps in a closed, puncture-resistant container; no unsheathed sharp handled outside a tray; hands never enter a tray blind.” Now it is observable, specific, and two observers watching the same tech will agree. And you flag the sharps items as safety-critical automatic-fails. That rebuild is the core skill of rubric authorship: convert every feeling into something you can see.</w:t>
            </w:r>
          </w:p>
        </w:tc>
      </w:tr>
    </w:tbl>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IDEA   </w:t>
            </w:r>
            <w:r>
              <w:rPr>
                <w:rFonts w:ascii="Calibri" w:cs="Calibri" w:eastAsia="Calibri" w:hAnsi="Calibri"/>
                <w:b/>
                <w:bCs/>
                <w:i w:val="false"/>
                <w:iCs w:val="false"/>
                <w:color w:val="0E1726"/>
                <w:sz w:val="22"/>
                <w:szCs w:val="22"/>
              </w:rPr>
              <w:t xml:space="preserve">Check yourself.</w:t>
            </w:r>
          </w:p>
          <w:p>
            <w:pPr>
              <w:spacing w:after="100" w:before="0" w:line="284"/>
            </w:pPr>
            <w:r>
              <w:rPr>
                <w:rFonts w:ascii="Calibri" w:cs="Calibri" w:eastAsia="Calibri" w:hAnsi="Calibri"/>
                <w:b w:val="false"/>
                <w:bCs w:val="false"/>
                <w:i w:val="false"/>
                <w:iCs w:val="false"/>
                <w:color w:val="2E3B4B"/>
                <w:sz w:val="22"/>
                <w:szCs w:val="22"/>
              </w:rPr>
              <w:t xml:space="preserve">State the one test a good rubric must pass. Then take this weak criterion and rewrite it to be observable and objective: “the learner demonstrates professionalism.”</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tc>
      </w:tr>
    </w:tbl>
    <w:p>
      <w:r>
        <w:br w:type="page"/>
      </w:r>
    </w:p>
    <w:p>
      <w:pPr>
        <w:spacing w:after="30" w:before="40"/>
      </w:pPr>
      <w:r>
        <w:rPr>
          <w:rFonts w:ascii="Calibri" w:cs="Calibri" w:eastAsia="Calibri" w:hAnsi="Calibri"/>
          <w:b/>
          <w:bCs/>
          <w:i w:val="false"/>
          <w:iCs w:val="false"/>
          <w:color w:val="8A5A2B"/>
          <w:spacing w:val="34"/>
          <w:sz w:val="16"/>
          <w:szCs w:val="16"/>
        </w:rPr>
        <w:t xml:space="preserve">SECTION 4 OF 4</w:t>
      </w:r>
    </w:p>
    <w:p>
      <w:pPr>
        <w:pStyle w:val="Heading1"/>
        <w:spacing w:after="150" w:before="360"/>
      </w:pPr>
      <w:r>
        <w:rPr>
          <w:rFonts w:ascii="Georgia" w:cs="Georgia" w:eastAsia="Georgia" w:hAnsi="Georgia"/>
          <w:b/>
          <w:bCs/>
          <w:i w:val="false"/>
          <w:iCs w:val="false"/>
          <w:color w:val="1E2761"/>
          <w:sz w:val="34"/>
          <w:szCs w:val="34"/>
        </w:rPr>
        <w:t xml:space="preserve">Writing valid practice items</w:t>
      </w:r>
    </w:p>
    <w:p>
      <w:pPr>
        <w:spacing w:after="170" w:before="0" w:line="300"/>
      </w:pPr>
      <w:r>
        <w:rPr>
          <w:rFonts w:ascii="Georgia" w:cs="Georgia" w:eastAsia="Georgia" w:hAnsi="Georgia"/>
          <w:b w:val="false"/>
          <w:bCs w:val="false"/>
          <w:i/>
          <w:iCs/>
          <w:color w:val="1E2761"/>
          <w:sz w:val="23"/>
          <w:szCs w:val="23"/>
        </w:rPr>
        <w:t xml:space="preserve">Practice exams drive readiness. An item that measures the wrong thing, or measures nothing, corrupts the readiness signal the whole system relies on.</w:t>
      </w:r>
    </w:p>
    <w:p>
      <w:pPr>
        <w:spacing w:after="150" w:before="0" w:line="292"/>
      </w:pPr>
      <w:r>
        <w:rPr>
          <w:rFonts w:ascii="Calibri" w:cs="Calibri" w:eastAsia="Calibri" w:hAnsi="Calibri"/>
          <w:b w:val="false"/>
          <w:bCs w:val="false"/>
          <w:i w:val="false"/>
          <w:iCs w:val="false"/>
          <w:color w:val="2E3B4B"/>
          <w:sz w:val="22"/>
          <w:szCs w:val="22"/>
        </w:rPr>
        <w:t xml:space="preserve">You learned in Level 1 that the 90% practice threshold is the readiness signal facilitators trust. That trust is only as good as the items behind it. As an author, you write items that actually measure the target competency, cleanly, so that a learner scoring 90% genuinely is ready and a learner scoring 70% genuinely has a gap. A bad item breaks that link, and no facilitator downstream can tell.</w:t>
      </w:r>
    </w:p>
    <w:p>
      <w:pPr>
        <w:pStyle w:val="Heading2"/>
        <w:spacing w:after="110" w:before="320"/>
      </w:pPr>
      <w:r>
        <w:rPr>
          <w:rFonts w:ascii="Calibri" w:cs="Calibri" w:eastAsia="Calibri" w:hAnsi="Calibri"/>
          <w:b/>
          <w:bCs/>
          <w:i w:val="false"/>
          <w:iCs w:val="false"/>
          <w:color w:val="0E1726"/>
          <w:sz w:val="27"/>
          <w:szCs w:val="27"/>
        </w:rPr>
        <w:t xml:space="preserve">What makes an item valid</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It measures the competency, not test-taking. </w:t>
      </w:r>
      <w:r>
        <w:rPr>
          <w:rFonts w:ascii="Calibri" w:cs="Calibri" w:eastAsia="Calibri" w:hAnsi="Calibri"/>
          <w:b w:val="false"/>
          <w:bCs w:val="false"/>
          <w:i w:val="false"/>
          <w:iCs w:val="false"/>
          <w:color w:val="2E3B4B"/>
          <w:sz w:val="22"/>
          <w:szCs w:val="22"/>
        </w:rPr>
        <w:t xml:space="preserve">The item tests whether they know the work, not whether they can decode a tricky question. Trickery measures cleverness, not competence.</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One clearly correct answer, plausible distractors. </w:t>
      </w:r>
      <w:r>
        <w:rPr>
          <w:rFonts w:ascii="Calibri" w:cs="Calibri" w:eastAsia="Calibri" w:hAnsi="Calibri"/>
          <w:b w:val="false"/>
          <w:bCs w:val="false"/>
          <w:i w:val="false"/>
          <w:iCs w:val="false"/>
          <w:color w:val="2E3B4B"/>
          <w:sz w:val="22"/>
          <w:szCs w:val="22"/>
        </w:rPr>
        <w:t xml:space="preserve">The wrong options should be things a genuinely confused learner would pick, so a wrong answer tells you where the gap is.</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It maps to a real competency and domain. </w:t>
      </w:r>
      <w:r>
        <w:rPr>
          <w:rFonts w:ascii="Calibri" w:cs="Calibri" w:eastAsia="Calibri" w:hAnsi="Calibri"/>
          <w:b w:val="false"/>
          <w:bCs w:val="false"/>
          <w:i w:val="false"/>
          <w:iCs w:val="false"/>
          <w:color w:val="2E3B4B"/>
          <w:sz w:val="22"/>
          <w:szCs w:val="22"/>
        </w:rPr>
        <w:t xml:space="preserve">Every item traces to something the learner is meant to be able to do, so domain-level scoring stays meaningful.</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It is unambiguous. </w:t>
      </w:r>
      <w:r>
        <w:rPr>
          <w:rFonts w:ascii="Calibri" w:cs="Calibri" w:eastAsia="Calibri" w:hAnsi="Calibri"/>
          <w:b w:val="false"/>
          <w:bCs w:val="false"/>
          <w:i w:val="false"/>
          <w:iCs w:val="false"/>
          <w:color w:val="2E3B4B"/>
          <w:sz w:val="22"/>
          <w:szCs w:val="22"/>
        </w:rPr>
        <w:t xml:space="preserve">A competent learner should never fail an item because it was unclear, that is the item failing, not the learner.</w:t>
      </w:r>
    </w:p>
    <w:p>
      <w:pPr>
        <w:pStyle w:val="Heading2"/>
        <w:spacing w:after="110" w:before="320"/>
      </w:pPr>
      <w:r>
        <w:rPr>
          <w:rFonts w:ascii="Calibri" w:cs="Calibri" w:eastAsia="Calibri" w:hAnsi="Calibri"/>
          <w:b/>
          <w:bCs/>
          <w:i w:val="false"/>
          <w:iCs w:val="false"/>
          <w:color w:val="0E1726"/>
          <w:sz w:val="27"/>
          <w:szCs w:val="27"/>
        </w:rPr>
        <w:t xml:space="preserve">Validate before you trust</w:t>
      </w:r>
    </w:p>
    <w:tbl>
      <w:tblPr>
        <w:tblW w:type="dxa" w:w="9840"/>
        <w:tblBorders>
          <w:top w:val="none"/>
          <w:left w:val="single" w:color="B7791F" w:sz="22"/>
          <w:bottom w:val="none"/>
          <w:right w:val="none"/>
          <w:insideH w:val="none"/>
          <w:insideV w:val="none"/>
        </w:tblBorders>
      </w:tblPr>
      <w:tblGrid>
        <w:gridCol w:w="9840"/>
      </w:tblGrid>
      <w:tr>
        <w:tc>
          <w:tcPr>
            <w:tcW w:type="dxa" w:w="9840"/>
            <w:shd w:fill="FBF3E2"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12"/>
                <w:spacing w:val="20"/>
                <w:sz w:val="17"/>
                <w:szCs w:val="17"/>
              </w:rPr>
              <w:t xml:space="preserve">WATCH OUT   </w:t>
            </w:r>
            <w:r>
              <w:rPr>
                <w:rFonts w:ascii="Calibri" w:cs="Calibri" w:eastAsia="Calibri" w:hAnsi="Calibri"/>
                <w:b/>
                <w:bCs/>
                <w:i w:val="false"/>
                <w:iCs w:val="false"/>
                <w:color w:val="0E1726"/>
                <w:sz w:val="22"/>
                <w:szCs w:val="22"/>
              </w:rPr>
              <w:t xml:space="preserve">An untested item is a liability, not an asset.</w:t>
            </w:r>
          </w:p>
          <w:p>
            <w:pPr>
              <w:spacing w:after="100" w:before="0" w:line="284"/>
            </w:pPr>
            <w:r>
              <w:rPr>
                <w:rFonts w:ascii="Calibri" w:cs="Calibri" w:eastAsia="Calibri" w:hAnsi="Calibri"/>
                <w:b w:val="false"/>
                <w:bCs w:val="false"/>
                <w:i w:val="false"/>
                <w:iCs w:val="false"/>
                <w:color w:val="2E3B4B"/>
                <w:sz w:val="22"/>
                <w:szCs w:val="22"/>
              </w:rPr>
              <w:t xml:space="preserve">A newly written item is a hypothesis, not a proven measure. Before it counts toward readiness, it should be reviewed and, ideally, checked against real results: do competent learners pass it and struggling ones miss it? An item that everyone gets right measures nothing; an item that even strong learners fail is probably broken. Validation is what separates a real assessment from a quiz you made up. Never let an unvalidated item silently gate someone's readiness.</w:t>
            </w:r>
          </w:p>
        </w:tc>
      </w:tr>
    </w:tbl>
    <w:tbl>
      <w:tblPr>
        <w:tblW w:type="dxa" w:w="9840"/>
        <w:tblBorders>
          <w:top w:val="none"/>
          <w:left w:val="single" w:color="8A5A2B" w:sz="22"/>
          <w:bottom w:val="none"/>
          <w:right w:val="none"/>
          <w:insideH w:val="none"/>
          <w:insideV w:val="none"/>
        </w:tblBorders>
      </w:tblPr>
      <w:tblGrid>
        <w:gridCol w:w="9840"/>
      </w:tblGrid>
      <w:tr>
        <w:tc>
          <w:tcPr>
            <w:tcW w:type="dxa" w:w="9840"/>
            <w:shd w:fill="F4F6F9"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2B"/>
                <w:spacing w:val="20"/>
                <w:sz w:val="17"/>
                <w:szCs w:val="17"/>
              </w:rPr>
              <w:t xml:space="preserve">EXAMPLE   </w:t>
            </w:r>
            <w:r>
              <w:rPr>
                <w:rFonts w:ascii="Calibri" w:cs="Calibri" w:eastAsia="Calibri" w:hAnsi="Calibri"/>
                <w:b/>
                <w:bCs/>
                <w:i w:val="false"/>
                <w:iCs w:val="false"/>
                <w:color w:val="0E1726"/>
                <w:sz w:val="22"/>
                <w:szCs w:val="22"/>
              </w:rPr>
              <w:t xml:space="preserve">A broken item and its fix</w:t>
            </w:r>
          </w:p>
          <w:p>
            <w:pPr>
              <w:spacing w:after="100" w:before="0" w:line="284"/>
            </w:pPr>
            <w:r>
              <w:rPr>
                <w:rFonts w:ascii="Calibri" w:cs="Calibri" w:eastAsia="Calibri" w:hAnsi="Calibri"/>
                <w:b w:val="false"/>
                <w:bCs w:val="false"/>
                <w:i w:val="false"/>
                <w:iCs w:val="false"/>
                <w:color w:val="2E3B4B"/>
                <w:sz w:val="22"/>
                <w:szCs w:val="22"/>
              </w:rPr>
              <w:t xml:space="preserve">Broken: a question with two defensibly correct answers, or a “gotcha” that hinges on misreading the wording. Competent learners miss it, and the facilitator wrongly reads that as a knowledge gap. Fixed: one unambiguous correct answer, distractors that represent real misconceptions, wording a competent learner reads correctly the first time. Now a miss means a genuine gap, and the readiness signal stays trustworthy. You protected every facilitator who will ever rely on that score.</w:t>
            </w:r>
          </w:p>
        </w:tc>
      </w:tr>
    </w:tbl>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IDEA   </w:t>
            </w:r>
            <w:r>
              <w:rPr>
                <w:rFonts w:ascii="Calibri" w:cs="Calibri" w:eastAsia="Calibri" w:hAnsi="Calibri"/>
                <w:b/>
                <w:bCs/>
                <w:i w:val="false"/>
                <w:iCs w:val="false"/>
                <w:color w:val="0E1726"/>
                <w:sz w:val="22"/>
                <w:szCs w:val="22"/>
              </w:rPr>
              <w:t xml:space="preserve">Pause and think.</w:t>
            </w:r>
          </w:p>
          <w:p>
            <w:pPr>
              <w:spacing w:after="100" w:before="0" w:line="284"/>
            </w:pPr>
            <w:r>
              <w:rPr>
                <w:rFonts w:ascii="Calibri" w:cs="Calibri" w:eastAsia="Calibri" w:hAnsi="Calibri"/>
                <w:b w:val="false"/>
                <w:bCs w:val="false"/>
                <w:i w:val="false"/>
                <w:iCs w:val="false"/>
                <w:color w:val="2E3B4B"/>
                <w:sz w:val="22"/>
                <w:szCs w:val="22"/>
              </w:rPr>
              <w:t xml:space="preserve">Name two things that make a practice item valid and one thing that makes it broken. Then explain why an unvalidated item is dangerous to the whole system, not just to one learner.</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tc>
      </w:tr>
    </w:tbl>
    <w:p>
      <w:r>
        <w:br w:type="page"/>
      </w:r>
    </w:p>
    <w:p>
      <w:pPr>
        <w:pStyle w:val="Heading1"/>
        <w:spacing w:after="150" w:before="360"/>
      </w:pPr>
      <w:r>
        <w:rPr>
          <w:rFonts w:ascii="Georgia" w:cs="Georgia" w:eastAsia="Georgia" w:hAnsi="Georgia"/>
          <w:b/>
          <w:bCs/>
          <w:i w:val="false"/>
          <w:iCs w:val="false"/>
          <w:color w:val="1E2761"/>
          <w:sz w:val="34"/>
          <w:szCs w:val="34"/>
        </w:rPr>
        <w:t xml:space="preserve">Put it to work</w:t>
      </w:r>
    </w:p>
    <w:p>
      <w:pPr>
        <w:spacing w:after="150" w:before="0" w:line="292"/>
      </w:pPr>
      <w:r>
        <w:rPr>
          <w:rFonts w:ascii="Calibri" w:cs="Calibri" w:eastAsia="Calibri" w:hAnsi="Calibri"/>
          <w:b w:val="false"/>
          <w:bCs w:val="false"/>
          <w:i w:val="false"/>
          <w:iCs w:val="false"/>
          <w:color w:val="2E3B4B"/>
          <w:sz w:val="22"/>
          <w:szCs w:val="22"/>
        </w:rPr>
        <w:t xml:space="preserve">Two activities before the module assessment, both drawn from the authoring work of a Master Facilitator.</w:t>
      </w:r>
    </w:p>
    <w:p>
      <w:pPr>
        <w:pStyle w:val="Heading3"/>
        <w:spacing w:after="80" w:before="240"/>
      </w:pPr>
      <w:r>
        <w:rPr>
          <w:rFonts w:ascii="Calibri" w:cs="Calibri" w:eastAsia="Calibri" w:hAnsi="Calibri"/>
          <w:b/>
          <w:bCs/>
          <w:i w:val="false"/>
          <w:iCs w:val="false"/>
          <w:color w:val="8A5A2B"/>
          <w:sz w:val="22"/>
          <w:szCs w:val="22"/>
        </w:rPr>
        <w:t xml:space="preserve">Activity 1 · Draft a module outline</w:t>
      </w:r>
    </w:p>
    <w:p>
      <w:pPr>
        <w:spacing w:after="150" w:before="0" w:line="292"/>
      </w:pPr>
      <w:r>
        <w:rPr>
          <w:rFonts w:ascii="Calibri" w:cs="Calibri" w:eastAsia="Calibri" w:hAnsi="Calibri"/>
          <w:b w:val="false"/>
          <w:bCs w:val="false"/>
          <w:i w:val="false"/>
          <w:iCs w:val="false"/>
          <w:color w:val="2E3B4B"/>
          <w:sz w:val="22"/>
          <w:szCs w:val="22"/>
        </w:rPr>
        <w:t xml:space="preserve">Pick a genuine curriculum gap, real or invented. Draft the outline of a Foundation module to fill it: the observable competency objectives, a sketch of the teaching content, the practice, and the three gates with the focus of the observation rubric. Match the existing module anatomy.</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Style w:val="Heading3"/>
        <w:spacing w:after="80" w:before="240"/>
      </w:pPr>
      <w:r>
        <w:rPr>
          <w:rFonts w:ascii="Calibri" w:cs="Calibri" w:eastAsia="Calibri" w:hAnsi="Calibri"/>
          <w:b/>
          <w:bCs/>
          <w:i w:val="false"/>
          <w:iCs w:val="false"/>
          <w:color w:val="8A5A2B"/>
          <w:sz w:val="22"/>
          <w:szCs w:val="22"/>
        </w:rPr>
        <w:t xml:space="preserve">Activity 2 · Build a rubric and two items</w:t>
      </w:r>
    </w:p>
    <w:p>
      <w:pPr>
        <w:spacing w:after="150" w:before="0" w:line="292"/>
      </w:pPr>
      <w:r>
        <w:rPr>
          <w:rFonts w:ascii="Calibri" w:cs="Calibri" w:eastAsia="Calibri" w:hAnsi="Calibri"/>
          <w:b w:val="false"/>
          <w:bCs w:val="false"/>
          <w:i w:val="false"/>
          <w:iCs w:val="false"/>
          <w:color w:val="2E3B4B"/>
          <w:sz w:val="22"/>
          <w:szCs w:val="22"/>
        </w:rPr>
        <w:t xml:space="preserve">For that module, write three observable rubric criteria (at least one safety-critical automatic-fail), and two valid practice-exam items with one clearly correct answer and plausible distractors each. Then note how you would validate the items before trusting them.</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r>
        <w:br w:type="page"/>
      </w:r>
    </w:p>
    <w:p>
      <w:pPr>
        <w:pStyle w:val="Heading1"/>
        <w:spacing w:after="150" w:before="360"/>
      </w:pPr>
      <w:r>
        <w:rPr>
          <w:rFonts w:ascii="Georgia" w:cs="Georgia" w:eastAsia="Georgia" w:hAnsi="Georgia"/>
          <w:b/>
          <w:bCs/>
          <w:i w:val="false"/>
          <w:iCs w:val="false"/>
          <w:color w:val="1E2761"/>
          <w:sz w:val="34"/>
          <w:szCs w:val="34"/>
        </w:rPr>
        <w:t xml:space="preserve">Module 12 assessment</w:t>
      </w:r>
    </w:p>
    <w:p>
      <w:pPr>
        <w:spacing w:after="150" w:before="0" w:line="292"/>
      </w:pPr>
      <w:r>
        <w:rPr>
          <w:rFonts w:ascii="Calibri" w:cs="Calibri" w:eastAsia="Calibri" w:hAnsi="Calibri"/>
          <w:b w:val="false"/>
          <w:bCs w:val="false"/>
          <w:i w:val="false"/>
          <w:iCs w:val="false"/>
          <w:color w:val="2E3B4B"/>
          <w:sz w:val="22"/>
          <w:szCs w:val="22"/>
        </w:rPr>
        <w:t xml:space="preserve">The Level 3 assessment for this module is a produced artifact: you create a real curriculum component that meets SBD standards on review. Complete both tasks fully; they combine with the other Level 3 modules toward the certification gates. Score yourself against the guide that follows.</w:t>
      </w:r>
    </w:p>
    <w:p>
      <w:pPr>
        <w:pStyle w:val="Heading2"/>
        <w:spacing w:after="110" w:before="320"/>
      </w:pPr>
      <w:r>
        <w:rPr>
          <w:rFonts w:ascii="Calibri" w:cs="Calibri" w:eastAsia="Calibri" w:hAnsi="Calibri"/>
          <w:b/>
          <w:bCs/>
          <w:i w:val="false"/>
          <w:iCs w:val="false"/>
          <w:color w:val="0E1726"/>
          <w:sz w:val="27"/>
          <w:szCs w:val="27"/>
        </w:rPr>
        <w:t xml:space="preserve">Task 1 · Produce a module component</w:t>
      </w:r>
    </w:p>
    <w:p>
      <w:pPr>
        <w:spacing w:after="150" w:before="0" w:line="292"/>
      </w:pPr>
      <w:r>
        <w:rPr>
          <w:rFonts w:ascii="Calibri" w:cs="Calibri" w:eastAsia="Calibri" w:hAnsi="Calibri"/>
          <w:b w:val="false"/>
          <w:bCs w:val="false"/>
          <w:i w:val="false"/>
          <w:iCs w:val="false"/>
          <w:color w:val="2E3B4B"/>
          <w:sz w:val="22"/>
          <w:szCs w:val="22"/>
        </w:rPr>
        <w:t xml:space="preserve">Develop one complete, usable piece of curriculum: either a full module outline with objectives, content sketch, practice, and gates, or a complete observation rubric for an existing competency. Build it to the exact anatomy and voice of the existing system, so it could slot in without a seam.</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Style w:val="Heading2"/>
        <w:spacing w:after="110" w:before="320"/>
      </w:pPr>
      <w:r>
        <w:rPr>
          <w:rFonts w:ascii="Calibri" w:cs="Calibri" w:eastAsia="Calibri" w:hAnsi="Calibri"/>
          <w:b/>
          <w:bCs/>
          <w:i w:val="false"/>
          <w:iCs w:val="false"/>
          <w:color w:val="0E1726"/>
          <w:sz w:val="27"/>
          <w:szCs w:val="27"/>
        </w:rPr>
        <w:t xml:space="preserve">Task 2 · Write and validate practice items</w:t>
      </w:r>
    </w:p>
    <w:p>
      <w:pPr>
        <w:spacing w:after="150" w:before="0" w:line="292"/>
      </w:pPr>
      <w:r>
        <w:rPr>
          <w:rFonts w:ascii="Calibri" w:cs="Calibri" w:eastAsia="Calibri" w:hAnsi="Calibri"/>
          <w:b w:val="false"/>
          <w:bCs w:val="false"/>
          <w:i w:val="false"/>
          <w:iCs w:val="false"/>
          <w:color w:val="2E3B4B"/>
          <w:sz w:val="22"/>
          <w:szCs w:val="22"/>
        </w:rPr>
        <w:t xml:space="preserve">Write four practice-exam items for a competency of your choice, each mapped to a domain, each with one clearly correct answer and plausible distractors. Then write your validation plan: how you would confirm these items measure the competency before letting them gate readiness.</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r>
        <w:br w:type="page"/>
      </w:r>
    </w:p>
    <w:p>
      <w:pPr>
        <w:pStyle w:val="Heading1"/>
        <w:spacing w:after="150" w:before="360"/>
      </w:pPr>
      <w:r>
        <w:rPr>
          <w:rFonts w:ascii="Georgia" w:cs="Georgia" w:eastAsia="Georgia" w:hAnsi="Georgia"/>
          <w:b/>
          <w:bCs/>
          <w:i w:val="false"/>
          <w:iCs w:val="false"/>
          <w:color w:val="1E2761"/>
          <w:sz w:val="34"/>
          <w:szCs w:val="34"/>
        </w:rPr>
        <w:t xml:space="preserve">Self-scoring guide</w:t>
      </w:r>
    </w:p>
    <w:p>
      <w:pPr>
        <w:spacing w:after="150" w:before="0" w:line="292"/>
      </w:pPr>
      <w:r>
        <w:rPr>
          <w:rFonts w:ascii="Calibri" w:cs="Calibri" w:eastAsia="Calibri" w:hAnsi="Calibri"/>
          <w:b w:val="false"/>
          <w:bCs w:val="false"/>
          <w:i w:val="false"/>
          <w:iCs w:val="false"/>
          <w:color w:val="2E3B4B"/>
          <w:sz w:val="22"/>
          <w:szCs w:val="22"/>
        </w:rPr>
        <w:t xml:space="preserve">Score each task against its marks. Both tasks must reach at least four of five to complete Module 12.</w:t>
      </w:r>
    </w:p>
    <w:tbl>
      <w:tblPr>
        <w:tblW w:type="dxa" w:w="9840"/>
        <w:tblBorders>
          <w:top w:val="single" w:color="D8DEE6" w:sz="4"/>
          <w:left w:val="single" w:color="D8DEE6" w:sz="4"/>
          <w:bottom w:val="single" w:color="D8DEE6" w:sz="4"/>
          <w:right w:val="single" w:color="D8DEE6" w:sz="4"/>
          <w:insideH w:val="single" w:color="E4E9EF" w:sz="2"/>
          <w:insideV w:val="single" w:color="E4E9EF" w:sz="2"/>
        </w:tblBorders>
      </w:tblPr>
      <w:tblGrid>
        <w:gridCol w:w="8140"/>
        <w:gridCol w:w="1700"/>
      </w:tblGrid>
      <w:tr>
        <w:trPr>
          <w:tblHeader/>
        </w:trPr>
        <w:tc>
          <w:tcPr>
            <w:tcW w:type="dxa" w:w="814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Task 1 · Curriculum component</w:t>
            </w:r>
          </w:p>
        </w:tc>
        <w:tc>
          <w:tcPr>
            <w:tcW w:type="dxa" w:w="170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Present?</w:t>
            </w:r>
          </w:p>
        </w:tc>
      </w:tr>
      <w:tr>
        <w:tc>
          <w:tcPr>
            <w:tcW w:type="dxa" w:w="814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Designed backward from observable competencies</w:t>
            </w:r>
          </w:p>
        </w:tc>
        <w:tc>
          <w:tcPr>
            <w:tcW w:type="dxa" w:w="17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Matches the existing module or rubric anatomy exactly</w:t>
            </w:r>
          </w:p>
        </w:tc>
        <w:tc>
          <w:tcPr>
            <w:tcW w:type="dxa" w:w="170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Rubric criteria are observable, not interpretive</w:t>
            </w:r>
          </w:p>
        </w:tc>
        <w:tc>
          <w:tcPr>
            <w:tcW w:type="dxa" w:w="17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Safety-critical automatic-fail conditions are built in</w:t>
            </w:r>
          </w:p>
        </w:tc>
        <w:tc>
          <w:tcPr>
            <w:tcW w:type="dxa" w:w="170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Could slot into the system without a seam</w:t>
            </w:r>
          </w:p>
        </w:tc>
        <w:tc>
          <w:tcPr>
            <w:tcW w:type="dxa" w:w="17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bl>
    <w:p>
      <w:pPr>
        <w:spacing w:after="20" w:before="0" w:line="288"/>
      </w:pPr>
      <w:r>
        <w:rPr>
          <w:rFonts w:ascii="Calibri" w:cs="Calibri" w:eastAsia="Calibri" w:hAnsi="Calibri"/>
          <w:b w:val="false"/>
          <w:bCs w:val="false"/>
          <w:i w:val="false"/>
          <w:iCs w:val="false"/>
          <w:color w:val="2E3B4B"/>
          <w:sz w:val="8"/>
          <w:szCs w:val="8"/>
        </w:rPr>
        <w:t xml:space="preserve"> </w:t>
      </w:r>
    </w:p>
    <w:tbl>
      <w:tblPr>
        <w:tblW w:type="dxa" w:w="9840"/>
        <w:tblBorders>
          <w:top w:val="single" w:color="D8DEE6" w:sz="4"/>
          <w:left w:val="single" w:color="D8DEE6" w:sz="4"/>
          <w:bottom w:val="single" w:color="D8DEE6" w:sz="4"/>
          <w:right w:val="single" w:color="D8DEE6" w:sz="4"/>
          <w:insideH w:val="single" w:color="E4E9EF" w:sz="2"/>
          <w:insideV w:val="single" w:color="E4E9EF" w:sz="2"/>
        </w:tblBorders>
      </w:tblPr>
      <w:tblGrid>
        <w:gridCol w:w="8140"/>
        <w:gridCol w:w="1700"/>
      </w:tblGrid>
      <w:tr>
        <w:trPr>
          <w:tblHeader/>
        </w:trPr>
        <w:tc>
          <w:tcPr>
            <w:tcW w:type="dxa" w:w="814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Task 2 · Practice items</w:t>
            </w:r>
          </w:p>
        </w:tc>
        <w:tc>
          <w:tcPr>
            <w:tcW w:type="dxa" w:w="170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Present?</w:t>
            </w:r>
          </w:p>
        </w:tc>
      </w:tr>
      <w:tr>
        <w:tc>
          <w:tcPr>
            <w:tcW w:type="dxa" w:w="814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Each item measures the competency, not test-taking cleverness</w:t>
            </w:r>
          </w:p>
        </w:tc>
        <w:tc>
          <w:tcPr>
            <w:tcW w:type="dxa" w:w="17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One clearly correct answer, plausible distractors</w:t>
            </w:r>
          </w:p>
        </w:tc>
        <w:tc>
          <w:tcPr>
            <w:tcW w:type="dxa" w:w="170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Each maps to a real competency and domain</w:t>
            </w:r>
          </w:p>
        </w:tc>
        <w:tc>
          <w:tcPr>
            <w:tcW w:type="dxa" w:w="17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Wording is unambiguous to a competent learner</w:t>
            </w:r>
          </w:p>
        </w:tc>
        <w:tc>
          <w:tcPr>
            <w:tcW w:type="dxa" w:w="170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Includes a real plan to validate before trusting the items</w:t>
            </w:r>
          </w:p>
        </w:tc>
        <w:tc>
          <w:tcPr>
            <w:tcW w:type="dxa" w:w="17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bl>
    <w:p>
      <w:pPr>
        <w:pStyle w:val="Heading2"/>
        <w:spacing w:after="110" w:before="320"/>
      </w:pPr>
      <w:r>
        <w:rPr>
          <w:rFonts w:ascii="Calibri" w:cs="Calibri" w:eastAsia="Calibri" w:hAnsi="Calibri"/>
          <w:b/>
          <w:bCs/>
          <w:i w:val="false"/>
          <w:iCs w:val="false"/>
          <w:color w:val="0E1726"/>
          <w:sz w:val="27"/>
          <w:szCs w:val="27"/>
        </w:rPr>
        <w:t xml:space="preserve">You have completed Module 12</w:t>
      </w:r>
    </w:p>
    <w:p>
      <w:pPr>
        <w:spacing w:after="150" w:before="0" w:line="292"/>
      </w:pPr>
      <w:r>
        <w:rPr>
          <w:rFonts w:ascii="Calibri" w:cs="Calibri" w:eastAsia="Calibri" w:hAnsi="Calibri"/>
          <w:b w:val="false"/>
          <w:bCs w:val="false"/>
          <w:i w:val="false"/>
          <w:iCs w:val="false"/>
          <w:color w:val="2E3B4B"/>
          <w:sz w:val="22"/>
          <w:szCs w:val="22"/>
        </w:rPr>
        <w:t xml:space="preserve">Return to the four objectives: apply instructional design, create a module to fill a real gap, build objective rubrics, and write valid practice items. If the rubric objectivity test, or the discipline of validating items before trusting them, still feels shaky, re-read before Module 13.</w:t>
      </w:r>
    </w:p>
    <w:tbl>
      <w:tblPr>
        <w:tblW w:type="dxa" w:w="9840"/>
        <w:tblBorders>
          <w:top w:val="none"/>
          <w:left w:val="single" w:color="8A5A2B" w:sz="22"/>
          <w:bottom w:val="none"/>
          <w:right w:val="none"/>
          <w:insideH w:val="none"/>
          <w:insideV w:val="none"/>
        </w:tblBorders>
      </w:tblPr>
      <w:tblGrid>
        <w:gridCol w:w="9840"/>
      </w:tblGrid>
      <w:tr>
        <w:tc>
          <w:tcPr>
            <w:tcW w:type="dxa" w:w="9840"/>
            <w:shd w:fill="F4EEE6"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2B"/>
                <w:spacing w:val="20"/>
                <w:sz w:val="17"/>
                <w:szCs w:val="17"/>
              </w:rPr>
              <w:t xml:space="preserve">IN YOUR WORDS   </w:t>
            </w:r>
            <w:r>
              <w:rPr>
                <w:rFonts w:ascii="Calibri" w:cs="Calibri" w:eastAsia="Calibri" w:hAnsi="Calibri"/>
                <w:b/>
                <w:bCs/>
                <w:i w:val="false"/>
                <w:iCs w:val="false"/>
                <w:color w:val="0E1726"/>
                <w:sz w:val="22"/>
                <w:szCs w:val="22"/>
              </w:rPr>
              <w:t xml:space="preserve">Carry this into Module 13</w:t>
            </w:r>
          </w:p>
          <w:p>
            <w:pPr>
              <w:spacing w:after="100" w:before="0" w:line="284"/>
            </w:pPr>
            <w:r>
              <w:rPr>
                <w:rFonts w:ascii="Calibri" w:cs="Calibri" w:eastAsia="Calibri" w:hAnsi="Calibri"/>
                <w:b w:val="false"/>
                <w:bCs w:val="false"/>
                <w:i w:val="false"/>
                <w:iCs w:val="false"/>
                <w:color w:val="2E3B4B"/>
                <w:sz w:val="22"/>
                <w:szCs w:val="22"/>
              </w:rPr>
              <w:t xml:space="preserve">You can now build the content the system runs on. Module 13, SBD System Administration, turns from authoring curriculum to administering the platform that delivers it, roles, facilities, data integrity, and reporting at the system level. You have learned to build what the system teaches. Next you learn to run the system itself.</w:t>
            </w:r>
          </w:p>
        </w:tc>
      </w:tr>
    </w:tbl>
    <w:p>
      <w:pPr>
        <w:pBdr>
          <w:top w:val="single" w:color="D8DEE6" w:sz="6" w:space="8"/>
        </w:pBdr>
        <w:spacing w:before="260"/>
      </w:pPr>
      <w:r>
        <w:rPr>
          <w:rFonts w:ascii="Calibri" w:cs="Calibri" w:eastAsia="Calibri" w:hAnsi="Calibri"/>
          <w:b w:val="false"/>
          <w:bCs w:val="false"/>
          <w:i/>
          <w:iCs/>
          <w:color w:val="6B7B8C"/>
          <w:sz w:val="15"/>
          <w:szCs w:val="15"/>
        </w:rPr>
        <w:t xml:space="preserve">SBD WIP Facilitator Certification · Level 3 · Module 12 (Module 2 of 5) · Prepared by Jake Tayler Jacobs DBA, MBA, B.Ed. for SIPS Healthcare Solutions</w:t>
      </w:r>
    </w:p>
    <w:sectPr>
      <w:headerReference w:type="default" r:id="rId7"/>
      <w:footerReference w:type="default" r:id="rId8"/>
      <w:pgSz w:w="12240" w:h="15840" w:orient="portrait"/>
      <w:pgMar w:top="1080" w:right="1240" w:bottom="108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6" w:sz="6" w:space="6"/>
      </w:pBdr>
      <w:jc w:val="center"/>
    </w:pPr>
    <w:r>
      <w:rPr>
        <w:rFonts w:ascii="Calibri" w:cs="Calibri" w:eastAsia="Calibri" w:hAnsi="Calibri"/>
        <w:b w:val="false"/>
        <w:bCs w:val="false"/>
        <w:i w:val="false"/>
        <w:iCs w:val="false"/>
        <w:color w:val="6B7B8C"/>
        <w:sz w:val="14"/>
        <w:szCs w:val="14"/>
      </w:rPr>
      <w:t xml:space="preserve">Self-Paced Learner Workbook · SIPS Healthcare Solutions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6" w:sz="6" w:space="6"/>
      </w:pBdr>
    </w:pPr>
    <w:r>
      <w:rPr>
        <w:rFonts w:ascii="Calibri" w:cs="Calibri" w:eastAsia="Calibri" w:hAnsi="Calibri"/>
        <w:b w:val="false"/>
        <w:bCs w:val="false"/>
        <w:i w:val="false"/>
        <w:iCs w:val="false"/>
        <w:color w:val="6B7B8C"/>
        <w:spacing w:val="16"/>
        <w:sz w:val="15"/>
        <w:szCs w:val="15"/>
      </w:rPr>
      <w:t xml:space="preserve">SBD WIP · Level 3 · Module 12 (Module 2 of 5) · Curriculum Development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8A5A2B"/>
      </w:rPr>
    </w:lvl>
  </w:abstractNum>
  <w:abstractNum w:abstractNumId="3" w15:restartNumberingAfterBreak="0">
    <w:multiLevelType w:val="hybridMultilevel"/>
    <w:lvl w:ilvl="0" w15:tentative="1">
      <w:start w:val="1"/>
      <w:numFmt w:val="decimal"/>
      <w:lvlText w:val="%1."/>
      <w:lvlJc w:val="left"/>
      <w:pPr>
        <w:ind w:left="420" w:hanging="260"/>
      </w:pPr>
      <w:rPr>
        <w:b/>
        <w:bCs/>
        <w:color w:val="8A5A2B"/>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E3B4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Georgia" w:cs="Georgia" w:eastAsia="Georgia" w:hAnsi="Georgia"/>
      <w:b/>
      <w:bCs/>
      <w:color w:val="1E2761"/>
      <w:sz w:val="34"/>
      <w:szCs w:val="34"/>
    </w:rPr>
  </w:style>
  <w:style w:type="paragraph" w:styleId="Heading2">
    <w:name w:val="Heading 2"/>
    <w:basedOn w:val="Normal"/>
    <w:next w:val="Normal"/>
    <w:qFormat/>
    <w:rPr>
      <w:rFonts w:ascii="Calibri" w:cs="Calibri" w:eastAsia="Calibri" w:hAnsi="Calibri"/>
      <w:b/>
      <w:bCs/>
      <w:color w:val="0E1726"/>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SBD Facilitator Certification — Module 12 (Level 3, Module 2 of 5)</dc:title>
  <dc:creator>Jake Tayler Jacobs DBA, MBA, B.Ed.</dc:creator>
  <cp:lastModifiedBy>Un-named</cp:lastModifiedBy>
  <cp:revision>1</cp:revision>
  <dcterms:created xsi:type="dcterms:W3CDTF">2026-07-13T00:16:33.718Z</dcterms:created>
  <dcterms:modified xsi:type="dcterms:W3CDTF">2026-07-13T00:16:33.735Z</dcterms:modified>
</cp:coreProperties>
</file>

<file path=docProps/custom.xml><?xml version="1.0" encoding="utf-8"?>
<Properties xmlns="http://schemas.openxmlformats.org/officeDocument/2006/custom-properties" xmlns:vt="http://schemas.openxmlformats.org/officeDocument/2006/docPropsVTypes"/>
</file>