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20"/>
      </w:pPr>
      <w:r>
        <w:rPr>
          <w:rFonts w:ascii="Calibri" w:cs="Calibri" w:eastAsia="Calibri" w:hAnsi="Calibri"/>
          <w:b/>
          <w:bCs/>
          <w:i w:val="false"/>
          <w:iCs w:val="false"/>
          <w:color w:val="8A5A2B"/>
          <w:spacing w:val="24"/>
          <w:sz w:val="16"/>
          <w:szCs w:val="16"/>
        </w:rPr>
        <w:t xml:space="preserve">SBD WIP FACILITATOR CERTIFICATION  ·  LEVEL 3 · MASTER FACILITATOR</w:t>
      </w:r>
    </w:p>
    <w:p>
      <w:pPr>
        <w:spacing w:after="0" w:before="160"/>
      </w:pPr>
      <w:r>
        <w:rPr>
          <w:rFonts w:ascii="Georgia" w:cs="Georgia" w:eastAsia="Georgia" w:hAnsi="Georgia"/>
          <w:b/>
          <w:bCs/>
          <w:i w:val="false"/>
          <w:iCs w:val="false"/>
          <w:color w:val="8A5A2B"/>
          <w:sz w:val="30"/>
          <w:szCs w:val="30"/>
        </w:rPr>
        <w:t xml:space="preserve">Module 14</w:t>
      </w:r>
    </w:p>
    <w:p>
      <w:pPr>
        <w:spacing w:after="6"/>
      </w:pPr>
      <w:r>
        <w:rPr>
          <w:rFonts w:ascii="Calibri" w:cs="Calibri" w:eastAsia="Calibri" w:hAnsi="Calibri"/>
          <w:b/>
          <w:bCs/>
          <w:i w:val="false"/>
          <w:iCs w:val="false"/>
          <w:color w:val="6B7B8C"/>
          <w:spacing w:val="10"/>
          <w:sz w:val="19"/>
          <w:szCs w:val="19"/>
        </w:rPr>
        <w:t xml:space="preserve">Level 3 · Module 4 of 5</w:t>
      </w:r>
    </w:p>
    <w:p>
      <w:pPr>
        <w:spacing w:after="40" w:before="20"/>
      </w:pPr>
      <w:r>
        <w:rPr>
          <w:rFonts w:ascii="Georgia" w:cs="Georgia" w:eastAsia="Georgia" w:hAnsi="Georgia"/>
          <w:b/>
          <w:bCs/>
          <w:i w:val="false"/>
          <w:iCs w:val="false"/>
          <w:color w:val="1E2761"/>
          <w:sz w:val="42"/>
          <w:szCs w:val="42"/>
        </w:rPr>
        <w:t xml:space="preserve">Strategic Leadership and Program Scaling</w:t>
      </w:r>
    </w:p>
    <w:p>
      <w:pPr>
        <w:spacing w:after="60"/>
      </w:pPr>
      <w:r>
        <w:rPr>
          <w:rFonts w:ascii="Georgia" w:cs="Georgia" w:eastAsia="Georgia" w:hAnsi="Georgia"/>
          <w:b w:val="false"/>
          <w:bCs w:val="false"/>
          <w:i w:val="false"/>
          <w:iCs w:val="false"/>
          <w:color w:val="0E1726"/>
          <w:sz w:val="24"/>
          <w:szCs w:val="24"/>
        </w:rPr>
        <w:t xml:space="preserve">Self-Paced Learner Workbook</w:t>
      </w:r>
    </w:p>
    <w:p>
      <w:pPr>
        <w:spacing w:after="300"/>
      </w:pPr>
      <w:r>
        <w:rPr>
          <w:rFonts w:ascii="Calibri" w:cs="Calibri" w:eastAsia="Calibri" w:hAnsi="Calibri"/>
          <w:b w:val="false"/>
          <w:bCs w:val="false"/>
          <w:i/>
          <w:iCs/>
          <w:color w:val="6B7B8C"/>
          <w:sz w:val="21"/>
          <w:szCs w:val="21"/>
        </w:rPr>
        <w:t xml:space="preserve">You have mastered the department, the network, and the system. This module lifts to the widest view: building competency across a whole health system, and advising the leaders who fund and shape it.</w:t>
      </w:r>
    </w:p>
    <w:p>
      <w:pPr>
        <w:pBdr>
          <w:top w:val="single" w:color="D8DEE6" w:sz="8" w:space="8"/>
          <w:bottom w:val="single" w:color="D8DEE6" w:sz="8" w:space="8"/>
        </w:pBdr>
        <w:spacing w:after="120" w:before="200"/>
      </w:pPr>
      <w:r>
        <w:rPr>
          <w:rFonts w:ascii="Calibri" w:cs="Calibri" w:eastAsia="Calibri" w:hAnsi="Calibri"/>
          <w:b/>
          <w:bCs/>
          <w:i w:val="false"/>
          <w:iCs w:val="false"/>
          <w:color w:val="1E2761"/>
          <w:sz w:val="20"/>
          <w:szCs w:val="20"/>
        </w:rPr>
        <w:t xml:space="preserve">Estimated time: 8 hours   ·   Part of the 40-hour Level 3 program plus practicum   ·   Prerequisite: Level 2 certification</w:t>
      </w:r>
    </w:p>
    <w:p>
      <w:pPr>
        <w:spacing w:before="240"/>
      </w:pPr>
      <w:r>
        <w:rPr>
          <w:rFonts w:ascii="Calibri" w:cs="Calibri" w:eastAsia="Calibri" w:hAnsi="Calibri"/>
          <w:b w:val="false"/>
          <w:bCs w:val="false"/>
          <w:i w:val="false"/>
          <w:iCs w:val="false"/>
          <w:color w:val="6B7B8C"/>
          <w:sz w:val="19"/>
          <w:szCs w:val="19"/>
        </w:rPr>
        <w:t xml:space="preserve">Jake Tayler Jacobs DBA, MBA, B.Ed.  ·  SIPS Healthcare Solutions</w:t>
      </w:r>
    </w:p>
    <w:p>
      <w:r>
        <w:br w:type="page"/>
      </w:r>
    </w:p>
    <w:p>
      <w:pPr>
        <w:pStyle w:val="Heading1"/>
        <w:spacing w:after="150" w:before="360"/>
      </w:pPr>
      <w:r>
        <w:rPr>
          <w:rFonts w:ascii="Georgia" w:cs="Georgia" w:eastAsia="Georgia" w:hAnsi="Georgia"/>
          <w:b/>
          <w:bCs/>
          <w:i w:val="false"/>
          <w:iCs w:val="false"/>
          <w:color w:val="1E2761"/>
          <w:sz w:val="34"/>
          <w:szCs w:val="34"/>
        </w:rPr>
        <w:t xml:space="preserve">Before you begin</w:t>
      </w:r>
    </w:p>
    <w:p>
      <w:pPr>
        <w:spacing w:after="150" w:before="0" w:line="292"/>
      </w:pPr>
      <w:r>
        <w:rPr>
          <w:rFonts w:ascii="Calibri" w:cs="Calibri" w:eastAsia="Calibri" w:hAnsi="Calibri"/>
          <w:b w:val="false"/>
          <w:bCs w:val="false"/>
          <w:i w:val="false"/>
          <w:iCs w:val="false"/>
          <w:color w:val="2E3B4B"/>
          <w:sz w:val="22"/>
          <w:szCs w:val="22"/>
        </w:rPr>
        <w:t xml:space="preserve">This is the widest-angle module in the entire program. Everything before it has been about developing people and holding a standard, one learner, one department, one network at a time. Here you learn to think at the scale of a health system: multiple hospitals, surgery centers, and clinics under one strategy, and to sit across the table from the executives who decide whether SBD lives or dies at that scale.</w:t>
      </w:r>
    </w:p>
    <w:p>
      <w:pPr>
        <w:spacing w:after="150" w:before="0" w:line="292"/>
      </w:pPr>
      <w:r>
        <w:rPr>
          <w:rFonts w:ascii="Calibri" w:cs="Calibri" w:eastAsia="Calibri" w:hAnsi="Calibri"/>
          <w:b w:val="false"/>
          <w:bCs w:val="false"/>
          <w:i w:val="false"/>
          <w:iCs w:val="false"/>
          <w:color w:val="2E3B4B"/>
          <w:sz w:val="22"/>
          <w:szCs w:val="22"/>
        </w:rPr>
        <w:t xml:space="preserve">The skills that made you excellent at the floor level do not automatically translate up here. An executive does not care how you coach a Steward or run a Gate 3. They care about system-wide risk, cost, throughput, and outcomes. To lead and scale at this altitude, you have to translate everything you know into the language of strategy, and build programs that hold the standard across dozens of facilities you will never personally set foot in.</w:t>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The standard has to survive scale, or scale is worthless.</w:t>
            </w:r>
          </w:p>
          <w:p>
            <w:pPr>
              <w:spacing w:after="100" w:before="0" w:line="284"/>
            </w:pPr>
            <w:r>
              <w:rPr>
                <w:rFonts w:ascii="Calibri" w:cs="Calibri" w:eastAsia="Calibri" w:hAnsi="Calibri"/>
                <w:b w:val="false"/>
                <w:bCs w:val="false"/>
                <w:i w:val="false"/>
                <w:iCs w:val="false"/>
                <w:color w:val="2E3B4B"/>
                <w:sz w:val="22"/>
                <w:szCs w:val="22"/>
              </w:rPr>
              <w:t xml:space="preserve">The temptation at enterprise scale is to trade rigor for reach, to loosen the standard so the program spreads faster and looks impressive on a slide. That is the failure mode this whole program has warned against, now at its most dangerous, because at system scale a lowered standard harms the most patients. Real strategic leadership is scaling the standard intact, not scaling a diluted version of it. Reach without rigor is not an achievement. It is a liability with a bigger footprint.</w:t>
            </w:r>
          </w:p>
        </w:tc>
      </w:tr>
    </w:tbl>
    <w:p>
      <w:pPr>
        <w:spacing w:after="60" w:before="0" w:line="292"/>
      </w:pPr>
      <w:r>
        <w:rPr>
          <w:rFonts w:ascii="Calibri" w:cs="Calibri" w:eastAsia="Calibri" w:hAnsi="Calibri"/>
          <w:b w:val="false"/>
          <w:bCs w:val="false"/>
          <w:i w:val="false"/>
          <w:iCs w:val="false"/>
          <w:color w:val="2E3B4B"/>
          <w:sz w:val="22"/>
          <w:szCs w:val="22"/>
        </w:rPr>
        <w:t xml:space="preserve">Four things you will be able to do by the end of Module 14:</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Build programs at system scale, </w:t>
      </w:r>
      <w:r>
        <w:rPr>
          <w:rFonts w:ascii="Calibri" w:cs="Calibri" w:eastAsia="Calibri" w:hAnsi="Calibri"/>
          <w:b w:val="false"/>
          <w:bCs w:val="false"/>
          <w:i w:val="false"/>
          <w:iCs w:val="false"/>
          <w:color w:val="2E3B4B"/>
          <w:sz w:val="22"/>
          <w:szCs w:val="22"/>
        </w:rPr>
        <w:t xml:space="preserve">across many facilities under one coherent strategy.</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Advise health-system leadership </w:t>
      </w:r>
      <w:r>
        <w:rPr>
          <w:rFonts w:ascii="Calibri" w:cs="Calibri" w:eastAsia="Calibri" w:hAnsi="Calibri"/>
          <w:b w:val="false"/>
          <w:bCs w:val="false"/>
          <w:i w:val="false"/>
          <w:iCs w:val="false"/>
          <w:color w:val="2E3B4B"/>
          <w:sz w:val="22"/>
          <w:szCs w:val="22"/>
        </w:rPr>
        <w:t xml:space="preserve">on competency strategy, in their language.</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Model outcomes </w:t>
      </w:r>
      <w:r>
        <w:rPr>
          <w:rFonts w:ascii="Calibri" w:cs="Calibri" w:eastAsia="Calibri" w:hAnsi="Calibri"/>
          <w:b w:val="false"/>
          <w:bCs w:val="false"/>
          <w:i w:val="false"/>
          <w:iCs w:val="false"/>
          <w:color w:val="2E3B4B"/>
          <w:sz w:val="22"/>
          <w:szCs w:val="22"/>
        </w:rPr>
        <w:t xml:space="preserve">that connect competency to the results leadership cares about.</w:t>
      </w:r>
    </w:p>
    <w:p>
      <w:pPr>
        <w:pStyle w:val="ListParagraph"/>
        <w:numPr>
          <w:ilvl w:val="0"/>
          <w:numId w:val="2"/>
        </w:numPr>
        <w:spacing w:after="90" w:line="274"/>
      </w:pPr>
      <w:r>
        <w:rPr>
          <w:rFonts w:ascii="Calibri" w:cs="Calibri" w:eastAsia="Calibri" w:hAnsi="Calibri"/>
          <w:b/>
          <w:bCs/>
          <w:i w:val="false"/>
          <w:iCs w:val="false"/>
          <w:color w:val="0E1726"/>
          <w:sz w:val="22"/>
          <w:szCs w:val="22"/>
        </w:rPr>
        <w:t xml:space="preserve">Mentor Master Facilitator candidates, </w:t>
      </w:r>
      <w:r>
        <w:rPr>
          <w:rFonts w:ascii="Calibri" w:cs="Calibri" w:eastAsia="Calibri" w:hAnsi="Calibri"/>
          <w:b w:val="false"/>
          <w:bCs w:val="false"/>
          <w:i w:val="false"/>
          <w:iCs w:val="false"/>
          <w:color w:val="2E3B4B"/>
          <w:sz w:val="22"/>
          <w:szCs w:val="22"/>
        </w:rPr>
        <w:t xml:space="preserve">extending your reach through other leaders.</w:t>
      </w:r>
    </w:p>
    <w:p>
      <w:r>
        <w:br w:type="page"/>
      </w:r>
    </w:p>
    <w:p>
      <w:pPr>
        <w:spacing w:after="30" w:before="40"/>
      </w:pPr>
      <w:r>
        <w:rPr>
          <w:rFonts w:ascii="Calibri" w:cs="Calibri" w:eastAsia="Calibri" w:hAnsi="Calibri"/>
          <w:b/>
          <w:bCs/>
          <w:i w:val="false"/>
          <w:iCs w:val="false"/>
          <w:color w:val="8A5A2B"/>
          <w:spacing w:val="34"/>
          <w:sz w:val="16"/>
          <w:szCs w:val="16"/>
        </w:rPr>
        <w:t xml:space="preserve">SECTION 1 OF 4</w:t>
      </w:r>
    </w:p>
    <w:p>
      <w:pPr>
        <w:pStyle w:val="Heading1"/>
        <w:spacing w:after="150" w:before="360"/>
      </w:pPr>
      <w:r>
        <w:rPr>
          <w:rFonts w:ascii="Georgia" w:cs="Georgia" w:eastAsia="Georgia" w:hAnsi="Georgia"/>
          <w:b/>
          <w:bCs/>
          <w:i w:val="false"/>
          <w:iCs w:val="false"/>
          <w:color w:val="1E2761"/>
          <w:sz w:val="34"/>
          <w:szCs w:val="34"/>
        </w:rPr>
        <w:t xml:space="preserve">Building programs at system scale</w:t>
      </w:r>
    </w:p>
    <w:p>
      <w:pPr>
        <w:spacing w:after="170" w:before="0" w:line="300"/>
      </w:pPr>
      <w:r>
        <w:rPr>
          <w:rFonts w:ascii="Georgia" w:cs="Georgia" w:eastAsia="Georgia" w:hAnsi="Georgia"/>
          <w:b w:val="false"/>
          <w:bCs w:val="false"/>
          <w:i/>
          <w:iCs/>
          <w:color w:val="1E2761"/>
          <w:sz w:val="23"/>
          <w:szCs w:val="23"/>
        </w:rPr>
        <w:t xml:space="preserve">A health system is not one big department. It is many different facilities under one strategy, and program design at this level is about coherence without uniformity.</w:t>
      </w:r>
    </w:p>
    <w:p>
      <w:pPr>
        <w:pStyle w:val="Heading2"/>
        <w:spacing w:after="110" w:before="320"/>
      </w:pPr>
      <w:r>
        <w:rPr>
          <w:rFonts w:ascii="Calibri" w:cs="Calibri" w:eastAsia="Calibri" w:hAnsi="Calibri"/>
          <w:b/>
          <w:bCs/>
          <w:i w:val="false"/>
          <w:iCs w:val="false"/>
          <w:color w:val="0E1726"/>
          <w:sz w:val="27"/>
          <w:szCs w:val="27"/>
        </w:rPr>
        <w:t xml:space="preserve">One strategy, many facilities</w:t>
      </w:r>
    </w:p>
    <w:p>
      <w:pPr>
        <w:spacing w:after="150" w:before="0" w:line="292"/>
      </w:pPr>
      <w:r>
        <w:rPr>
          <w:rFonts w:ascii="Calibri" w:cs="Calibri" w:eastAsia="Calibri" w:hAnsi="Calibri"/>
          <w:b w:val="false"/>
          <w:bCs w:val="false"/>
          <w:i w:val="false"/>
          <w:iCs w:val="false"/>
          <w:color w:val="2E3B4B"/>
          <w:sz w:val="22"/>
          <w:szCs w:val="22"/>
        </w:rPr>
        <w:t xml:space="preserve">At Level 2 you designed a program for a facility. At Level 3 you design a strategy for a system: a trauma center, three community hospitals, a handful of surgery centers, each with different needs, all developing competency to the same standard under one coherent plan. The art is coherence without forced uniformity, every facility runs the same standard and reports into the same picture, but each gets a program path fit to its own reality.</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Common standard, local paths. </w:t>
      </w:r>
      <w:r>
        <w:rPr>
          <w:rFonts w:ascii="Calibri" w:cs="Calibri" w:eastAsia="Calibri" w:hAnsi="Calibri"/>
          <w:b w:val="false"/>
          <w:bCs w:val="false"/>
          <w:i w:val="false"/>
          <w:iCs w:val="false"/>
          <w:color w:val="2E3B4B"/>
          <w:sz w:val="22"/>
          <w:szCs w:val="22"/>
        </w:rPr>
        <w:t xml:space="preserve">The belts, gates, and thresholds are identical everywhere. The roadmaps are tailored per facility, exactly the Module 9 principle, scaled up.</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A shared intelligence picture. </w:t>
      </w:r>
      <w:r>
        <w:rPr>
          <w:rFonts w:ascii="Calibri" w:cs="Calibri" w:eastAsia="Calibri" w:hAnsi="Calibri"/>
          <w:b w:val="false"/>
          <w:bCs w:val="false"/>
          <w:i w:val="false"/>
          <w:iCs w:val="false"/>
          <w:color w:val="2E3B4B"/>
          <w:sz w:val="22"/>
          <w:szCs w:val="22"/>
        </w:rPr>
        <w:t xml:space="preserve">David rolls every facility into one system-wide view so leadership sees the whole, not a stack of disconnected reports.</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A network of Master and Advanced Facilitators. </w:t>
      </w:r>
      <w:r>
        <w:rPr>
          <w:rFonts w:ascii="Calibri" w:cs="Calibri" w:eastAsia="Calibri" w:hAnsi="Calibri"/>
          <w:b w:val="false"/>
          <w:bCs w:val="false"/>
          <w:i w:val="false"/>
          <w:iCs w:val="false"/>
          <w:color w:val="2E3B4B"/>
          <w:sz w:val="22"/>
          <w:szCs w:val="22"/>
        </w:rPr>
        <w:t xml:space="preserve">You cannot run a system alone; you build and rely on a layered structure of certified leaders, each holding the standard in their domain.</w:t>
      </w:r>
    </w:p>
    <w:p>
      <w:pPr>
        <w:pStyle w:val="Heading2"/>
        <w:spacing w:after="110" w:before="320"/>
      </w:pPr>
      <w:r>
        <w:rPr>
          <w:rFonts w:ascii="Calibri" w:cs="Calibri" w:eastAsia="Calibri" w:hAnsi="Calibri"/>
          <w:b/>
          <w:bCs/>
          <w:i w:val="false"/>
          <w:iCs w:val="false"/>
          <w:color w:val="0E1726"/>
          <w:sz w:val="27"/>
          <w:szCs w:val="27"/>
        </w:rPr>
        <w:t xml:space="preserve">Sequencing a system rollout</w:t>
      </w:r>
    </w:p>
    <w:p>
      <w:pPr>
        <w:spacing w:after="150" w:before="0" w:line="292"/>
      </w:pPr>
      <w:r>
        <w:rPr>
          <w:rFonts w:ascii="Calibri" w:cs="Calibri" w:eastAsia="Calibri" w:hAnsi="Calibri"/>
          <w:b w:val="false"/>
          <w:bCs w:val="false"/>
          <w:i w:val="false"/>
          <w:iCs w:val="false"/>
          <w:color w:val="2E3B4B"/>
          <w:sz w:val="22"/>
          <w:szCs w:val="22"/>
        </w:rPr>
        <w:t xml:space="preserve">You do not launch a whole system at once, for the same reason you do not launch a whole facility at once, magnified. You sequence it: prove the model at a flagship facility, build a visible system-level win, then expand along the lines of readiness and need. The phased-rollout discipline from Module 10 is now applied across an enterprise, where the early win has to be large enough for executives to see and believe.</w:t>
      </w:r>
    </w:p>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Check yourself.</w:t>
            </w:r>
          </w:p>
          <w:p>
            <w:pPr>
              <w:spacing w:after="100" w:before="0" w:line="284"/>
            </w:pPr>
            <w:r>
              <w:rPr>
                <w:rFonts w:ascii="Calibri" w:cs="Calibri" w:eastAsia="Calibri" w:hAnsi="Calibri"/>
                <w:b w:val="false"/>
                <w:bCs w:val="false"/>
                <w:i w:val="false"/>
                <w:iCs w:val="false"/>
                <w:color w:val="2E3B4B"/>
                <w:sz w:val="22"/>
                <w:szCs w:val="22"/>
              </w:rPr>
              <w:t xml:space="preserve">Explain “coherence without uniformity” for a health system: what is identical across every facility, and what is tailored to each? Then describe how you would sequence a system-wide rollout rather than launching everywhere at once.</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2 OF 4</w:t>
      </w:r>
    </w:p>
    <w:p>
      <w:pPr>
        <w:pStyle w:val="Heading1"/>
        <w:spacing w:after="150" w:before="360"/>
      </w:pPr>
      <w:r>
        <w:rPr>
          <w:rFonts w:ascii="Georgia" w:cs="Georgia" w:eastAsia="Georgia" w:hAnsi="Georgia"/>
          <w:b/>
          <w:bCs/>
          <w:i w:val="false"/>
          <w:iCs w:val="false"/>
          <w:color w:val="1E2761"/>
          <w:sz w:val="34"/>
          <w:szCs w:val="34"/>
        </w:rPr>
        <w:t xml:space="preserve">Advising health-system leadership</w:t>
      </w:r>
    </w:p>
    <w:p>
      <w:pPr>
        <w:spacing w:after="170" w:before="0" w:line="300"/>
      </w:pPr>
      <w:r>
        <w:rPr>
          <w:rFonts w:ascii="Georgia" w:cs="Georgia" w:eastAsia="Georgia" w:hAnsi="Georgia"/>
          <w:b w:val="false"/>
          <w:bCs w:val="false"/>
          <w:i/>
          <w:iCs/>
          <w:color w:val="1E2761"/>
          <w:sz w:val="23"/>
          <w:szCs w:val="23"/>
        </w:rPr>
        <w:t xml:space="preserve">At this level you are not asking permission, you are advising. That is a different posture, and it requires speaking entirely in the executive's terms.</w:t>
      </w:r>
    </w:p>
    <w:p>
      <w:pPr>
        <w:pStyle w:val="Heading2"/>
        <w:spacing w:after="110" w:before="320"/>
      </w:pPr>
      <w:r>
        <w:rPr>
          <w:rFonts w:ascii="Calibri" w:cs="Calibri" w:eastAsia="Calibri" w:hAnsi="Calibri"/>
          <w:b/>
          <w:bCs/>
          <w:i w:val="false"/>
          <w:iCs w:val="false"/>
          <w:color w:val="0E1726"/>
          <w:sz w:val="27"/>
          <w:szCs w:val="27"/>
        </w:rPr>
        <w:t xml:space="preserve">From asking to advising</w:t>
      </w:r>
    </w:p>
    <w:p>
      <w:pPr>
        <w:spacing w:after="150" w:before="0" w:line="292"/>
      </w:pPr>
      <w:r>
        <w:rPr>
          <w:rFonts w:ascii="Calibri" w:cs="Calibri" w:eastAsia="Calibri" w:hAnsi="Calibri"/>
          <w:b w:val="false"/>
          <w:bCs w:val="false"/>
          <w:i w:val="false"/>
          <w:iCs w:val="false"/>
          <w:color w:val="2E3B4B"/>
          <w:sz w:val="22"/>
          <w:szCs w:val="22"/>
        </w:rPr>
        <w:t xml:space="preserve">Early in your development you made the case for SBD to leadership, hoping for a yes. As a Master Facilitator you become an advisor: the person leadership turns to for a strategy on competency, workforce risk, and survey readiness across the system. That shift changes how you speak. An advisor does not pitch; they diagnose the organization's problem and prescribe, in the language of the person who owns the problem.</w:t>
      </w:r>
    </w:p>
    <w:p>
      <w:pPr>
        <w:pStyle w:val="Heading2"/>
        <w:spacing w:after="110" w:before="320"/>
      </w:pPr>
      <w:r>
        <w:rPr>
          <w:rFonts w:ascii="Calibri" w:cs="Calibri" w:eastAsia="Calibri" w:hAnsi="Calibri"/>
          <w:b/>
          <w:bCs/>
          <w:i w:val="false"/>
          <w:iCs w:val="false"/>
          <w:color w:val="0E1726"/>
          <w:sz w:val="27"/>
          <w:szCs w:val="27"/>
        </w:rPr>
        <w:t xml:space="preserve">Speak strategy, not operations</w:t>
      </w:r>
    </w:p>
    <w:p>
      <w:pPr>
        <w:spacing w:after="150" w:before="0" w:line="292"/>
      </w:pPr>
      <w:r>
        <w:rPr>
          <w:rFonts w:ascii="Calibri" w:cs="Calibri" w:eastAsia="Calibri" w:hAnsi="Calibri"/>
          <w:b w:val="false"/>
          <w:bCs w:val="false"/>
          <w:i w:val="false"/>
          <w:iCs w:val="false"/>
          <w:color w:val="2E3B4B"/>
          <w:sz w:val="22"/>
          <w:szCs w:val="22"/>
        </w:rPr>
        <w:t xml:space="preserve">The single most common failure of a technically brilliant facilitator in front of executives is talking operations to people who think in strategy. Belts, modules, and rubrics are your world, not theirs. Translate every one of them into the executive's world: workforce risk, cost of turnover and travelers, OR throughput, patient-safety exposure, survey and accreditation readiness, and the competitive position of the system.</w:t>
      </w:r>
    </w:p>
    <w:tbl>
      <w:tblPr>
        <w:tblW w:type="dxa" w:w="9840"/>
        <w:tblBorders>
          <w:top w:val="none"/>
          <w:left w:val="single" w:color="8A5A2B" w:sz="22"/>
          <w:bottom w:val="none"/>
          <w:right w:val="none"/>
          <w:insideH w:val="none"/>
          <w:insideV w:val="none"/>
        </w:tblBorders>
      </w:tblPr>
      <w:tblGrid>
        <w:gridCol w:w="9840"/>
      </w:tblGrid>
      <w:tr>
        <w:tc>
          <w:tcPr>
            <w:tcW w:type="dxa" w:w="9840"/>
            <w:shd w:fill="F4F6F9"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EXAMPLE   </w:t>
            </w:r>
            <w:r>
              <w:rPr>
                <w:rFonts w:ascii="Calibri" w:cs="Calibri" w:eastAsia="Calibri" w:hAnsi="Calibri"/>
                <w:b/>
                <w:bCs/>
                <w:i w:val="false"/>
                <w:iCs w:val="false"/>
                <w:color w:val="0E1726"/>
                <w:sz w:val="22"/>
                <w:szCs w:val="22"/>
              </w:rPr>
              <w:t xml:space="preserve">The same fact, translated up</w:t>
            </w:r>
          </w:p>
          <w:p>
            <w:pPr>
              <w:spacing w:after="100" w:before="0" w:line="284"/>
            </w:pPr>
            <w:r>
              <w:rPr>
                <w:rFonts w:ascii="Calibri" w:cs="Calibri" w:eastAsia="Calibri" w:hAnsi="Calibri"/>
                <w:b w:val="false"/>
                <w:bCs w:val="false"/>
                <w:i w:val="false"/>
                <w:iCs w:val="false"/>
                <w:color w:val="2E3B4B"/>
                <w:sz w:val="22"/>
                <w:szCs w:val="22"/>
              </w:rPr>
              <w:t xml:space="preserve">Operational fact: “74% of assessed staff placed at White Belt.” That means nothing to a C-suite.</w:t>
            </w:r>
          </w:p>
          <w:p>
            <w:pPr>
              <w:spacing w:after="100" w:before="0" w:line="284"/>
            </w:pPr>
            <w:r>
              <w:rPr>
                <w:rFonts w:ascii="Calibri" w:cs="Calibri" w:eastAsia="Calibri" w:hAnsi="Calibri"/>
                <w:b w:val="false"/>
                <w:bCs w:val="false"/>
                <w:i w:val="false"/>
                <w:iCs w:val="false"/>
                <w:color w:val="2E3B4B"/>
                <w:sz w:val="22"/>
                <w:szCs w:val="22"/>
              </w:rPr>
              <w:t xml:space="preserve">Translated for the executive: “Three-quarters of your certified staff are performing at entry level when measured objectively, which is your real source of OR delays, traveler dependency, and survey exposure, and it is fixable with a measurable program.” Same fact, but now it names a problem the executive already feels and owns, and points at a solution. That translation is the core skill of advising leadership.</w:t>
            </w:r>
          </w:p>
        </w:tc>
      </w:tr>
    </w:tbl>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Do not let them buy reach and skip rigor.</w:t>
            </w:r>
          </w:p>
          <w:p>
            <w:pPr>
              <w:spacing w:after="100" w:before="0" w:line="284"/>
            </w:pPr>
            <w:r>
              <w:rPr>
                <w:rFonts w:ascii="Calibri" w:cs="Calibri" w:eastAsia="Calibri" w:hAnsi="Calibri"/>
                <w:b w:val="false"/>
                <w:bCs w:val="false"/>
                <w:i w:val="false"/>
                <w:iCs w:val="false"/>
                <w:color w:val="2E3B4B"/>
                <w:sz w:val="22"/>
                <w:szCs w:val="22"/>
              </w:rPr>
              <w:t xml:space="preserve">Executives under pressure may want the fastest, cheapest version, the logo on every facility without the hard work that makes it real. Part of advising well is protecting them from a decision that looks good this quarter and fails at survey next year. You are the person in the room who knows that a diluted standard is a false economy. Advise them toward the version that actually works, even when a weaker version is easier to sell.</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Pause and think.</w:t>
            </w:r>
          </w:p>
          <w:p>
            <w:pPr>
              <w:spacing w:after="100" w:before="0" w:line="284"/>
            </w:pPr>
            <w:r>
              <w:rPr>
                <w:rFonts w:ascii="Calibri" w:cs="Calibri" w:eastAsia="Calibri" w:hAnsi="Calibri"/>
                <w:b w:val="false"/>
                <w:bCs w:val="false"/>
                <w:i w:val="false"/>
                <w:iCs w:val="false"/>
                <w:color w:val="2E3B4B"/>
                <w:sz w:val="22"/>
                <w:szCs w:val="22"/>
              </w:rPr>
              <w:t xml:space="preserve">Take one operational fact from SBD (a belt result, a gate, a scalability number) and translate it into a single sentence an executive would care about, naming a problem they already feel. Then write the one-sentence strategic recommendation you would attach to it.</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3 OF 4</w:t>
      </w:r>
    </w:p>
    <w:p>
      <w:pPr>
        <w:pStyle w:val="Heading1"/>
        <w:spacing w:after="150" w:before="360"/>
      </w:pPr>
      <w:r>
        <w:rPr>
          <w:rFonts w:ascii="Georgia" w:cs="Georgia" w:eastAsia="Georgia" w:hAnsi="Georgia"/>
          <w:b/>
          <w:bCs/>
          <w:i w:val="false"/>
          <w:iCs w:val="false"/>
          <w:color w:val="1E2761"/>
          <w:sz w:val="34"/>
          <w:szCs w:val="34"/>
        </w:rPr>
        <w:t xml:space="preserve">Modeling outcomes</w:t>
      </w:r>
    </w:p>
    <w:p>
      <w:pPr>
        <w:spacing w:after="170" w:before="0" w:line="300"/>
      </w:pPr>
      <w:r>
        <w:rPr>
          <w:rFonts w:ascii="Georgia" w:cs="Georgia" w:eastAsia="Georgia" w:hAnsi="Georgia"/>
          <w:b w:val="false"/>
          <w:bCs w:val="false"/>
          <w:i/>
          <w:iCs/>
          <w:color w:val="1E2761"/>
          <w:sz w:val="23"/>
          <w:szCs w:val="23"/>
        </w:rPr>
        <w:t xml:space="preserve">Strategy is believed when it is quantified. Outcome modeling connects the competency work to the numbers leadership tracks, credibly and honestly.</w:t>
      </w:r>
    </w:p>
    <w:p>
      <w:pPr>
        <w:pStyle w:val="Heading2"/>
        <w:spacing w:after="110" w:before="320"/>
      </w:pPr>
      <w:r>
        <w:rPr>
          <w:rFonts w:ascii="Calibri" w:cs="Calibri" w:eastAsia="Calibri" w:hAnsi="Calibri"/>
          <w:b/>
          <w:bCs/>
          <w:i w:val="false"/>
          <w:iCs w:val="false"/>
          <w:color w:val="0E1726"/>
          <w:sz w:val="27"/>
          <w:szCs w:val="27"/>
        </w:rPr>
        <w:t xml:space="preserve">Connect competency to the numbers that matter</w:t>
      </w:r>
    </w:p>
    <w:p>
      <w:pPr>
        <w:spacing w:after="150" w:before="0" w:line="292"/>
      </w:pPr>
      <w:r>
        <w:rPr>
          <w:rFonts w:ascii="Calibri" w:cs="Calibri" w:eastAsia="Calibri" w:hAnsi="Calibri"/>
          <w:b w:val="false"/>
          <w:bCs w:val="false"/>
          <w:i w:val="false"/>
          <w:iCs w:val="false"/>
          <w:color w:val="2E3B4B"/>
          <w:sz w:val="22"/>
          <w:szCs w:val="22"/>
        </w:rPr>
        <w:t xml:space="preserve">Leadership funds what moves their metrics. Your job is to build the honest causal chain from competency to those metrics: verified competency reduces errors and rework, which reduces OR delays and instrument damage, which reduces cost and risk; a developed internal workforce reduces traveler and overtime dependency; documented competency improves survey readiness. When you can show that chain with real numbers from your own program, competency stops being a training expense and becomes a strategic investment.</w:t>
      </w:r>
    </w:p>
    <w:p>
      <w:pPr>
        <w:pStyle w:val="Heading2"/>
        <w:spacing w:after="110" w:before="320"/>
      </w:pPr>
      <w:r>
        <w:rPr>
          <w:rFonts w:ascii="Calibri" w:cs="Calibri" w:eastAsia="Calibri" w:hAnsi="Calibri"/>
          <w:b/>
          <w:bCs/>
          <w:i w:val="false"/>
          <w:iCs w:val="false"/>
          <w:color w:val="0E1726"/>
          <w:sz w:val="27"/>
          <w:szCs w:val="27"/>
        </w:rPr>
        <w:t xml:space="preserve">Model honestly</w:t>
      </w:r>
    </w:p>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A model that overpromises destroys your credibility permanently.</w:t>
            </w:r>
          </w:p>
          <w:p>
            <w:pPr>
              <w:spacing w:after="100" w:before="0" w:line="284"/>
            </w:pPr>
            <w:r>
              <w:rPr>
                <w:rFonts w:ascii="Calibri" w:cs="Calibri" w:eastAsia="Calibri" w:hAnsi="Calibri"/>
                <w:b w:val="false"/>
                <w:bCs w:val="false"/>
                <w:i w:val="false"/>
                <w:iCs w:val="false"/>
                <w:color w:val="2E3B4B"/>
                <w:sz w:val="22"/>
                <w:szCs w:val="22"/>
              </w:rPr>
              <w:t xml:space="preserve">It is tempting to build an outcome model with heroic assumptions that produce a stunning number. Do not. The first time a promised result fails to materialize, every future recommendation you make is discounted. Model conservatively, state your assumptions plainly, and let a credible, defensible projection do the work. An advisor's greatest asset is being believed, and that is built by being right, not by being impressive. Under-promise in the model, and let the program over-deliver.</w:t>
            </w:r>
          </w:p>
        </w:tc>
      </w:tr>
    </w:tbl>
    <w:tbl>
      <w:tblPr>
        <w:tblW w:type="dxa" w:w="9840"/>
        <w:tblBorders>
          <w:top w:val="none"/>
          <w:left w:val="single" w:color="8A5A2B" w:sz="22"/>
          <w:bottom w:val="none"/>
          <w:right w:val="none"/>
          <w:insideH w:val="none"/>
          <w:insideV w:val="none"/>
        </w:tblBorders>
      </w:tblPr>
      <w:tblGrid>
        <w:gridCol w:w="9840"/>
      </w:tblGrid>
      <w:tr>
        <w:tc>
          <w:tcPr>
            <w:tcW w:type="dxa" w:w="9840"/>
            <w:shd w:fill="F4F6F9"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EXAMPLE   </w:t>
            </w:r>
            <w:r>
              <w:rPr>
                <w:rFonts w:ascii="Calibri" w:cs="Calibri" w:eastAsia="Calibri" w:hAnsi="Calibri"/>
                <w:b/>
                <w:bCs/>
                <w:i w:val="false"/>
                <w:iCs w:val="false"/>
                <w:color w:val="0E1726"/>
                <w:sz w:val="22"/>
                <w:szCs w:val="22"/>
              </w:rPr>
              <w:t xml:space="preserve">A credible outcome model</w:t>
            </w:r>
          </w:p>
          <w:p>
            <w:pPr>
              <w:spacing w:after="100" w:before="0" w:line="284"/>
            </w:pPr>
            <w:r>
              <w:rPr>
                <w:rFonts w:ascii="Calibri" w:cs="Calibri" w:eastAsia="Calibri" w:hAnsi="Calibri"/>
                <w:b w:val="false"/>
                <w:bCs w:val="false"/>
                <w:i w:val="false"/>
                <w:iCs w:val="false"/>
                <w:color w:val="2E3B4B"/>
                <w:sz w:val="22"/>
                <w:szCs w:val="22"/>
              </w:rPr>
              <w:t xml:space="preserve">Rather than “this will save millions,” you build it up honestly: “At our pilot facility, developing staff to verified competency cut traveler dependency from 100% to 2%, a documented $1.5M annualized reduction. Applying that conservatively across the three highest-dependency facilities in the system, with a discount for their differences, projects a defensible multi-year saving, and I can show you every assumption behind it.” That is believed, because it starts from a real result and scales it carefully, rather than starting from the number you wish were true.</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Check yourself.</w:t>
            </w:r>
          </w:p>
          <w:p>
            <w:pPr>
              <w:spacing w:after="100" w:before="0" w:line="284"/>
            </w:pPr>
            <w:r>
              <w:rPr>
                <w:rFonts w:ascii="Calibri" w:cs="Calibri" w:eastAsia="Calibri" w:hAnsi="Calibri"/>
                <w:b w:val="false"/>
                <w:bCs w:val="false"/>
                <w:i w:val="false"/>
                <w:iCs w:val="false"/>
                <w:color w:val="2E3B4B"/>
                <w:sz w:val="22"/>
                <w:szCs w:val="22"/>
              </w:rPr>
              <w:t xml:space="preserve">Describe the causal chain from verified competency to a cost or risk metric leadership tracks. Then explain why modeling conservatively protects you more than an impressive projection does.</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spacing w:after="30" w:before="40"/>
      </w:pPr>
      <w:r>
        <w:rPr>
          <w:rFonts w:ascii="Calibri" w:cs="Calibri" w:eastAsia="Calibri" w:hAnsi="Calibri"/>
          <w:b/>
          <w:bCs/>
          <w:i w:val="false"/>
          <w:iCs w:val="false"/>
          <w:color w:val="8A5A2B"/>
          <w:spacing w:val="34"/>
          <w:sz w:val="16"/>
          <w:szCs w:val="16"/>
        </w:rPr>
        <w:t xml:space="preserve">SECTION 4 OF 4</w:t>
      </w:r>
    </w:p>
    <w:p>
      <w:pPr>
        <w:pStyle w:val="Heading1"/>
        <w:spacing w:after="150" w:before="360"/>
      </w:pPr>
      <w:r>
        <w:rPr>
          <w:rFonts w:ascii="Georgia" w:cs="Georgia" w:eastAsia="Georgia" w:hAnsi="Georgia"/>
          <w:b/>
          <w:bCs/>
          <w:i w:val="false"/>
          <w:iCs w:val="false"/>
          <w:color w:val="1E2761"/>
          <w:sz w:val="34"/>
          <w:szCs w:val="34"/>
        </w:rPr>
        <w:t xml:space="preserve">Mentoring Master Facilitator candidates</w:t>
      </w:r>
    </w:p>
    <w:p>
      <w:pPr>
        <w:spacing w:after="170" w:before="0" w:line="300"/>
      </w:pPr>
      <w:r>
        <w:rPr>
          <w:rFonts w:ascii="Georgia" w:cs="Georgia" w:eastAsia="Georgia" w:hAnsi="Georgia"/>
          <w:b w:val="false"/>
          <w:bCs w:val="false"/>
          <w:i/>
          <w:iCs/>
          <w:color w:val="1E2761"/>
          <w:sz w:val="23"/>
          <w:szCs w:val="23"/>
        </w:rPr>
        <w:t xml:space="preserve">The final extension of your reach. You cannot lead a whole system alone, so you develop other Master Facilitators, the rarest and highest development work in the program.</w:t>
      </w:r>
    </w:p>
    <w:p>
      <w:pPr>
        <w:spacing w:after="150" w:before="0" w:line="292"/>
      </w:pPr>
      <w:r>
        <w:rPr>
          <w:rFonts w:ascii="Calibri" w:cs="Calibri" w:eastAsia="Calibri" w:hAnsi="Calibri"/>
          <w:b w:val="false"/>
          <w:bCs w:val="false"/>
          <w:i w:val="false"/>
          <w:iCs w:val="false"/>
          <w:color w:val="2E3B4B"/>
          <w:sz w:val="22"/>
          <w:szCs w:val="22"/>
        </w:rPr>
        <w:t xml:space="preserve">A single Master Facilitator can only be in so many rooms. To hold the standard across a system, you develop other Master Facilitators, people who will themselves train, certify, and advise. This is the top of the development pyramid, and it is different from everything below it: you are not developing a skill or even a judgment, you are developing another source of the standard. The person you mentor will one day certify facilitators without you in the room, and everything they carry, they carry from you.</w:t>
      </w:r>
    </w:p>
    <w:p>
      <w:pPr>
        <w:pStyle w:val="Heading2"/>
        <w:spacing w:after="110" w:before="320"/>
      </w:pPr>
      <w:r>
        <w:rPr>
          <w:rFonts w:ascii="Calibri" w:cs="Calibri" w:eastAsia="Calibri" w:hAnsi="Calibri"/>
          <w:b/>
          <w:bCs/>
          <w:i w:val="false"/>
          <w:iCs w:val="false"/>
          <w:color w:val="0E1726"/>
          <w:sz w:val="27"/>
          <w:szCs w:val="27"/>
        </w:rPr>
        <w:t xml:space="preserve">What a Master candidate needs from you</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The strategic translation. </w:t>
      </w:r>
      <w:r>
        <w:rPr>
          <w:rFonts w:ascii="Calibri" w:cs="Calibri" w:eastAsia="Calibri" w:hAnsi="Calibri"/>
          <w:b w:val="false"/>
          <w:bCs w:val="false"/>
          <w:i w:val="false"/>
          <w:iCs w:val="false"/>
          <w:color w:val="2E3B4B"/>
          <w:sz w:val="22"/>
          <w:szCs w:val="22"/>
        </w:rPr>
        <w:t xml:space="preserve">Help them make the leap from operations to strategy, the leap most facilitators never make, because it is the hardest and least natural.</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Honest feedback at a level they rarely get it. </w:t>
      </w:r>
      <w:r>
        <w:rPr>
          <w:rFonts w:ascii="Calibri" w:cs="Calibri" w:eastAsia="Calibri" w:hAnsi="Calibri"/>
          <w:b w:val="false"/>
          <w:bCs w:val="false"/>
          <w:i w:val="false"/>
          <w:iCs w:val="false"/>
          <w:color w:val="2E3B4B"/>
          <w:sz w:val="22"/>
          <w:szCs w:val="22"/>
        </w:rPr>
        <w:t xml:space="preserve">A near-Master is often the most capable person in their building; like the high belts in Module 8, they are starved for real critique. Give it.</w:t>
      </w:r>
    </w:p>
    <w:p>
      <w:pPr>
        <w:pStyle w:val="ListParagraph"/>
        <w:numPr>
          <w:ilvl w:val="0"/>
          <w:numId w:val="3"/>
        </w:numPr>
        <w:spacing w:after="80" w:line="270"/>
      </w:pPr>
      <w:r>
        <w:rPr>
          <w:rFonts w:ascii="Calibri" w:cs="Calibri" w:eastAsia="Calibri" w:hAnsi="Calibri"/>
          <w:b/>
          <w:bCs/>
          <w:i w:val="false"/>
          <w:iCs w:val="false"/>
          <w:color w:val="0E1726"/>
          <w:sz w:val="22"/>
          <w:szCs w:val="22"/>
        </w:rPr>
        <w:t xml:space="preserve">Room to develop their own voice. </w:t>
      </w:r>
      <w:r>
        <w:rPr>
          <w:rFonts w:ascii="Calibri" w:cs="Calibri" w:eastAsia="Calibri" w:hAnsi="Calibri"/>
          <w:b w:val="false"/>
          <w:bCs w:val="false"/>
          <w:i w:val="false"/>
          <w:iCs w:val="false"/>
          <w:color w:val="2E3B4B"/>
          <w:sz w:val="22"/>
          <w:szCs w:val="22"/>
        </w:rPr>
        <w:t xml:space="preserve">Do not clone yourself, the same trap as certification, one tier up. A different but excellent Master extends the standard's reach; a copy of you narrows it.</w:t>
      </w:r>
    </w:p>
    <w:p>
      <w:pPr>
        <w:pStyle w:val="Heading2"/>
        <w:spacing w:after="110" w:before="320"/>
      </w:pPr>
      <w:r>
        <w:rPr>
          <w:rFonts w:ascii="Calibri" w:cs="Calibri" w:eastAsia="Calibri" w:hAnsi="Calibri"/>
          <w:b/>
          <w:bCs/>
          <w:i w:val="false"/>
          <w:iCs w:val="false"/>
          <w:color w:val="0E1726"/>
          <w:sz w:val="27"/>
          <w:szCs w:val="27"/>
        </w:rPr>
        <w:t xml:space="preserve">The weight you are handing over</w:t>
      </w:r>
    </w:p>
    <w:tbl>
      <w:tblPr>
        <w:tblW w:type="dxa" w:w="9840"/>
        <w:tblBorders>
          <w:top w:val="none"/>
          <w:left w:val="single" w:color="B7791F" w:sz="22"/>
          <w:bottom w:val="none"/>
          <w:right w:val="none"/>
          <w:insideH w:val="none"/>
          <w:insideV w:val="none"/>
        </w:tblBorders>
      </w:tblPr>
      <w:tblGrid>
        <w:gridCol w:w="9840"/>
      </w:tblGrid>
      <w:tr>
        <w:tc>
          <w:tcPr>
            <w:tcW w:type="dxa" w:w="9840"/>
            <w:shd w:fill="FBF3E2"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12"/>
                <w:spacing w:val="20"/>
                <w:sz w:val="17"/>
                <w:szCs w:val="17"/>
              </w:rPr>
              <w:t xml:space="preserve">WATCH OUT   </w:t>
            </w:r>
            <w:r>
              <w:rPr>
                <w:rFonts w:ascii="Calibri" w:cs="Calibri" w:eastAsia="Calibri" w:hAnsi="Calibri"/>
                <w:b/>
                <w:bCs/>
                <w:i w:val="false"/>
                <w:iCs w:val="false"/>
                <w:color w:val="0E1726"/>
                <w:sz w:val="22"/>
                <w:szCs w:val="22"/>
              </w:rPr>
              <w:t xml:space="preserve">You are certifying a source of the standard.</w:t>
            </w:r>
          </w:p>
          <w:p>
            <w:pPr>
              <w:spacing w:after="100" w:before="0" w:line="284"/>
            </w:pPr>
            <w:r>
              <w:rPr>
                <w:rFonts w:ascii="Calibri" w:cs="Calibri" w:eastAsia="Calibri" w:hAnsi="Calibri"/>
                <w:b w:val="false"/>
                <w:bCs w:val="false"/>
                <w:i w:val="false"/>
                <w:iCs w:val="false"/>
                <w:color w:val="2E3B4B"/>
                <w:sz w:val="22"/>
                <w:szCs w:val="22"/>
              </w:rPr>
              <w:t xml:space="preserve">When you help make another Master Facilitator, you are vouching that this person can hold and transmit the standard without supervision, across facilities, into other facilitators, for years. That is the heaviest sign-off in the program. Mentor toward it seriously: a Master who bends the standard does not risk one department, they replicate the bend through everyone they will ever certify. Develop their judgment and their spine, not just their skill.</w:t>
            </w:r>
          </w:p>
        </w:tc>
      </w:tr>
    </w:tbl>
    <w:tbl>
      <w:tblPr>
        <w:tblW w:type="dxa" w:w="9840"/>
        <w:tblBorders>
          <w:top w:val="none"/>
          <w:left w:val="single" w:color="1E2761" w:sz="22"/>
          <w:bottom w:val="none"/>
          <w:right w:val="none"/>
          <w:insideH w:val="none"/>
          <w:insideV w:val="none"/>
        </w:tblBorders>
      </w:tblPr>
      <w:tblGrid>
        <w:gridCol w:w="9840"/>
      </w:tblGrid>
      <w:tr>
        <w:tc>
          <w:tcPr>
            <w:tcW w:type="dxa" w:w="9840"/>
            <w:shd w:fill="E9EDF4" w:color="auto" w:val="clear"/>
            <w:tcMar>
              <w:top w:type="dxa" w:w="150"/>
              <w:left w:type="dxa" w:w="220"/>
              <w:bottom w:type="dxa" w:w="150"/>
              <w:right w:type="dxa" w:w="220"/>
            </w:tcMar>
          </w:tcPr>
          <w:p>
            <w:pPr>
              <w:spacing w:after="60"/>
            </w:pPr>
            <w:r>
              <w:rPr>
                <w:rFonts w:ascii="Calibri" w:cs="Calibri" w:eastAsia="Calibri" w:hAnsi="Calibri"/>
                <w:b/>
                <w:bCs/>
                <w:i w:val="false"/>
                <w:iCs w:val="false"/>
                <w:color w:val="1E2761"/>
                <w:spacing w:val="20"/>
                <w:sz w:val="17"/>
                <w:szCs w:val="17"/>
              </w:rPr>
              <w:t xml:space="preserve">KEY IDEA   </w:t>
            </w:r>
            <w:r>
              <w:rPr>
                <w:rFonts w:ascii="Calibri" w:cs="Calibri" w:eastAsia="Calibri" w:hAnsi="Calibri"/>
                <w:b/>
                <w:bCs/>
                <w:i w:val="false"/>
                <w:iCs w:val="false"/>
                <w:color w:val="0E1726"/>
                <w:sz w:val="22"/>
                <w:szCs w:val="22"/>
              </w:rPr>
              <w:t xml:space="preserve">Pause and think.</w:t>
            </w:r>
          </w:p>
          <w:p>
            <w:pPr>
              <w:spacing w:after="100" w:before="0" w:line="284"/>
            </w:pPr>
            <w:r>
              <w:rPr>
                <w:rFonts w:ascii="Calibri" w:cs="Calibri" w:eastAsia="Calibri" w:hAnsi="Calibri"/>
                <w:b w:val="false"/>
                <w:bCs w:val="false"/>
                <w:i w:val="false"/>
                <w:iCs w:val="false"/>
                <w:color w:val="2E3B4B"/>
                <w:sz w:val="22"/>
                <w:szCs w:val="22"/>
              </w:rPr>
              <w:t xml:space="preserve">Name the one leap a Master Facilitator candidate most needs help making, and why it is the hardest. Then explain why “don't clone yourself” matters even more at the Master level than at Level 1 certification.</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tc>
      </w:tr>
    </w:tbl>
    <w:p>
      <w:r>
        <w:br w:type="page"/>
      </w:r>
    </w:p>
    <w:p>
      <w:pPr>
        <w:pStyle w:val="Heading1"/>
        <w:spacing w:after="150" w:before="360"/>
      </w:pPr>
      <w:r>
        <w:rPr>
          <w:rFonts w:ascii="Georgia" w:cs="Georgia" w:eastAsia="Georgia" w:hAnsi="Georgia"/>
          <w:b/>
          <w:bCs/>
          <w:i w:val="false"/>
          <w:iCs w:val="false"/>
          <w:color w:val="1E2761"/>
          <w:sz w:val="34"/>
          <w:szCs w:val="34"/>
        </w:rPr>
        <w:t xml:space="preserve">Put it to work</w:t>
      </w:r>
    </w:p>
    <w:p>
      <w:pPr>
        <w:spacing w:after="150" w:before="0" w:line="292"/>
      </w:pPr>
      <w:r>
        <w:rPr>
          <w:rFonts w:ascii="Calibri" w:cs="Calibri" w:eastAsia="Calibri" w:hAnsi="Calibri"/>
          <w:b w:val="false"/>
          <w:bCs w:val="false"/>
          <w:i w:val="false"/>
          <w:iCs w:val="false"/>
          <w:color w:val="2E3B4B"/>
          <w:sz w:val="22"/>
          <w:szCs w:val="22"/>
        </w:rPr>
        <w:t xml:space="preserve">Two activities before the module assessment, both drawn from what Level 3 tests.</w:t>
      </w:r>
    </w:p>
    <w:p>
      <w:pPr>
        <w:pStyle w:val="Heading3"/>
        <w:spacing w:after="80" w:before="240"/>
      </w:pPr>
      <w:r>
        <w:rPr>
          <w:rFonts w:ascii="Calibri" w:cs="Calibri" w:eastAsia="Calibri" w:hAnsi="Calibri"/>
          <w:b/>
          <w:bCs/>
          <w:i w:val="false"/>
          <w:iCs w:val="false"/>
          <w:color w:val="8A5A2B"/>
          <w:sz w:val="22"/>
          <w:szCs w:val="22"/>
        </w:rPr>
        <w:t xml:space="preserve">Activity 1 · Advise the executive</w:t>
      </w:r>
    </w:p>
    <w:p>
      <w:pPr>
        <w:spacing w:after="150" w:before="0" w:line="292"/>
      </w:pPr>
      <w:r>
        <w:rPr>
          <w:rFonts w:ascii="Calibri" w:cs="Calibri" w:eastAsia="Calibri" w:hAnsi="Calibri"/>
          <w:b w:val="false"/>
          <w:bCs w:val="false"/>
          <w:i w:val="false"/>
          <w:iCs w:val="false"/>
          <w:color w:val="2E3B4B"/>
          <w:sz w:val="22"/>
          <w:szCs w:val="22"/>
        </w:rPr>
        <w:t xml:space="preserve">You have fifteen minutes with a health-system CNO or COO. Write your advisory brief: the competency problem in their language, the strategic recommendation, and a conservative outcome model with its assumptions stated. Translate every operational fact into strategic terms.</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Style w:val="Heading3"/>
        <w:spacing w:after="80" w:before="240"/>
      </w:pPr>
      <w:r>
        <w:rPr>
          <w:rFonts w:ascii="Calibri" w:cs="Calibri" w:eastAsia="Calibri" w:hAnsi="Calibri"/>
          <w:b/>
          <w:bCs/>
          <w:i w:val="false"/>
          <w:iCs w:val="false"/>
          <w:color w:val="8A5A2B"/>
          <w:sz w:val="22"/>
          <w:szCs w:val="22"/>
        </w:rPr>
        <w:t xml:space="preserve">Activity 2 · Design a system-scale strategy</w:t>
      </w:r>
    </w:p>
    <w:p>
      <w:pPr>
        <w:spacing w:after="150" w:before="0" w:line="292"/>
      </w:pPr>
      <w:r>
        <w:rPr>
          <w:rFonts w:ascii="Calibri" w:cs="Calibri" w:eastAsia="Calibri" w:hAnsi="Calibri"/>
          <w:b w:val="false"/>
          <w:bCs w:val="false"/>
          <w:i w:val="false"/>
          <w:iCs w:val="false"/>
          <w:color w:val="2E3B4B"/>
          <w:sz w:val="22"/>
          <w:szCs w:val="22"/>
        </w:rPr>
        <w:t xml:space="preserve">Sketch a competency strategy for a five-facility health system: what is common across all five, what is tailored per facility, how you sequence the rollout, and the leadership structure of Master and Advanced Facilitators you would build to hold the standard.</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r>
        <w:br w:type="page"/>
      </w:r>
    </w:p>
    <w:p>
      <w:pPr>
        <w:pStyle w:val="Heading1"/>
        <w:spacing w:after="150" w:before="360"/>
      </w:pPr>
      <w:r>
        <w:rPr>
          <w:rFonts w:ascii="Georgia" w:cs="Georgia" w:eastAsia="Georgia" w:hAnsi="Georgia"/>
          <w:b/>
          <w:bCs/>
          <w:i w:val="false"/>
          <w:iCs w:val="false"/>
          <w:color w:val="1E2761"/>
          <w:sz w:val="34"/>
          <w:szCs w:val="34"/>
        </w:rPr>
        <w:t xml:space="preserve">Module 14 assessment</w:t>
      </w:r>
    </w:p>
    <w:p>
      <w:pPr>
        <w:spacing w:after="150" w:before="0" w:line="292"/>
      </w:pPr>
      <w:r>
        <w:rPr>
          <w:rFonts w:ascii="Calibri" w:cs="Calibri" w:eastAsia="Calibri" w:hAnsi="Calibri"/>
          <w:b w:val="false"/>
          <w:bCs w:val="false"/>
          <w:i w:val="false"/>
          <w:iCs w:val="false"/>
          <w:color w:val="2E3B4B"/>
          <w:sz w:val="22"/>
          <w:szCs w:val="22"/>
        </w:rPr>
        <w:t xml:space="preserve">Two applied tasks that mirror the strategic work of a Master Facilitator. Complete both fully; they combine with the other Level 3 modules and the practicum toward the certification gates. Score yourself against the guide that follows.</w:t>
      </w:r>
    </w:p>
    <w:p>
      <w:pPr>
        <w:pStyle w:val="Heading2"/>
        <w:spacing w:after="110" w:before="320"/>
      </w:pPr>
      <w:r>
        <w:rPr>
          <w:rFonts w:ascii="Calibri" w:cs="Calibri" w:eastAsia="Calibri" w:hAnsi="Calibri"/>
          <w:b/>
          <w:bCs/>
          <w:i w:val="false"/>
          <w:iCs w:val="false"/>
          <w:color w:val="0E1726"/>
          <w:sz w:val="27"/>
          <w:szCs w:val="27"/>
        </w:rPr>
        <w:t xml:space="preserve">Task 1 · The executive advisory</w:t>
      </w:r>
    </w:p>
    <w:p>
      <w:pPr>
        <w:spacing w:after="150" w:before="0" w:line="292"/>
      </w:pPr>
      <w:r>
        <w:rPr>
          <w:rFonts w:ascii="Calibri" w:cs="Calibri" w:eastAsia="Calibri" w:hAnsi="Calibri"/>
          <w:b w:val="false"/>
          <w:bCs w:val="false"/>
          <w:i w:val="false"/>
          <w:iCs w:val="false"/>
          <w:color w:val="2E3B4B"/>
          <w:sz w:val="22"/>
          <w:szCs w:val="22"/>
        </w:rPr>
        <w:t xml:space="preserve">Write a complete executive advisory for a health-system leader: the diagnosis in strategic language, the recommendation, a conservative and clearly-assumed outcome model, and the specific decision you are advising them to make. It should read as an advisor's counsel, not a pitch for permission.</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Style w:val="Heading2"/>
        <w:spacing w:after="110" w:before="320"/>
      </w:pPr>
      <w:r>
        <w:rPr>
          <w:rFonts w:ascii="Calibri" w:cs="Calibri" w:eastAsia="Calibri" w:hAnsi="Calibri"/>
          <w:b/>
          <w:bCs/>
          <w:i w:val="false"/>
          <w:iCs w:val="false"/>
          <w:color w:val="0E1726"/>
          <w:sz w:val="27"/>
          <w:szCs w:val="27"/>
        </w:rPr>
        <w:t xml:space="preserve">Task 2 · The system-scale strategy</w:t>
      </w:r>
    </w:p>
    <w:p>
      <w:pPr>
        <w:spacing w:after="150" w:before="0" w:line="292"/>
      </w:pPr>
      <w:r>
        <w:rPr>
          <w:rFonts w:ascii="Calibri" w:cs="Calibri" w:eastAsia="Calibri" w:hAnsi="Calibri"/>
          <w:b w:val="false"/>
          <w:bCs w:val="false"/>
          <w:i w:val="false"/>
          <w:iCs w:val="false"/>
          <w:color w:val="2E3B4B"/>
          <w:sz w:val="22"/>
          <w:szCs w:val="22"/>
        </w:rPr>
        <w:t xml:space="preserve">Write a system-scale competency strategy: the common standard and local paths, the phased rollout across facilities, the leadership structure that holds the standard at scale, and an explicit statement of how you protect rigor while achieving reach.</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pPr>
        <w:pBdr>
          <w:bottom w:val="single" w:color="C4CDD8" w:sz="6" w:space="2"/>
        </w:pBdr>
        <w:spacing w:after="130"/>
      </w:pPr>
      <w:r>
        <w:rPr>
          <w:rFonts w:ascii="Calibri" w:cs="Calibri" w:eastAsia="Calibri" w:hAnsi="Calibri"/>
          <w:b w:val="false"/>
          <w:bCs w:val="false"/>
          <w:i w:val="false"/>
          <w:iCs w:val="false"/>
          <w:color w:val="2E3B4B"/>
          <w:sz w:val="22"/>
          <w:szCs w:val="22"/>
        </w:rPr>
        <w:t xml:space="preserve"> </w:t>
      </w:r>
    </w:p>
    <w:p>
      <w:r>
        <w:br w:type="page"/>
      </w:r>
    </w:p>
    <w:p>
      <w:pPr>
        <w:pStyle w:val="Heading1"/>
        <w:spacing w:after="150" w:before="360"/>
      </w:pPr>
      <w:r>
        <w:rPr>
          <w:rFonts w:ascii="Georgia" w:cs="Georgia" w:eastAsia="Georgia" w:hAnsi="Georgia"/>
          <w:b/>
          <w:bCs/>
          <w:i w:val="false"/>
          <w:iCs w:val="false"/>
          <w:color w:val="1E2761"/>
          <w:sz w:val="34"/>
          <w:szCs w:val="34"/>
        </w:rPr>
        <w:t xml:space="preserve">Self-scoring guide</w:t>
      </w:r>
    </w:p>
    <w:p>
      <w:pPr>
        <w:spacing w:after="150" w:before="0" w:line="292"/>
      </w:pPr>
      <w:r>
        <w:rPr>
          <w:rFonts w:ascii="Calibri" w:cs="Calibri" w:eastAsia="Calibri" w:hAnsi="Calibri"/>
          <w:b w:val="false"/>
          <w:bCs w:val="false"/>
          <w:i w:val="false"/>
          <w:iCs w:val="false"/>
          <w:color w:val="2E3B4B"/>
          <w:sz w:val="22"/>
          <w:szCs w:val="22"/>
        </w:rPr>
        <w:t xml:space="preserve">Score each task against its marks. Both tasks must reach at least four of five to complete Module 14.</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8140"/>
        <w:gridCol w:w="1700"/>
      </w:tblGrid>
      <w:tr>
        <w:trPr>
          <w:tblHeader/>
        </w:trPr>
        <w:tc>
          <w:tcPr>
            <w:tcW w:type="dxa" w:w="81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Task 1 · Executive advisory</w:t>
            </w:r>
          </w:p>
        </w:tc>
        <w:tc>
          <w:tcPr>
            <w:tcW w:type="dxa" w:w="17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Present?</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Speaks strategy, not operations: risk, cost, throughput, survey</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Names a problem the executive already feels and owns</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Models outcomes conservatively, with assumptions stated</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Advises a specific decision rather than asking permission</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Protects the executive from buying reach without rigor</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bl>
    <w:p>
      <w:pPr>
        <w:spacing w:after="20" w:before="0" w:line="288"/>
      </w:pPr>
      <w:r>
        <w:rPr>
          <w:rFonts w:ascii="Calibri" w:cs="Calibri" w:eastAsia="Calibri" w:hAnsi="Calibri"/>
          <w:b w:val="false"/>
          <w:bCs w:val="false"/>
          <w:i w:val="false"/>
          <w:iCs w:val="false"/>
          <w:color w:val="2E3B4B"/>
          <w:sz w:val="8"/>
          <w:szCs w:val="8"/>
        </w:rPr>
        <w:t xml:space="preserve"> </w:t>
      </w:r>
    </w:p>
    <w:tbl>
      <w:tblPr>
        <w:tblW w:type="dxa" w:w="9840"/>
        <w:tblBorders>
          <w:top w:val="single" w:color="D8DEE6" w:sz="4"/>
          <w:left w:val="single" w:color="D8DEE6" w:sz="4"/>
          <w:bottom w:val="single" w:color="D8DEE6" w:sz="4"/>
          <w:right w:val="single" w:color="D8DEE6" w:sz="4"/>
          <w:insideH w:val="single" w:color="E4E9EF" w:sz="2"/>
          <w:insideV w:val="single" w:color="E4E9EF" w:sz="2"/>
        </w:tblBorders>
      </w:tblPr>
      <w:tblGrid>
        <w:gridCol w:w="8140"/>
        <w:gridCol w:w="1700"/>
      </w:tblGrid>
      <w:tr>
        <w:trPr>
          <w:tblHeader/>
        </w:trPr>
        <w:tc>
          <w:tcPr>
            <w:tcW w:type="dxa" w:w="814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Task 2 · System-scale strategy</w:t>
            </w:r>
          </w:p>
        </w:tc>
        <w:tc>
          <w:tcPr>
            <w:tcW w:type="dxa" w:w="1700"/>
            <w:shd w:fill="1E2761" w:color="auto" w:val="clear"/>
            <w:tcMar>
              <w:top w:type="dxa" w:w="80"/>
              <w:left w:type="dxa" w:w="130"/>
              <w:bottom w:type="dxa" w:w="80"/>
              <w:right w:type="dxa" w:w="130"/>
            </w:tcMar>
          </w:tcPr>
          <w:p>
            <w:r>
              <w:rPr>
                <w:rFonts w:ascii="Calibri" w:cs="Calibri" w:eastAsia="Calibri" w:hAnsi="Calibri"/>
                <w:b/>
                <w:bCs/>
                <w:i w:val="false"/>
                <w:iCs w:val="false"/>
                <w:color w:val="FFFFFF"/>
                <w:sz w:val="19"/>
                <w:szCs w:val="19"/>
              </w:rPr>
              <w:t xml:space="preserve">Present?</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Holds one common standard across every facility</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Tailors the path per facility (coherence without uniformity)</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Sequences the rollout rather than launching everywhere at once</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FFFFF"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Builds a leadership structure that holds the standard at scale</w:t>
            </w:r>
          </w:p>
        </w:tc>
        <w:tc>
          <w:tcPr>
            <w:tcW w:type="dxa" w:w="1700"/>
            <w:shd w:fill="FFFFFF"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r>
        <w:tc>
          <w:tcPr>
            <w:tcW w:type="dxa" w:w="8140"/>
            <w:shd w:fill="F4F6F9" w:color="auto" w:val="clear"/>
            <w:tcMar>
              <w:top w:type="dxa" w:w="80"/>
              <w:left w:type="dxa" w:w="130"/>
              <w:bottom w:type="dxa" w:w="80"/>
              <w:right w:type="dxa" w:w="130"/>
            </w:tcMar>
          </w:tcPr>
          <w:p>
            <w:r>
              <w:rPr>
                <w:rFonts w:ascii="Calibri" w:cs="Calibri" w:eastAsia="Calibri" w:hAnsi="Calibri"/>
                <w:b/>
                <w:bCs/>
                <w:i w:val="false"/>
                <w:iCs w:val="false"/>
                <w:color w:val="0E1726"/>
                <w:sz w:val="20"/>
                <w:szCs w:val="20"/>
              </w:rPr>
              <w:t xml:space="preserve">States explicitly how rigor is protected while scaling</w:t>
            </w:r>
          </w:p>
        </w:tc>
        <w:tc>
          <w:tcPr>
            <w:tcW w:type="dxa" w:w="1700"/>
            <w:shd w:fill="F4F6F9" w:color="auto" w:val="clear"/>
            <w:tcMar>
              <w:top w:type="dxa" w:w="80"/>
              <w:left w:type="dxa" w:w="130"/>
              <w:bottom w:type="dxa" w:w="80"/>
              <w:right w:type="dxa" w:w="130"/>
            </w:tcMar>
          </w:tcPr>
          <w:p>
            <w:r>
              <w:rPr>
                <w:rFonts w:ascii="Calibri" w:cs="Calibri" w:eastAsia="Calibri" w:hAnsi="Calibri"/>
                <w:b w:val="false"/>
                <w:bCs w:val="false"/>
                <w:i w:val="false"/>
                <w:iCs w:val="false"/>
                <w:color w:val="2E3B4B"/>
                <w:sz w:val="20"/>
                <w:szCs w:val="20"/>
              </w:rPr>
              <w:t xml:space="preserve">□</w:t>
            </w:r>
          </w:p>
        </w:tc>
      </w:tr>
    </w:tbl>
    <w:p>
      <w:pPr>
        <w:pStyle w:val="Heading2"/>
        <w:spacing w:after="110" w:before="320"/>
      </w:pPr>
      <w:r>
        <w:rPr>
          <w:rFonts w:ascii="Calibri" w:cs="Calibri" w:eastAsia="Calibri" w:hAnsi="Calibri"/>
          <w:b/>
          <w:bCs/>
          <w:i w:val="false"/>
          <w:iCs w:val="false"/>
          <w:color w:val="0E1726"/>
          <w:sz w:val="27"/>
          <w:szCs w:val="27"/>
        </w:rPr>
        <w:t xml:space="preserve">You have completed Module 14</w:t>
      </w:r>
    </w:p>
    <w:p>
      <w:pPr>
        <w:spacing w:after="150" w:before="0" w:line="292"/>
      </w:pPr>
      <w:r>
        <w:rPr>
          <w:rFonts w:ascii="Calibri" w:cs="Calibri" w:eastAsia="Calibri" w:hAnsi="Calibri"/>
          <w:b w:val="false"/>
          <w:bCs w:val="false"/>
          <w:i w:val="false"/>
          <w:iCs w:val="false"/>
          <w:color w:val="2E3B4B"/>
          <w:sz w:val="22"/>
          <w:szCs w:val="22"/>
        </w:rPr>
        <w:t xml:space="preserve">Return to the four objectives: build at system scale, advise leadership, model outcomes honestly, and mentor Master candidates. If the shift from asking to advising, or protecting rigor while scaling, still feels shaky, re-read before Module 15, the last module of the program.</w:t>
      </w:r>
    </w:p>
    <w:tbl>
      <w:tblPr>
        <w:tblW w:type="dxa" w:w="9840"/>
        <w:tblBorders>
          <w:top w:val="none"/>
          <w:left w:val="single" w:color="8A5A2B" w:sz="22"/>
          <w:bottom w:val="none"/>
          <w:right w:val="none"/>
          <w:insideH w:val="none"/>
          <w:insideV w:val="none"/>
        </w:tblBorders>
      </w:tblPr>
      <w:tblGrid>
        <w:gridCol w:w="9840"/>
      </w:tblGrid>
      <w:tr>
        <w:tc>
          <w:tcPr>
            <w:tcW w:type="dxa" w:w="9840"/>
            <w:shd w:fill="F4EEE6" w:color="auto" w:val="clear"/>
            <w:tcMar>
              <w:top w:type="dxa" w:w="150"/>
              <w:left w:type="dxa" w:w="220"/>
              <w:bottom w:type="dxa" w:w="150"/>
              <w:right w:type="dxa" w:w="220"/>
            </w:tcMar>
          </w:tcPr>
          <w:p>
            <w:pPr>
              <w:spacing w:after="60"/>
            </w:pPr>
            <w:r>
              <w:rPr>
                <w:rFonts w:ascii="Calibri" w:cs="Calibri" w:eastAsia="Calibri" w:hAnsi="Calibri"/>
                <w:b/>
                <w:bCs/>
                <w:i w:val="false"/>
                <w:iCs w:val="false"/>
                <w:color w:val="8A5A2B"/>
                <w:spacing w:val="20"/>
                <w:sz w:val="17"/>
                <w:szCs w:val="17"/>
              </w:rPr>
              <w:t xml:space="preserve">IN YOUR WORDS   </w:t>
            </w:r>
            <w:r>
              <w:rPr>
                <w:rFonts w:ascii="Calibri" w:cs="Calibri" w:eastAsia="Calibri" w:hAnsi="Calibri"/>
                <w:b/>
                <w:bCs/>
                <w:i w:val="false"/>
                <w:iCs w:val="false"/>
                <w:color w:val="0E1726"/>
                <w:sz w:val="22"/>
                <w:szCs w:val="22"/>
              </w:rPr>
              <w:t xml:space="preserve">Carry this into Module 15</w:t>
            </w:r>
          </w:p>
          <w:p>
            <w:pPr>
              <w:spacing w:after="100" w:before="0" w:line="284"/>
            </w:pPr>
            <w:r>
              <w:rPr>
                <w:rFonts w:ascii="Calibri" w:cs="Calibri" w:eastAsia="Calibri" w:hAnsi="Calibri"/>
                <w:b w:val="false"/>
                <w:bCs w:val="false"/>
                <w:i w:val="false"/>
                <w:iCs w:val="false"/>
                <w:color w:val="2E3B4B"/>
                <w:sz w:val="22"/>
                <w:szCs w:val="22"/>
              </w:rPr>
              <w:t xml:space="preserve">You can now lead and scale at the enterprise level. Module 15, Research and Evidence-Based Practice, is the final module of the entire pathway. It turns your work into evidence, studying what works, publishing it, and contributing to the field itself, so the standard you hold is not just replicated, but proven and advanced. You have learned to lead the system. Last, you learn to add to the knowledge behind it.</w:t>
            </w:r>
          </w:p>
        </w:tc>
      </w:tr>
    </w:tbl>
    <w:p>
      <w:pPr>
        <w:pBdr>
          <w:top w:val="single" w:color="D8DEE6" w:sz="6" w:space="8"/>
        </w:pBdr>
        <w:spacing w:before="260"/>
      </w:pPr>
      <w:r>
        <w:rPr>
          <w:rFonts w:ascii="Calibri" w:cs="Calibri" w:eastAsia="Calibri" w:hAnsi="Calibri"/>
          <w:b w:val="false"/>
          <w:bCs w:val="false"/>
          <w:i/>
          <w:iCs/>
          <w:color w:val="6B7B8C"/>
          <w:sz w:val="15"/>
          <w:szCs w:val="15"/>
        </w:rPr>
        <w:t xml:space="preserve">SBD WIP Facilitator Certification · Level 3 · Module 14 (Module 4 of 5) · Prepared by Jake Tayler Jacobs DBA, MBA, B.Ed. for SIPS Healthcare Solutions</w:t>
      </w:r>
    </w:p>
    <w:sectPr>
      <w:headerReference w:type="default" r:id="rId7"/>
      <w:footerReference w:type="default" r:id="rId8"/>
      <w:pgSz w:w="12240" w:h="15840"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6" w:space="6"/>
      </w:pBdr>
      <w:jc w:val="center"/>
    </w:pPr>
    <w:r>
      <w:rPr>
        <w:rFonts w:ascii="Calibri" w:cs="Calibri" w:eastAsia="Calibri" w:hAnsi="Calibri"/>
        <w:b w:val="false"/>
        <w:bCs w:val="false"/>
        <w:i w:val="false"/>
        <w:iCs w:val="false"/>
        <w:color w:val="6B7B8C"/>
        <w:sz w:val="14"/>
        <w:szCs w:val="14"/>
      </w:rPr>
      <w:t xml:space="preserve">Self-Paced Learner Workbook · SIPS Healthcare Solutions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6" w:sz="6" w:space="6"/>
      </w:pBdr>
    </w:pPr>
    <w:r>
      <w:rPr>
        <w:rFonts w:ascii="Calibri" w:cs="Calibri" w:eastAsia="Calibri" w:hAnsi="Calibri"/>
        <w:b w:val="false"/>
        <w:bCs w:val="false"/>
        <w:i w:val="false"/>
        <w:iCs w:val="false"/>
        <w:color w:val="6B7B8C"/>
        <w:spacing w:val="16"/>
        <w:sz w:val="15"/>
        <w:szCs w:val="15"/>
      </w:rPr>
      <w:t xml:space="preserve">SBD WIP · Level 3 · Module 14 (Module 4 of 5) · Strategic Leadership and Program Scaling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8A5A2B"/>
      </w:rPr>
    </w:lvl>
  </w:abstractNum>
  <w:abstractNum w:abstractNumId="3" w15:restartNumberingAfterBreak="0">
    <w:multiLevelType w:val="hybridMultilevel"/>
    <w:lvl w:ilvl="0" w15:tentative="1">
      <w:start w:val="1"/>
      <w:numFmt w:val="decimal"/>
      <w:lvlText w:val="%1."/>
      <w:lvlJc w:val="left"/>
      <w:pPr>
        <w:ind w:left="420" w:hanging="260"/>
      </w:pPr>
      <w:rPr>
        <w:b/>
        <w:bCs/>
        <w:color w:val="8A5A2B"/>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3B4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1E2761"/>
      <w:sz w:val="34"/>
      <w:szCs w:val="34"/>
    </w:rPr>
  </w:style>
  <w:style w:type="paragraph" w:styleId="Heading2">
    <w:name w:val="Heading 2"/>
    <w:basedOn w:val="Normal"/>
    <w:next w:val="Normal"/>
    <w:qFormat/>
    <w:rPr>
      <w:rFonts w:ascii="Calibri" w:cs="Calibri" w:eastAsia="Calibri" w:hAnsi="Calibri"/>
      <w:b/>
      <w:bCs/>
      <w:color w:val="0E172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SBD Facilitator Certification — Module 14 (Level 3, Module 4 of 5)</dc:title>
  <dc:creator>Jake Tayler Jacobs DBA, MBA, B.Ed.</dc:creator>
  <cp:lastModifiedBy>Un-named</cp:lastModifiedBy>
  <cp:revision>1</cp:revision>
  <dcterms:created xsi:type="dcterms:W3CDTF">2026-07-13T14:51:40.772Z</dcterms:created>
  <dcterms:modified xsi:type="dcterms:W3CDTF">2026-07-13T14:51:40.787Z</dcterms:modified>
</cp:coreProperties>
</file>

<file path=docProps/custom.xml><?xml version="1.0" encoding="utf-8"?>
<Properties xmlns="http://schemas.openxmlformats.org/officeDocument/2006/custom-properties" xmlns:vt="http://schemas.openxmlformats.org/officeDocument/2006/docPropsVTypes"/>
</file>