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Calibri" w:cs="Calibri" w:eastAsia="Calibri" w:hAnsi="Calibri"/>
          <w:b/>
          <w:bCs/>
          <w:i w:val="false"/>
          <w:iCs w:val="false"/>
          <w:color w:val="8A5A2B"/>
          <w:spacing w:val="34"/>
          <w:sz w:val="17"/>
          <w:szCs w:val="17"/>
        </w:rPr>
        <w:t xml:space="preserve">SBD WIP FACILITATOR CERTIFICATION  ·  LEVEL 1</w:t>
      </w:r>
    </w:p>
    <w:p>
      <w:pPr>
        <w:spacing w:after="0" w:before="160"/>
      </w:pPr>
      <w:r>
        <w:rPr>
          <w:rFonts w:ascii="Georgia" w:cs="Georgia" w:eastAsia="Georgia" w:hAnsi="Georgia"/>
          <w:b/>
          <w:bCs/>
          <w:i w:val="false"/>
          <w:iCs w:val="false"/>
          <w:color w:val="8A5A2B"/>
          <w:sz w:val="30"/>
          <w:szCs w:val="30"/>
        </w:rPr>
        <w:t xml:space="preserve">Module 3</w:t>
      </w:r>
    </w:p>
    <w:p>
      <w:pPr>
        <w:spacing w:after="40" w:before="40"/>
      </w:pPr>
      <w:r>
        <w:rPr>
          <w:rFonts w:ascii="Georgia" w:cs="Georgia" w:eastAsia="Georgia" w:hAnsi="Georgia"/>
          <w:b/>
          <w:bCs/>
          <w:i w:val="false"/>
          <w:iCs w:val="false"/>
          <w:color w:val="1E2761"/>
          <w:sz w:val="44"/>
          <w:szCs w:val="44"/>
        </w:rPr>
        <w:t xml:space="preserve">The Belt System and Curriculum Mastery</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This is the map of everything your staff will climb. Learn it cold, because you cannot guide a path you do not know by heart.</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8 hours   ·   Ends with a 50-question knowledge check (85%) plus three training plans</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This is the longest module in Level 1, and for good reason. The belt system and curriculum are the terrain you will work in every single day. A learner will ask you what Green Belt requires, whether they are ready, which module comes next, and you need the answer at your fingertips, not after a search.</w:t>
      </w:r>
    </w:p>
    <w:p>
      <w:pPr>
        <w:spacing w:after="150" w:before="0" w:line="292"/>
      </w:pPr>
      <w:r>
        <w:rPr>
          <w:rFonts w:ascii="Calibri" w:cs="Calibri" w:eastAsia="Calibri" w:hAnsi="Calibri"/>
          <w:b w:val="false"/>
          <w:bCs w:val="false"/>
          <w:i w:val="false"/>
          <w:iCs w:val="false"/>
          <w:color w:val="2E3B4B"/>
          <w:sz w:val="22"/>
          <w:szCs w:val="22"/>
        </w:rPr>
        <w:t xml:space="preserve">You will not memorize every line of every module today, David OG holds that for you, and Module 2 taught you to look it up. What you will build here is the mental map: the shape of the belt progression, how placement starts it, how practice predicts readiness, and how the Foundation and Instrument modules fit around the fixed belt curriculum. Know the map, and the details always have a place to land.</w:t>
      </w:r>
    </w:p>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Explain every belt, </w:t>
      </w:r>
      <w:r>
        <w:rPr>
          <w:rFonts w:ascii="Calibri" w:cs="Calibri" w:eastAsia="Calibri" w:hAnsi="Calibri"/>
          <w:b w:val="false"/>
          <w:bCs w:val="false"/>
          <w:i w:val="false"/>
          <w:iCs w:val="false"/>
          <w:color w:val="2E3B4B"/>
          <w:sz w:val="22"/>
          <w:szCs w:val="22"/>
        </w:rPr>
        <w:t xml:space="preserve">White through Black, and what an operator at each is verified to do.</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Navigate the curriculum: </w:t>
      </w:r>
      <w:r>
        <w:rPr>
          <w:rFonts w:ascii="Calibri" w:cs="Calibri" w:eastAsia="Calibri" w:hAnsi="Calibri"/>
          <w:b w:val="false"/>
          <w:bCs w:val="false"/>
          <w:i w:val="false"/>
          <w:iCs w:val="false"/>
          <w:color w:val="2E3B4B"/>
          <w:sz w:val="22"/>
          <w:szCs w:val="22"/>
        </w:rPr>
        <w:t xml:space="preserve">placement, practice exams, Foundation modules, and Instrument modules.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Distinguish the standardized layer </w:t>
      </w:r>
      <w:r>
        <w:rPr>
          <w:rFonts w:ascii="Calibri" w:cs="Calibri" w:eastAsia="Calibri" w:hAnsi="Calibri"/>
          <w:b w:val="false"/>
          <w:bCs w:val="false"/>
          <w:i w:val="false"/>
          <w:iCs w:val="false"/>
          <w:color w:val="2E3B4B"/>
          <w:sz w:val="22"/>
          <w:szCs w:val="22"/>
        </w:rPr>
        <w:t xml:space="preserve">from the customizable layer, and know which is which.</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Teach staff to use practice exams </w:t>
      </w:r>
      <w:r>
        <w:rPr>
          <w:rFonts w:ascii="Calibri" w:cs="Calibri" w:eastAsia="Calibri" w:hAnsi="Calibri"/>
          <w:b w:val="false"/>
          <w:bCs w:val="false"/>
          <w:i w:val="false"/>
          <w:iCs w:val="false"/>
          <w:color w:val="2E3B4B"/>
          <w:sz w:val="22"/>
          <w:szCs w:val="22"/>
        </w:rPr>
        <w:t xml:space="preserve">as a readiness tool, not just a hurdle.</w:t>
      </w:r>
    </w:p>
    <w:p>
      <w:r>
        <w:br w:type="page"/>
      </w:r>
    </w:p>
    <w:p>
      <w:pPr>
        <w:spacing w:after="30" w:before="40"/>
      </w:pPr>
      <w:r>
        <w:rPr>
          <w:rFonts w:ascii="Calibri" w:cs="Calibri" w:eastAsia="Calibri" w:hAnsi="Calibri"/>
          <w:b/>
          <w:bCs/>
          <w:i w:val="false"/>
          <w:iCs w:val="false"/>
          <w:color w:val="8A5A2B"/>
          <w:spacing w:val="34"/>
          <w:sz w:val="16"/>
          <w:szCs w:val="16"/>
        </w:rPr>
        <w:t xml:space="preserve">SECTION 1 OF 5</w:t>
      </w:r>
    </w:p>
    <w:p>
      <w:pPr>
        <w:pStyle w:val="Heading1"/>
        <w:spacing w:after="150" w:before="360"/>
      </w:pPr>
      <w:r>
        <w:rPr>
          <w:rFonts w:ascii="Georgia" w:cs="Georgia" w:eastAsia="Georgia" w:hAnsi="Georgia"/>
          <w:b/>
          <w:bCs/>
          <w:i w:val="false"/>
          <w:iCs w:val="false"/>
          <w:color w:val="1E2761"/>
          <w:sz w:val="34"/>
          <w:szCs w:val="34"/>
        </w:rPr>
        <w:t xml:space="preserve">The belt progression</w:t>
      </w:r>
    </w:p>
    <w:p>
      <w:pPr>
        <w:spacing w:after="170" w:before="0" w:line="300"/>
      </w:pPr>
      <w:r>
        <w:rPr>
          <w:rFonts w:ascii="Georgia" w:cs="Georgia" w:eastAsia="Georgia" w:hAnsi="Georgia"/>
          <w:b w:val="false"/>
          <w:bCs w:val="false"/>
          <w:i/>
          <w:iCs/>
          <w:color w:val="1E2761"/>
          <w:sz w:val="23"/>
          <w:szCs w:val="23"/>
        </w:rPr>
        <w:t xml:space="preserve">Six belts. Each one is a specific, defined level of what an operator is verified to do. This is the spine of the whole system, so we start here and you will return to it constantly.</w:t>
      </w:r>
    </w:p>
    <w:p>
      <w:pPr>
        <w:spacing w:after="150" w:before="0" w:line="292"/>
      </w:pPr>
      <w:r>
        <w:rPr>
          <w:rFonts w:ascii="Calibri" w:cs="Calibri" w:eastAsia="Calibri" w:hAnsi="Calibri"/>
          <w:b w:val="false"/>
          <w:bCs w:val="false"/>
          <w:i w:val="false"/>
          <w:iCs w:val="false"/>
          <w:color w:val="2E3B4B"/>
          <w:sz w:val="22"/>
          <w:szCs w:val="22"/>
        </w:rPr>
        <w:t xml:space="preserve">Read the belt table below slowly. Do not try to memorize it in one pass, read it for the shape: notice that each belt widens what the operator can do and lowers how much supervision they need. Competency climbs, oversight drops.</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1500"/>
        <w:gridCol w:w="2600"/>
        <w:gridCol w:w="5740"/>
      </w:tblGrid>
      <w:tr>
        <w:trPr>
          <w:tblHeader/>
        </w:trPr>
        <w:tc>
          <w:tcPr>
            <w:tcW w:type="dxa" w:w="150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Belt</w:t>
            </w:r>
          </w:p>
        </w:tc>
        <w:tc>
          <w:tcPr>
            <w:tcW w:type="dxa" w:w="260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Tier</w:t>
            </w:r>
          </w:p>
        </w:tc>
        <w:tc>
          <w:tcPr>
            <w:tcW w:type="dxa" w:w="574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Verified to do</w:t>
            </w:r>
          </w:p>
        </w:tc>
      </w:tr>
      <w:tr>
        <w:tc>
          <w:tcPr>
            <w:tcW w:type="dxa" w:w="1500"/>
            <w:shd w:fill="E7ECF2" w:color="auto" w:val="clear"/>
            <w:tcMar>
              <w:top w:type="dxa" w:w="90"/>
              <w:left w:type="dxa" w:w="120"/>
              <w:bottom w:type="dxa" w:w="90"/>
              <w:right w:type="dxa" w:w="120"/>
            </w:tcMar>
          </w:tcPr>
          <w:p>
            <w:r>
              <w:rPr>
                <w:rFonts w:ascii="Calibri" w:cs="Calibri" w:eastAsia="Calibri" w:hAnsi="Calibri"/>
                <w:b/>
                <w:bCs/>
                <w:i w:val="false"/>
                <w:iCs w:val="false"/>
                <w:color w:val="1E2761"/>
                <w:sz w:val="20"/>
                <w:szCs w:val="20"/>
              </w:rPr>
              <w:t xml:space="preserve">WHITE</w:t>
            </w:r>
          </w:p>
        </w:tc>
        <w:tc>
          <w:tcPr>
            <w:tcW w:type="dxa" w:w="2600"/>
            <w:shd w:fill="F4F6F9" w:color="auto" w:val="clear"/>
            <w:tcMar>
              <w:top w:type="dxa" w:w="90"/>
              <w:left w:type="dxa" w:w="120"/>
              <w:bottom w:type="dxa" w:w="90"/>
              <w:right w:type="dxa" w:w="120"/>
            </w:tcMar>
          </w:tcPr>
          <w:p>
            <w:r>
              <w:rPr>
                <w:rFonts w:ascii="Calibri" w:cs="Calibri" w:eastAsia="Calibri" w:hAnsi="Calibri"/>
                <w:b/>
                <w:bCs/>
                <w:i w:val="false"/>
                <w:iCs w:val="false"/>
                <w:color w:val="0E1726"/>
                <w:sz w:val="19"/>
                <w:szCs w:val="19"/>
              </w:rPr>
              <w:t xml:space="preserve">Foundation</w:t>
            </w:r>
          </w:p>
        </w:tc>
        <w:tc>
          <w:tcPr>
            <w:tcW w:type="dxa" w:w="5740"/>
            <w:shd w:fill="FFFFFF" w:color="auto" w:val="clear"/>
            <w:tcMar>
              <w:top w:type="dxa" w:w="90"/>
              <w:left w:type="dxa" w:w="120"/>
              <w:bottom w:type="dxa" w:w="90"/>
              <w:right w:type="dxa" w:w="120"/>
            </w:tcMar>
          </w:tcPr>
          <w:p>
            <w:r>
              <w:rPr>
                <w:rFonts w:ascii="Calibri" w:cs="Calibri" w:eastAsia="Calibri" w:hAnsi="Calibri"/>
                <w:b w:val="false"/>
                <w:bCs w:val="false"/>
                <w:i w:val="false"/>
                <w:iCs w:val="false"/>
                <w:color w:val="2E3B4B"/>
                <w:sz w:val="19"/>
                <w:szCs w:val="19"/>
              </w:rPr>
              <w:t xml:space="preserve">Works decontamination under direct supervision. Safe handling, instrument ID, defect reporting, real-time documentation.</w:t>
            </w:r>
          </w:p>
        </w:tc>
      </w:tr>
      <w:tr>
        <w:tc>
          <w:tcPr>
            <w:tcW w:type="dxa" w:w="1500"/>
            <w:shd w:fill="E8B400" w:color="auto"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YELLOW</w:t>
            </w:r>
          </w:p>
        </w:tc>
        <w:tc>
          <w:tcPr>
            <w:tcW w:type="dxa" w:w="2600"/>
            <w:shd w:fill="F4F6F9" w:color="auto" w:val="clear"/>
            <w:tcMar>
              <w:top w:type="dxa" w:w="90"/>
              <w:left w:type="dxa" w:w="120"/>
              <w:bottom w:type="dxa" w:w="90"/>
              <w:right w:type="dxa" w:w="120"/>
            </w:tcMar>
          </w:tcPr>
          <w:p>
            <w:r>
              <w:rPr>
                <w:rFonts w:ascii="Calibri" w:cs="Calibri" w:eastAsia="Calibri" w:hAnsi="Calibri"/>
                <w:b/>
                <w:bCs/>
                <w:i w:val="false"/>
                <w:iCs w:val="false"/>
                <w:color w:val="0E1726"/>
                <w:sz w:val="19"/>
                <w:szCs w:val="19"/>
              </w:rPr>
              <w:t xml:space="preserve">Single-zone mastery</w:t>
            </w:r>
          </w:p>
        </w:tc>
        <w:tc>
          <w:tcPr>
            <w:tcW w:type="dxa" w:w="5740"/>
            <w:shd w:fill="FFFFFF" w:color="auto" w:val="clear"/>
            <w:tcMar>
              <w:top w:type="dxa" w:w="90"/>
              <w:left w:type="dxa" w:w="120"/>
              <w:bottom w:type="dxa" w:w="90"/>
              <w:right w:type="dxa" w:w="120"/>
            </w:tcMar>
          </w:tcPr>
          <w:p>
            <w:r>
              <w:rPr>
                <w:rFonts w:ascii="Calibri" w:cs="Calibri" w:eastAsia="Calibri" w:hAnsi="Calibri"/>
                <w:b w:val="false"/>
                <w:bCs w:val="false"/>
                <w:i w:val="false"/>
                <w:iCs w:val="false"/>
                <w:color w:val="2E3B4B"/>
                <w:sz w:val="19"/>
                <w:szCs w:val="19"/>
              </w:rPr>
              <w:t xml:space="preserve">Independently runs one full workflow zone end to end, with stop-work authority inside it.</w:t>
            </w:r>
          </w:p>
        </w:tc>
      </w:tr>
      <w:tr>
        <w:tc>
          <w:tcPr>
            <w:tcW w:type="dxa" w:w="1500"/>
            <w:shd w:fill="2C8A4A" w:color="auto"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GREEN</w:t>
            </w:r>
          </w:p>
        </w:tc>
        <w:tc>
          <w:tcPr>
            <w:tcW w:type="dxa" w:w="2600"/>
            <w:shd w:fill="F4F6F9" w:color="auto" w:val="clear"/>
            <w:tcMar>
              <w:top w:type="dxa" w:w="90"/>
              <w:left w:type="dxa" w:w="120"/>
              <w:bottom w:type="dxa" w:w="90"/>
              <w:right w:type="dxa" w:w="120"/>
            </w:tcMar>
          </w:tcPr>
          <w:p>
            <w:r>
              <w:rPr>
                <w:rFonts w:ascii="Calibri" w:cs="Calibri" w:eastAsia="Calibri" w:hAnsi="Calibri"/>
                <w:b/>
                <w:bCs/>
                <w:i w:val="false"/>
                <w:iCs w:val="false"/>
                <w:color w:val="0E1726"/>
                <w:sz w:val="19"/>
                <w:szCs w:val="19"/>
              </w:rPr>
              <w:t xml:space="preserve">Multi-area proficiency</w:t>
            </w:r>
          </w:p>
        </w:tc>
        <w:tc>
          <w:tcPr>
            <w:tcW w:type="dxa" w:w="5740"/>
            <w:shd w:fill="FFFFFF" w:color="auto" w:val="clear"/>
            <w:tcMar>
              <w:top w:type="dxa" w:w="90"/>
              <w:left w:type="dxa" w:w="120"/>
              <w:bottom w:type="dxa" w:w="90"/>
              <w:right w:type="dxa" w:w="120"/>
            </w:tcMar>
          </w:tcPr>
          <w:p>
            <w:r>
              <w:rPr>
                <w:rFonts w:ascii="Calibri" w:cs="Calibri" w:eastAsia="Calibri" w:hAnsi="Calibri"/>
                <w:b w:val="false"/>
                <w:bCs w:val="false"/>
                <w:i w:val="false"/>
                <w:iCs w:val="false"/>
                <w:color w:val="2E3B4B"/>
                <w:sz w:val="19"/>
                <w:szCs w:val="19"/>
              </w:rPr>
              <w:t xml:space="preserve">Works any zone plus sterile storage. Complex specialty builds and real-time coaching of lower belts.</w:t>
            </w:r>
          </w:p>
        </w:tc>
      </w:tr>
      <w:tr>
        <w:tc>
          <w:tcPr>
            <w:tcW w:type="dxa" w:w="1500"/>
            <w:shd w:fill="1E5FA8" w:color="auto"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BLUE</w:t>
            </w:r>
          </w:p>
        </w:tc>
        <w:tc>
          <w:tcPr>
            <w:tcW w:type="dxa" w:w="2600"/>
            <w:shd w:fill="F4F6F9" w:color="auto" w:val="clear"/>
            <w:tcMar>
              <w:top w:type="dxa" w:w="90"/>
              <w:left w:type="dxa" w:w="120"/>
              <w:bottom w:type="dxa" w:w="90"/>
              <w:right w:type="dxa" w:w="120"/>
            </w:tcMar>
          </w:tcPr>
          <w:p>
            <w:r>
              <w:rPr>
                <w:rFonts w:ascii="Calibri" w:cs="Calibri" w:eastAsia="Calibri" w:hAnsi="Calibri"/>
                <w:b/>
                <w:bCs/>
                <w:i w:val="false"/>
                <w:iCs w:val="false"/>
                <w:color w:val="0E1726"/>
                <w:sz w:val="19"/>
                <w:szCs w:val="19"/>
              </w:rPr>
              <w:t xml:space="preserve">Leadership entry</w:t>
            </w:r>
          </w:p>
        </w:tc>
        <w:tc>
          <w:tcPr>
            <w:tcW w:type="dxa" w:w="5740"/>
            <w:shd w:fill="FFFFFF" w:color="auto" w:val="clear"/>
            <w:tcMar>
              <w:top w:type="dxa" w:w="90"/>
              <w:left w:type="dxa" w:w="120"/>
              <w:bottom w:type="dxa" w:w="90"/>
              <w:right w:type="dxa" w:w="120"/>
            </w:tcMar>
          </w:tcPr>
          <w:p>
            <w:r>
              <w:rPr>
                <w:rFonts w:ascii="Calibri" w:cs="Calibri" w:eastAsia="Calibri" w:hAnsi="Calibri"/>
                <w:b w:val="false"/>
                <w:bCs w:val="false"/>
                <w:i w:val="false"/>
                <w:iCs w:val="false"/>
                <w:color w:val="2E3B4B"/>
                <w:sz w:val="19"/>
                <w:szCs w:val="19"/>
              </w:rPr>
              <w:t xml:space="preserve">Runs the floor under Lead Tech oversight. IUSS gatekeeping, implant verification, OR de-escalation.</w:t>
            </w:r>
          </w:p>
        </w:tc>
      </w:tr>
      <w:tr>
        <w:tc>
          <w:tcPr>
            <w:tcW w:type="dxa" w:w="1500"/>
            <w:shd w:fill="6B4226" w:color="auto"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BROWN</w:t>
            </w:r>
          </w:p>
        </w:tc>
        <w:tc>
          <w:tcPr>
            <w:tcW w:type="dxa" w:w="2600"/>
            <w:shd w:fill="F4F6F9" w:color="auto" w:val="clear"/>
            <w:tcMar>
              <w:top w:type="dxa" w:w="90"/>
              <w:left w:type="dxa" w:w="120"/>
              <w:bottom w:type="dxa" w:w="90"/>
              <w:right w:type="dxa" w:w="120"/>
            </w:tcMar>
          </w:tcPr>
          <w:p>
            <w:r>
              <w:rPr>
                <w:rFonts w:ascii="Calibri" w:cs="Calibri" w:eastAsia="Calibri" w:hAnsi="Calibri"/>
                <w:b/>
                <w:bCs/>
                <w:i w:val="false"/>
                <w:iCs w:val="false"/>
                <w:color w:val="0E1726"/>
                <w:sz w:val="19"/>
                <w:szCs w:val="19"/>
              </w:rPr>
              <w:t xml:space="preserve">Operational engineering</w:t>
            </w:r>
          </w:p>
        </w:tc>
        <w:tc>
          <w:tcPr>
            <w:tcW w:type="dxa" w:w="5740"/>
            <w:shd w:fill="FFFFFF" w:color="auto" w:val="clear"/>
            <w:tcMar>
              <w:top w:type="dxa" w:w="90"/>
              <w:left w:type="dxa" w:w="120"/>
              <w:bottom w:type="dxa" w:w="90"/>
              <w:right w:type="dxa" w:w="120"/>
            </w:tcMar>
          </w:tcPr>
          <w:p>
            <w:r>
              <w:rPr>
                <w:rFonts w:ascii="Calibri" w:cs="Calibri" w:eastAsia="Calibri" w:hAnsi="Calibri"/>
                <w:b w:val="false"/>
                <w:bCs w:val="false"/>
                <w:i w:val="false"/>
                <w:iCs w:val="false"/>
                <w:color w:val="2E3B4B"/>
                <w:sz w:val="19"/>
                <w:szCs w:val="19"/>
              </w:rPr>
              <w:t xml:space="preserve">Root-cause and pattern analysis, load recall, contamination response, executive escalation.</w:t>
            </w:r>
          </w:p>
        </w:tc>
      </w:tr>
      <w:tr>
        <w:tc>
          <w:tcPr>
            <w:tcW w:type="dxa" w:w="1500"/>
            <w:shd w:fill="23272E" w:color="auto"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BLACK</w:t>
            </w:r>
          </w:p>
        </w:tc>
        <w:tc>
          <w:tcPr>
            <w:tcW w:type="dxa" w:w="2600"/>
            <w:shd w:fill="F4F6F9" w:color="auto" w:val="clear"/>
            <w:tcMar>
              <w:top w:type="dxa" w:w="90"/>
              <w:left w:type="dxa" w:w="120"/>
              <w:bottom w:type="dxa" w:w="90"/>
              <w:right w:type="dxa" w:w="120"/>
            </w:tcMar>
          </w:tcPr>
          <w:p>
            <w:r>
              <w:rPr>
                <w:rFonts w:ascii="Calibri" w:cs="Calibri" w:eastAsia="Calibri" w:hAnsi="Calibri"/>
                <w:b/>
                <w:bCs/>
                <w:i w:val="false"/>
                <w:iCs w:val="false"/>
                <w:color w:val="0E1726"/>
                <w:sz w:val="19"/>
                <w:szCs w:val="19"/>
              </w:rPr>
              <w:t xml:space="preserve">Full mastery</w:t>
            </w:r>
          </w:p>
        </w:tc>
        <w:tc>
          <w:tcPr>
            <w:tcW w:type="dxa" w:w="5740"/>
            <w:shd w:fill="FFFFFF" w:color="auto" w:val="clear"/>
            <w:tcMar>
              <w:top w:type="dxa" w:w="90"/>
              <w:left w:type="dxa" w:w="120"/>
              <w:bottom w:type="dxa" w:w="90"/>
              <w:right w:type="dxa" w:w="120"/>
            </w:tcMar>
          </w:tcPr>
          <w:p>
            <w:r>
              <w:rPr>
                <w:rFonts w:ascii="Calibri" w:cs="Calibri" w:eastAsia="Calibri" w:hAnsi="Calibri"/>
                <w:b w:val="false"/>
                <w:bCs w:val="false"/>
                <w:i w:val="false"/>
                <w:iCs w:val="false"/>
                <w:color w:val="2E3B4B"/>
                <w:sz w:val="19"/>
                <w:szCs w:val="19"/>
              </w:rPr>
              <w:t xml:space="preserve">Owns the system. Teaches every level, audits all shifts, sole certification authority for lead-side scripts.</w:t>
            </w:r>
          </w:p>
        </w:tc>
      </w:tr>
    </w:tbl>
    <w:p>
      <w:pPr>
        <w:spacing w:after="150" w:before="0" w:line="292"/>
      </w:pPr>
      <w:r>
        <w:rPr>
          <w:rFonts w:ascii="Calibri" w:cs="Calibri" w:eastAsia="Calibri" w:hAnsi="Calibri"/>
          <w:b w:val="false"/>
          <w:bCs w:val="false"/>
          <w:i w:val="false"/>
          <w:iCs w:val="false"/>
          <w:color w:val="2E3B4B"/>
          <w:sz w:val="22"/>
          <w:szCs w:val="22"/>
        </w:rPr>
        <w:t xml:space="preserve">Now notice the story the table tells. White works under direct supervision. By Yellow, the operator owns one zone alone. By Green, they move anywhere and start coaching others. Blue steps into leadership. Brown engineers problems out of the department. Black owns and teaches the whole system. The belts are not just harder tests; they are a career, and you are the guide for it.</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one thing that never bends.</w:t>
            </w:r>
          </w:p>
          <w:p>
            <w:pPr>
              <w:spacing w:after="100" w:before="0" w:line="284"/>
            </w:pPr>
            <w:r>
              <w:rPr>
                <w:rFonts w:ascii="Calibri" w:cs="Calibri" w:eastAsia="Calibri" w:hAnsi="Calibri"/>
                <w:b w:val="false"/>
                <w:bCs w:val="false"/>
                <w:i w:val="false"/>
                <w:iCs w:val="false"/>
                <w:color w:val="2E3B4B"/>
                <w:sz w:val="22"/>
                <w:szCs w:val="22"/>
              </w:rPr>
              <w:t xml:space="preserve">Each belt means the same thing in every department, at every facility, for every operator. That is the entire point. When you are tempted to “adjust” what a belt requires to fit a situation, remember: the moment the standard bends, you have reintroduced the inconsistency SBD exists to remove. The path to the belt flexes. The belt itself does not.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Without looking back, name all six belts in order, and give one phrase for what each is verified to do. Then answer: at which belt does an operator first work fully independently, and at which do they first coach others?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5</w:t>
      </w:r>
    </w:p>
    <w:p>
      <w:pPr>
        <w:pStyle w:val="Heading1"/>
        <w:spacing w:after="150" w:before="360"/>
      </w:pPr>
      <w:r>
        <w:rPr>
          <w:rFonts w:ascii="Georgia" w:cs="Georgia" w:eastAsia="Georgia" w:hAnsi="Georgia"/>
          <w:b/>
          <w:bCs/>
          <w:i w:val="false"/>
          <w:iCs w:val="false"/>
          <w:color w:val="1E2761"/>
          <w:sz w:val="34"/>
          <w:szCs w:val="34"/>
        </w:rPr>
        <w:t xml:space="preserve">Placement and the Operator Identity Profile</w:t>
      </w:r>
    </w:p>
    <w:p>
      <w:pPr>
        <w:spacing w:after="170" w:before="0" w:line="300"/>
      </w:pPr>
      <w:r>
        <w:rPr>
          <w:rFonts w:ascii="Georgia" w:cs="Georgia" w:eastAsia="Georgia" w:hAnsi="Georgia"/>
          <w:b w:val="false"/>
          <w:bCs w:val="false"/>
          <w:i/>
          <w:iCs/>
          <w:color w:val="1E2761"/>
          <w:sz w:val="23"/>
          <w:szCs w:val="23"/>
        </w:rPr>
        <w:t xml:space="preserve">Nothing downstream makes sense until you understand where a learner starts and how they are wired. Placement answers both.</w:t>
      </w:r>
    </w:p>
    <w:p>
      <w:pPr>
        <w:pStyle w:val="Heading2"/>
        <w:spacing w:after="110" w:before="320"/>
      </w:pPr>
      <w:r>
        <w:rPr>
          <w:rFonts w:ascii="Calibri" w:cs="Calibri" w:eastAsia="Calibri" w:hAnsi="Calibri"/>
          <w:b/>
          <w:bCs/>
          <w:i w:val="false"/>
          <w:iCs w:val="false"/>
          <w:color w:val="0E1726"/>
          <w:sz w:val="27"/>
          <w:szCs w:val="27"/>
        </w:rPr>
        <w:t xml:space="preserve">What placement does</w:t>
      </w:r>
    </w:p>
    <w:p>
      <w:pPr>
        <w:spacing w:after="150" w:before="0" w:line="292"/>
      </w:pPr>
      <w:r>
        <w:rPr>
          <w:rFonts w:ascii="Calibri" w:cs="Calibri" w:eastAsia="Calibri" w:hAnsi="Calibri"/>
          <w:b w:val="false"/>
          <w:bCs w:val="false"/>
          <w:i w:val="false"/>
          <w:iCs w:val="false"/>
          <w:color w:val="2E3B4B"/>
          <w:sz w:val="22"/>
          <w:szCs w:val="22"/>
        </w:rPr>
        <w:t xml:space="preserve">Before a learner touches a module, they are placed. The placement assessment establishes the belt their real, current competency supports, not the belt their years or their certificate would predict. You saw in the pilot data that experience and credentials routinely overpredict competency; placement is what replaces the guess with a measurement.</w:t>
      </w:r>
    </w:p>
    <w:p>
      <w:pPr>
        <w:spacing w:after="150" w:before="0" w:line="292"/>
      </w:pPr>
      <w:r>
        <w:rPr>
          <w:rFonts w:ascii="Calibri" w:cs="Calibri" w:eastAsia="Calibri" w:hAnsi="Calibri"/>
          <w:b w:val="false"/>
          <w:bCs w:val="false"/>
          <w:i w:val="false"/>
          <w:iCs w:val="false"/>
          <w:color w:val="2E3B4B"/>
          <w:sz w:val="22"/>
          <w:szCs w:val="22"/>
        </w:rPr>
        <w:t xml:space="preserve">Placement gives you three things: a starting belt, a list of the learner's weakest domains, and their Operator Identity Profile. You use all three, but the profile is the one facilitators most often overlook, so we will spend time on it.</w:t>
      </w:r>
    </w:p>
    <w:p>
      <w:pPr>
        <w:pStyle w:val="Heading2"/>
        <w:spacing w:after="110" w:before="320"/>
      </w:pPr>
      <w:r>
        <w:rPr>
          <w:rFonts w:ascii="Calibri" w:cs="Calibri" w:eastAsia="Calibri" w:hAnsi="Calibri"/>
          <w:b/>
          <w:bCs/>
          <w:i w:val="false"/>
          <w:iCs w:val="false"/>
          <w:color w:val="0E1726"/>
          <w:sz w:val="27"/>
          <w:szCs w:val="27"/>
        </w:rPr>
        <w:t xml:space="preserve">Delivering the result with care</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Placement is a starting point, not a verdict.</w:t>
            </w:r>
          </w:p>
          <w:p>
            <w:pPr>
              <w:spacing w:after="100" w:before="0" w:line="284"/>
            </w:pPr>
            <w:r>
              <w:rPr>
                <w:rFonts w:ascii="Calibri" w:cs="Calibri" w:eastAsia="Calibri" w:hAnsi="Calibri"/>
                <w:b w:val="false"/>
                <w:bCs w:val="false"/>
                <w:i w:val="false"/>
                <w:iCs w:val="false"/>
                <w:color w:val="2E3B4B"/>
                <w:sz w:val="22"/>
                <w:szCs w:val="22"/>
              </w:rPr>
              <w:t xml:space="preserve">A twenty-year veteran may place at White. If you deliver that as a judgment, you lose them. If you deliver it as a starting line, “this is where we begin, and here is the fastest path up,” you keep them. How you hand over the placement result matters as much as the result itself. Never let a learner hear their placement as “you are not good enough.”</w:t>
            </w:r>
          </w:p>
        </w:tc>
      </w:tr>
    </w:tbl>
    <w:p>
      <w:pPr>
        <w:pStyle w:val="Heading2"/>
        <w:spacing w:after="110" w:before="320"/>
      </w:pPr>
      <w:r>
        <w:rPr>
          <w:rFonts w:ascii="Calibri" w:cs="Calibri" w:eastAsia="Calibri" w:hAnsi="Calibri"/>
          <w:b/>
          <w:bCs/>
          <w:i w:val="false"/>
          <w:iCs w:val="false"/>
          <w:color w:val="0E1726"/>
          <w:sz w:val="27"/>
          <w:szCs w:val="27"/>
        </w:rPr>
        <w:t xml:space="preserve">The Operator Identity Profile</w:t>
      </w:r>
    </w:p>
    <w:p>
      <w:pPr>
        <w:spacing w:after="150" w:before="0" w:line="292"/>
      </w:pPr>
      <w:r>
        <w:rPr>
          <w:rFonts w:ascii="Calibri" w:cs="Calibri" w:eastAsia="Calibri" w:hAnsi="Calibri"/>
          <w:b w:val="false"/>
          <w:bCs w:val="false"/>
          <w:i w:val="false"/>
          <w:iCs w:val="false"/>
          <w:color w:val="2E3B4B"/>
          <w:sz w:val="22"/>
          <w:szCs w:val="22"/>
        </w:rPr>
        <w:t xml:space="preserve">The Operator Identity Profile, the OIP, is the part of placement that tells you how a person tends to operate. It is a coaching aid, not a clinical instrument and not a label to box someone in. It sorts operators into four types, and knowing a learner's type tells you how to approach them. You will use this constantly in Module 4; here you learn what the four types are.</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1600"/>
        <w:gridCol w:w="4300"/>
        <w:gridCol w:w="3940"/>
      </w:tblGrid>
      <w:tr>
        <w:trPr>
          <w:tblHeader/>
        </w:trPr>
        <w:tc>
          <w:tcPr>
            <w:tcW w:type="dxa" w:w="16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OIP type</w:t>
            </w:r>
          </w:p>
        </w:tc>
        <w:tc>
          <w:tcPr>
            <w:tcW w:type="dxa" w:w="43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How they operate</w:t>
            </w:r>
          </w:p>
        </w:tc>
        <w:tc>
          <w:tcPr>
            <w:tcW w:type="dxa" w:w="39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How you approach them</w:t>
            </w:r>
          </w:p>
        </w:tc>
      </w:tr>
      <w:tr>
        <w:tc>
          <w:tcPr>
            <w:tcW w:type="dxa" w:w="16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Sentinel</w:t>
            </w:r>
          </w:p>
        </w:tc>
        <w:tc>
          <w:tcPr>
            <w:tcW w:type="dxa" w:w="43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Precision operator. Follows the standard, catches the errors others miss.</w:t>
            </w:r>
          </w:p>
        </w:tc>
        <w:tc>
          <w:tcPr>
            <w:tcW w:type="dxa" w:w="3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Give clear steps and cite the standard. Help them with ambiguity and change.</w:t>
            </w:r>
          </w:p>
        </w:tc>
      </w:tr>
      <w:tr>
        <w:tc>
          <w:tcPr>
            <w:tcW w:type="dxa" w:w="16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Steward</w:t>
            </w:r>
          </w:p>
        </w:tc>
        <w:tc>
          <w:tcPr>
            <w:tcW w:type="dxa" w:w="43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Culture builder. Leads through relationships, holds the team together.</w:t>
            </w:r>
          </w:p>
        </w:tc>
        <w:tc>
          <w:tcPr>
            <w:tcW w:type="dxa" w:w="3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Encourage, build the relationship, celebrate small wins, break goals into steps.</w:t>
            </w:r>
          </w:p>
        </w:tc>
      </w:tr>
      <w:tr>
        <w:tc>
          <w:tcPr>
            <w:tcW w:type="dxa" w:w="16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Surgeon</w:t>
            </w:r>
          </w:p>
        </w:tc>
        <w:tc>
          <w:tcPr>
            <w:tcW w:type="dxa" w:w="43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High-output performer. Fast, decisive, thrives under pressure.</w:t>
            </w:r>
          </w:p>
        </w:tc>
        <w:tc>
          <w:tcPr>
            <w:tcW w:type="dxa" w:w="3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Be direct, set firm deadlines, and require proof of mastery so speed never skips a step.</w:t>
            </w:r>
          </w:p>
        </w:tc>
      </w:tr>
      <w:tr>
        <w:tc>
          <w:tcPr>
            <w:tcW w:type="dxa" w:w="16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Architect</w:t>
            </w:r>
          </w:p>
        </w:tc>
        <w:tc>
          <w:tcPr>
            <w:tcW w:type="dxa" w:w="43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Systems thinker. Sees the structure, designs the fix.</w:t>
            </w:r>
          </w:p>
        </w:tc>
        <w:tc>
          <w:tcPr>
            <w:tcW w:type="dxa" w:w="3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Give data and the rationale. Explain the why, and guard against over-analysis.</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Why the profile changes your whole approach</w:t>
            </w:r>
          </w:p>
          <w:p>
            <w:pPr>
              <w:spacing w:after="100" w:before="0" w:line="284"/>
            </w:pPr>
            <w:r>
              <w:rPr>
                <w:rFonts w:ascii="Calibri" w:cs="Calibri" w:eastAsia="Calibri" w:hAnsi="Calibri"/>
                <w:b w:val="false"/>
                <w:bCs w:val="false"/>
                <w:i w:val="false"/>
                <w:iCs w:val="false"/>
                <w:color w:val="2E3B4B"/>
                <w:sz w:val="22"/>
                <w:szCs w:val="22"/>
              </w:rPr>
              <w:t xml:space="preserve">Two learners both place at White with the same weak domain. One is a Steward, one is a Surgeon. If you coach them the same way, you will succeed with one and lose the other. The Steward needs you to open warm, acknowledge the effort, and build confidence in small steps. The Surgeon needs you to be direct, name the gap, set a hard deadline, and get out of the way. Same placement, same gap, opposite approach, and the profile is what tells you which is which.</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the four OIP types and one word for how each operates. Then pick the type you think you are, and write one sentence on how you would want to be coached. Noticing your own type will make you a better coach of the others.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5</w:t>
      </w:r>
    </w:p>
    <w:p>
      <w:pPr>
        <w:pStyle w:val="Heading1"/>
        <w:spacing w:after="150" w:before="360"/>
      </w:pPr>
      <w:r>
        <w:rPr>
          <w:rFonts w:ascii="Georgia" w:cs="Georgia" w:eastAsia="Georgia" w:hAnsi="Georgia"/>
          <w:b/>
          <w:bCs/>
          <w:i w:val="false"/>
          <w:iCs w:val="false"/>
          <w:color w:val="1E2761"/>
          <w:sz w:val="34"/>
          <w:szCs w:val="34"/>
        </w:rPr>
        <w:t xml:space="preserve">The practice-exam system</w:t>
      </w:r>
    </w:p>
    <w:p>
      <w:pPr>
        <w:spacing w:after="170" w:before="0" w:line="300"/>
      </w:pPr>
      <w:r>
        <w:rPr>
          <w:rFonts w:ascii="Georgia" w:cs="Georgia" w:eastAsia="Georgia" w:hAnsi="Georgia"/>
          <w:b w:val="false"/>
          <w:bCs w:val="false"/>
          <w:i/>
          <w:iCs/>
          <w:color w:val="1E2761"/>
          <w:sz w:val="23"/>
          <w:szCs w:val="23"/>
        </w:rPr>
        <w:t xml:space="preserve">Practice exams are the single most useful signal you have for readiness. Learn to read them and you will almost never send someone into a gate before they are ready, or hold a ready person back.</w:t>
      </w:r>
    </w:p>
    <w:p>
      <w:pPr>
        <w:pStyle w:val="Heading2"/>
        <w:spacing w:after="110" w:before="320"/>
      </w:pPr>
      <w:r>
        <w:rPr>
          <w:rFonts w:ascii="Calibri" w:cs="Calibri" w:eastAsia="Calibri" w:hAnsi="Calibri"/>
          <w:b/>
          <w:bCs/>
          <w:i w:val="false"/>
          <w:iCs w:val="false"/>
          <w:color w:val="0E1726"/>
          <w:sz w:val="27"/>
          <w:szCs w:val="27"/>
        </w:rPr>
        <w:t xml:space="preserve">What practice exams are</w:t>
      </w:r>
    </w:p>
    <w:p>
      <w:pPr>
        <w:spacing w:after="150" w:before="0" w:line="292"/>
      </w:pPr>
      <w:r>
        <w:rPr>
          <w:rFonts w:ascii="Calibri" w:cs="Calibri" w:eastAsia="Calibri" w:hAnsi="Calibri"/>
          <w:b w:val="false"/>
          <w:bCs w:val="false"/>
          <w:i w:val="false"/>
          <w:iCs w:val="false"/>
          <w:color w:val="2E3B4B"/>
          <w:sz w:val="22"/>
          <w:szCs w:val="22"/>
        </w:rPr>
        <w:t xml:space="preserve">For every belt, there are two banks of practice exams: knowledge (can they recognize the right answer) and simulation (can they produce the right action). Learners take them as many times as they want, at their own pace, and each attempt returns a score broken down by domain.</w:t>
      </w:r>
    </w:p>
    <w:p>
      <w:pPr>
        <w:pStyle w:val="Heading2"/>
        <w:spacing w:after="110" w:before="320"/>
      </w:pPr>
      <w:r>
        <w:rPr>
          <w:rFonts w:ascii="Calibri" w:cs="Calibri" w:eastAsia="Calibri" w:hAnsi="Calibri"/>
          <w:b/>
          <w:bCs/>
          <w:i w:val="false"/>
          <w:iCs w:val="false"/>
          <w:color w:val="0E1726"/>
          <w:sz w:val="27"/>
          <w:szCs w:val="27"/>
        </w:rPr>
        <w:t xml:space="preserve">The 90% threshold</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90% in practice is the readiness signal.</w:t>
            </w:r>
          </w:p>
          <w:p>
            <w:pPr>
              <w:spacing w:after="100" w:before="0" w:line="284"/>
            </w:pPr>
            <w:r>
              <w:rPr>
                <w:rFonts w:ascii="Calibri" w:cs="Calibri" w:eastAsia="Calibri" w:hAnsi="Calibri"/>
                <w:b w:val="false"/>
                <w:bCs w:val="false"/>
                <w:i w:val="false"/>
                <w:iCs w:val="false"/>
                <w:color w:val="2E3B4B"/>
                <w:sz w:val="22"/>
                <w:szCs w:val="22"/>
              </w:rPr>
              <w:t xml:space="preserve">A learner who is consistently scoring at or above 90% in practice, on both knowledge and simulation, is genuinely ready to request a real assessment. A learner who is not is telling you, and David OG, exactly where they still need work. The threshold is deliberately higher than the 80% gate pass, because practice should be harder than game day. If they can clear 90% in practice, the 80% gate is well within reach.</w:t>
            </w:r>
          </w:p>
        </w:tc>
      </w:tr>
    </w:tbl>
    <w:p>
      <w:pPr>
        <w:spacing w:after="150" w:before="0" w:line="292"/>
      </w:pPr>
      <w:r>
        <w:rPr>
          <w:rFonts w:ascii="Calibri" w:cs="Calibri" w:eastAsia="Calibri" w:hAnsi="Calibri"/>
          <w:b w:val="false"/>
          <w:bCs w:val="false"/>
          <w:i w:val="false"/>
          <w:iCs w:val="false"/>
          <w:color w:val="2E3B4B"/>
          <w:sz w:val="22"/>
          <w:szCs w:val="22"/>
        </w:rPr>
        <w:t xml:space="preserve">This is why you never have to guess whether someone is ready. The practice pattern answers it. Your job is to teach learners to see practice the same way: not as a hurdle to clear once and forget, but as the tool that tells them, and you, when they are truly ready.</w:t>
      </w:r>
    </w:p>
    <w:p>
      <w:pPr>
        <w:pStyle w:val="Heading2"/>
        <w:spacing w:after="110" w:before="320"/>
      </w:pPr>
      <w:r>
        <w:rPr>
          <w:rFonts w:ascii="Calibri" w:cs="Calibri" w:eastAsia="Calibri" w:hAnsi="Calibri"/>
          <w:b/>
          <w:bCs/>
          <w:i w:val="false"/>
          <w:iCs w:val="false"/>
          <w:color w:val="0E1726"/>
          <w:sz w:val="27"/>
          <w:szCs w:val="27"/>
        </w:rPr>
        <w:t xml:space="preserve">Reading the domain breakdown</w:t>
      </w:r>
    </w:p>
    <w:p>
      <w:pPr>
        <w:spacing w:after="150" w:before="0" w:line="292"/>
      </w:pPr>
      <w:r>
        <w:rPr>
          <w:rFonts w:ascii="Calibri" w:cs="Calibri" w:eastAsia="Calibri" w:hAnsi="Calibri"/>
          <w:b w:val="false"/>
          <w:bCs w:val="false"/>
          <w:i w:val="false"/>
          <w:iCs w:val="false"/>
          <w:color w:val="2E3B4B"/>
          <w:sz w:val="22"/>
          <w:szCs w:val="22"/>
        </w:rPr>
        <w:t xml:space="preserve">The most valuable part of a practice result is not the overall score, it is the domain breakdown. A learner sitting at 84% overall might be at 95% in four domains and 60% in one. That one domain is the whole story, and it is exactly where you coach.</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The overall score hides the real work</w:t>
            </w:r>
          </w:p>
          <w:p>
            <w:pPr>
              <w:spacing w:after="100" w:before="0" w:line="284"/>
            </w:pPr>
            <w:r>
              <w:rPr>
                <w:rFonts w:ascii="Calibri" w:cs="Calibri" w:eastAsia="Calibri" w:hAnsi="Calibri"/>
                <w:b w:val="false"/>
                <w:bCs w:val="false"/>
                <w:i w:val="false"/>
                <w:iCs w:val="false"/>
                <w:color w:val="2E3B4B"/>
                <w:sz w:val="22"/>
                <w:szCs w:val="22"/>
              </w:rPr>
              <w:t xml:space="preserve">A learner reports “I keep getting 84%, I just can't get over the hump.” You look at the domain breakdown: everything is above 90% except inspection, which is at 61%. They do not have a broad problem; they have one specific gap dragging the average down. You assign the inspection module, they close that one gap, and the overall score jumps. Without the breakdown, you would have told them to “study more” and wasted their time on the four domains they had already mastered.</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A learner is stuck at 86% overall and frustrated. Before you coach them, what is the first thing you would look at, and why? Write it out.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5</w:t>
      </w:r>
    </w:p>
    <w:p>
      <w:pPr>
        <w:pStyle w:val="Heading1"/>
        <w:spacing w:after="150" w:before="360"/>
      </w:pPr>
      <w:r>
        <w:rPr>
          <w:rFonts w:ascii="Georgia" w:cs="Georgia" w:eastAsia="Georgia" w:hAnsi="Georgia"/>
          <w:b/>
          <w:bCs/>
          <w:i w:val="false"/>
          <w:iCs w:val="false"/>
          <w:color w:val="1E2761"/>
          <w:sz w:val="34"/>
          <w:szCs w:val="34"/>
        </w:rPr>
        <w:t xml:space="preserve">Foundation and Instrument modules</w:t>
      </w:r>
    </w:p>
    <w:p>
      <w:pPr>
        <w:spacing w:after="170" w:before="0" w:line="300"/>
      </w:pPr>
      <w:r>
        <w:rPr>
          <w:rFonts w:ascii="Georgia" w:cs="Georgia" w:eastAsia="Georgia" w:hAnsi="Georgia"/>
          <w:b w:val="false"/>
          <w:bCs w:val="false"/>
          <w:i/>
          <w:iCs/>
          <w:color w:val="1E2761"/>
          <w:sz w:val="23"/>
          <w:szCs w:val="23"/>
        </w:rPr>
        <w:t xml:space="preserve">The belt curriculum is fixed. Around it sit the modules you actually assign. This is the layer you work with most, so know exactly what it contains and how it is built.</w:t>
      </w:r>
    </w:p>
    <w:p>
      <w:pPr>
        <w:pStyle w:val="Heading2"/>
        <w:spacing w:after="110" w:before="320"/>
      </w:pPr>
      <w:r>
        <w:rPr>
          <w:rFonts w:ascii="Calibri" w:cs="Calibri" w:eastAsia="Calibri" w:hAnsi="Calibri"/>
          <w:b/>
          <w:bCs/>
          <w:i w:val="false"/>
          <w:iCs w:val="false"/>
          <w:color w:val="0E1726"/>
          <w:sz w:val="27"/>
          <w:szCs w:val="27"/>
        </w:rPr>
        <w:t xml:space="preserve">Two layers, one clear line</w:t>
      </w:r>
    </w:p>
    <w:p>
      <w:pPr>
        <w:spacing w:after="150" w:before="0" w:line="292"/>
      </w:pPr>
      <w:r>
        <w:rPr>
          <w:rFonts w:ascii="Calibri" w:cs="Calibri" w:eastAsia="Calibri" w:hAnsi="Calibri"/>
          <w:b w:val="false"/>
          <w:bCs w:val="false"/>
          <w:i w:val="false"/>
          <w:iCs w:val="false"/>
          <w:color w:val="2E3B4B"/>
          <w:sz w:val="22"/>
          <w:szCs w:val="22"/>
        </w:rPr>
        <w:t xml:space="preserve">Hold this distinction firmly, because you will explain it often. The belt curriculum and its gates are standardized, they do not change. The Foundation and Instrument modules are the customizable layer, the building blocks you assign to a specific learner to close a specific gap. Standardized bar, flexible path.</w:t>
      </w:r>
    </w:p>
    <w:p>
      <w:pPr>
        <w:pStyle w:val="Heading2"/>
        <w:spacing w:after="110" w:before="320"/>
      </w:pPr>
      <w:r>
        <w:rPr>
          <w:rFonts w:ascii="Calibri" w:cs="Calibri" w:eastAsia="Calibri" w:hAnsi="Calibri"/>
          <w:b/>
          <w:bCs/>
          <w:i w:val="false"/>
          <w:iCs w:val="false"/>
          <w:color w:val="0E1726"/>
          <w:sz w:val="27"/>
          <w:szCs w:val="27"/>
        </w:rPr>
        <w:t xml:space="preserve">The Foundation modules (fm-01 to fm-10)</w:t>
      </w:r>
    </w:p>
    <w:p>
      <w:pPr>
        <w:spacing w:after="150" w:before="0" w:line="292"/>
      </w:pPr>
      <w:r>
        <w:rPr>
          <w:rFonts w:ascii="Calibri" w:cs="Calibri" w:eastAsia="Calibri" w:hAnsi="Calibri"/>
          <w:b w:val="false"/>
          <w:bCs w:val="false"/>
          <w:i w:val="false"/>
          <w:iCs w:val="false"/>
          <w:color w:val="2E3B4B"/>
          <w:sz w:val="22"/>
          <w:szCs w:val="22"/>
        </w:rPr>
        <w:t xml:space="preserve">The Foundation modules cover the core sterile processing workflow, one competency area each. They run in a rough sequence but you assign them based on the learner's gaps, not a fixed calendar.</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2900"/>
        <w:gridCol w:w="6940"/>
      </w:tblGrid>
      <w:tr>
        <w:trPr>
          <w:tblHeader/>
        </w:trPr>
        <w:tc>
          <w:tcPr>
            <w:tcW w:type="dxa" w:w="29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Module</w:t>
            </w:r>
          </w:p>
        </w:tc>
        <w:tc>
          <w:tcPr>
            <w:tcW w:type="dxa" w:w="69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Covers</w:t>
            </w:r>
          </w:p>
        </w:tc>
      </w:tr>
      <w:tr>
        <w:tc>
          <w:tcPr>
            <w:tcW w:type="dxa" w:w="2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fm-01  Foundations</w:t>
            </w:r>
          </w:p>
        </w:tc>
        <w:tc>
          <w:tcPr>
            <w:tcW w:type="dxa" w:w="6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Orientation, vocabulary, infection-control basics, department conduct.</w:t>
            </w:r>
          </w:p>
        </w:tc>
      </w:tr>
      <w:tr>
        <w:tc>
          <w:tcPr>
            <w:tcW w:type="dxa" w:w="2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fm-02  Decontamination</w:t>
            </w:r>
          </w:p>
        </w:tc>
        <w:tc>
          <w:tcPr>
            <w:tcW w:type="dxa" w:w="6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PPE, sorting, manual cleaning, ultrasonic, washer-disinfector, one-way flow.</w:t>
            </w:r>
          </w:p>
        </w:tc>
      </w:tr>
      <w:tr>
        <w:tc>
          <w:tcPr>
            <w:tcW w:type="dxa" w:w="2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fm-03  Inspection &amp; Identification</w:t>
            </w:r>
          </w:p>
        </w:tc>
        <w:tc>
          <w:tcPr>
            <w:tcW w:type="dxa" w:w="6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Instrument ID, eight-criterion inspection, defect recognition.</w:t>
            </w:r>
          </w:p>
        </w:tc>
      </w:tr>
      <w:tr>
        <w:tc>
          <w:tcPr>
            <w:tcW w:type="dxa" w:w="2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fm-04  Assembly</w:t>
            </w:r>
          </w:p>
        </w:tc>
        <w:tc>
          <w:tcPr>
            <w:tcW w:type="dxa" w:w="6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Count verification, tray build, first-verifier sign-off.</w:t>
            </w:r>
          </w:p>
        </w:tc>
      </w:tr>
      <w:tr>
        <w:tc>
          <w:tcPr>
            <w:tcW w:type="dxa" w:w="2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fm-05  Packaging</w:t>
            </w:r>
          </w:p>
        </w:tc>
        <w:tc>
          <w:tcPr>
            <w:tcW w:type="dxa" w:w="6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Wrapping, containers, CI placement, seal integrity.</w:t>
            </w:r>
          </w:p>
        </w:tc>
      </w:tr>
      <w:tr>
        <w:tc>
          <w:tcPr>
            <w:tcW w:type="dxa" w:w="2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fm-06  Sterilization</w:t>
            </w:r>
          </w:p>
        </w:tc>
        <w:tc>
          <w:tcPr>
            <w:tcW w:type="dxa" w:w="6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Cycle selection, load documentation, BI and CI use, failure response.</w:t>
            </w:r>
          </w:p>
        </w:tc>
      </w:tr>
      <w:tr>
        <w:tc>
          <w:tcPr>
            <w:tcW w:type="dxa" w:w="2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fm-07  Storage</w:t>
            </w:r>
          </w:p>
        </w:tc>
        <w:tc>
          <w:tcPr>
            <w:tcW w:type="dxa" w:w="6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Sterile storage, event-related sterility, stock rotation.</w:t>
            </w:r>
          </w:p>
        </w:tc>
      </w:tr>
      <w:tr>
        <w:tc>
          <w:tcPr>
            <w:tcW w:type="dxa" w:w="2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fm-08  High-Level Disinfection</w:t>
            </w:r>
          </w:p>
        </w:tc>
        <w:tc>
          <w:tcPr>
            <w:tcW w:type="dxa" w:w="6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HLD process, scope handling, documentation.</w:t>
            </w:r>
          </w:p>
        </w:tc>
      </w:tr>
      <w:tr>
        <w:tc>
          <w:tcPr>
            <w:tcW w:type="dxa" w:w="2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fm-09  Quality Assurance</w:t>
            </w:r>
          </w:p>
        </w:tc>
        <w:tc>
          <w:tcPr>
            <w:tcW w:type="dxa" w:w="6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Verification, double-signature checks, quality monitoring.</w:t>
            </w:r>
          </w:p>
        </w:tc>
      </w:tr>
      <w:tr>
        <w:tc>
          <w:tcPr>
            <w:tcW w:type="dxa" w:w="2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fm-10  Professional Practice</w:t>
            </w:r>
          </w:p>
        </w:tc>
        <w:tc>
          <w:tcPr>
            <w:tcW w:type="dxa" w:w="6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Communication, scripts, escalation, professional conduct.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Every module runs its own three gates.</w:t>
            </w:r>
          </w:p>
          <w:p>
            <w:pPr>
              <w:spacing w:after="100" w:before="0" w:line="284"/>
            </w:pPr>
            <w:r>
              <w:rPr>
                <w:rFonts w:ascii="Calibri" w:cs="Calibri" w:eastAsia="Calibri" w:hAnsi="Calibri"/>
                <w:b w:val="false"/>
                <w:bCs w:val="false"/>
                <w:i w:val="false"/>
                <w:iCs w:val="false"/>
                <w:color w:val="2E3B4B"/>
                <w:sz w:val="22"/>
                <w:szCs w:val="22"/>
              </w:rPr>
              <w:t xml:space="preserve">A Foundation module is not “read and done.” Each one has its own knowledge gate, its own simulation, and its own facilitator observation, the same three-gate model, at the module level. When you assign fm-06, the learner will eventually stand in front of you for a live observation of sterilization technique. That observation is your job, and Module 5 develops it.</w:t>
            </w:r>
          </w:p>
        </w:tc>
      </w:tr>
    </w:tbl>
    <w:p>
      <w:pPr>
        <w:pStyle w:val="Heading2"/>
        <w:spacing w:after="110" w:before="320"/>
      </w:pPr>
      <w:r>
        <w:rPr>
          <w:rFonts w:ascii="Calibri" w:cs="Calibri" w:eastAsia="Calibri" w:hAnsi="Calibri"/>
          <w:b/>
          <w:bCs/>
          <w:i w:val="false"/>
          <w:iCs w:val="false"/>
          <w:color w:val="0E1726"/>
          <w:sz w:val="27"/>
          <w:szCs w:val="27"/>
        </w:rPr>
        <w:t xml:space="preserve">The Instrument modules (im-wb to im-bb)</w:t>
      </w:r>
    </w:p>
    <w:p>
      <w:pPr>
        <w:spacing w:after="150" w:before="0" w:line="292"/>
      </w:pPr>
      <w:r>
        <w:rPr>
          <w:rFonts w:ascii="Calibri" w:cs="Calibri" w:eastAsia="Calibri" w:hAnsi="Calibri"/>
          <w:b w:val="false"/>
          <w:bCs w:val="false"/>
          <w:i w:val="false"/>
          <w:iCs w:val="false"/>
          <w:color w:val="2E3B4B"/>
          <w:sz w:val="22"/>
          <w:szCs w:val="22"/>
        </w:rPr>
        <w:t xml:space="preserve">Running alongside the Foundation modules, the Instrument modules build progressive instrument mastery, from foundational recognition at White through complex specialty and lead-level sets at the higher belts. They climb with the belt: a White Belt masters a foundational instrument set; a Green Belt builds complex specialty trays; the top belts handle lead-level instrumentation.</w:t>
      </w:r>
    </w:p>
    <w:p>
      <w:pPr>
        <w:pStyle w:val="Heading2"/>
        <w:spacing w:after="110" w:before="320"/>
      </w:pPr>
      <w:r>
        <w:rPr>
          <w:rFonts w:ascii="Calibri" w:cs="Calibri" w:eastAsia="Calibri" w:hAnsi="Calibri"/>
          <w:b/>
          <w:bCs/>
          <w:i w:val="false"/>
          <w:iCs w:val="false"/>
          <w:color w:val="0E1726"/>
          <w:sz w:val="27"/>
          <w:szCs w:val="27"/>
        </w:rPr>
        <w:t xml:space="preserve">When to assign what</w:t>
      </w:r>
    </w:p>
    <w:p>
      <w:pPr>
        <w:spacing w:after="150" w:before="0" w:line="292"/>
      </w:pPr>
      <w:r>
        <w:rPr>
          <w:rFonts w:ascii="Calibri" w:cs="Calibri" w:eastAsia="Calibri" w:hAnsi="Calibri"/>
          <w:b w:val="false"/>
          <w:bCs w:val="false"/>
          <w:i w:val="false"/>
          <w:iCs w:val="false"/>
          <w:color w:val="2E3B4B"/>
          <w:sz w:val="22"/>
          <w:szCs w:val="22"/>
        </w:rPr>
        <w:t xml:space="preserve">You assign modules for four reasons. Learn these four triggers and you will always know why a module is going out, which makes you far more credible to the learner.</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Placement-driven. </w:t>
      </w:r>
      <w:r>
        <w:rPr>
          <w:rFonts w:ascii="Calibri" w:cs="Calibri" w:eastAsia="Calibri" w:hAnsi="Calibri"/>
          <w:b w:val="false"/>
          <w:bCs w:val="false"/>
          <w:i w:val="false"/>
          <w:iCs w:val="false"/>
          <w:color w:val="2E3B4B"/>
          <w:sz w:val="22"/>
          <w:szCs w:val="22"/>
        </w:rPr>
        <w:t xml:space="preserve">The learner's weak domains from placement point straight at the modules to start with.</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Failure-driven. </w:t>
      </w:r>
      <w:r>
        <w:rPr>
          <w:rFonts w:ascii="Calibri" w:cs="Calibri" w:eastAsia="Calibri" w:hAnsi="Calibri"/>
          <w:b w:val="false"/>
          <w:bCs w:val="false"/>
          <w:i w:val="false"/>
          <w:iCs w:val="false"/>
          <w:color w:val="2E3B4B"/>
          <w:sz w:val="22"/>
          <w:szCs w:val="22"/>
        </w:rPr>
        <w:t xml:space="preserve">A failed gate, read by domain, tells you exactly which module to assign for remediation.</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Proactive. </w:t>
      </w:r>
      <w:r>
        <w:rPr>
          <w:rFonts w:ascii="Calibri" w:cs="Calibri" w:eastAsia="Calibri" w:hAnsi="Calibri"/>
          <w:b w:val="false"/>
          <w:bCs w:val="false"/>
          <w:i w:val="false"/>
          <w:iCs w:val="false"/>
          <w:color w:val="2E3B4B"/>
          <w:sz w:val="22"/>
          <w:szCs w:val="22"/>
        </w:rPr>
        <w:t xml:space="preserve">Practice scores show a domain slipping before it becomes a failure; you assign ahead of the problem.</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Advancement-driven. </w:t>
      </w:r>
      <w:r>
        <w:rPr>
          <w:rFonts w:ascii="Calibri" w:cs="Calibri" w:eastAsia="Calibri" w:hAnsi="Calibri"/>
          <w:b w:val="false"/>
          <w:bCs w:val="false"/>
          <w:i w:val="false"/>
          <w:iCs w:val="false"/>
          <w:color w:val="2E3B4B"/>
          <w:sz w:val="22"/>
          <w:szCs w:val="22"/>
        </w:rPr>
        <w:t xml:space="preserve">The learner is ready to climb, and the next belt requires modules they have not yet done.</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State the line between the standardized layer and the customizable layer in one sentence. Then name the four reasons you would assign a module. If you can do both from memory, you understand the layer you will work in most.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5 OF 5</w:t>
      </w:r>
    </w:p>
    <w:p>
      <w:pPr>
        <w:pStyle w:val="Heading1"/>
        <w:spacing w:after="150" w:before="360"/>
      </w:pPr>
      <w:r>
        <w:rPr>
          <w:rFonts w:ascii="Georgia" w:cs="Georgia" w:eastAsia="Georgia" w:hAnsi="Georgia"/>
          <w:b/>
          <w:bCs/>
          <w:i w:val="false"/>
          <w:iCs w:val="false"/>
          <w:color w:val="1E2761"/>
          <w:sz w:val="34"/>
          <w:szCs w:val="34"/>
        </w:rPr>
        <w:t xml:space="preserve">Building a path for a real learner</w:t>
      </w:r>
    </w:p>
    <w:p>
      <w:pPr>
        <w:spacing w:after="170" w:before="0" w:line="300"/>
      </w:pPr>
      <w:r>
        <w:rPr>
          <w:rFonts w:ascii="Georgia" w:cs="Georgia" w:eastAsia="Georgia" w:hAnsi="Georgia"/>
          <w:b w:val="false"/>
          <w:bCs w:val="false"/>
          <w:i/>
          <w:iCs/>
          <w:color w:val="1E2761"/>
          <w:sz w:val="23"/>
          <w:szCs w:val="23"/>
        </w:rPr>
        <w:t xml:space="preserve">Now you connect all four pieces, belt, placement, practice, and modules, into the single skill this module is really about: building a learner's path.</w:t>
      </w:r>
    </w:p>
    <w:p>
      <w:pPr>
        <w:spacing w:after="150" w:before="0" w:line="292"/>
      </w:pPr>
      <w:r>
        <w:rPr>
          <w:rFonts w:ascii="Calibri" w:cs="Calibri" w:eastAsia="Calibri" w:hAnsi="Calibri"/>
          <w:b w:val="false"/>
          <w:bCs w:val="false"/>
          <w:i w:val="false"/>
          <w:iCs w:val="false"/>
          <w:color w:val="2E3B4B"/>
          <w:sz w:val="22"/>
          <w:szCs w:val="22"/>
        </w:rPr>
        <w:t xml:space="preserve">Everything so far was preparation for this. When a learner is placed, you take their starting belt, their weak domains, and their profile, and you build a path: which modules, in what order, aimed at which gate. Here is the reasoning done out loud, so you can copy the pattern.</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From placement to plan, step by step</w:t>
            </w:r>
          </w:p>
          <w:p>
            <w:pPr>
              <w:spacing w:after="100" w:before="0" w:line="284"/>
            </w:pPr>
            <w:r>
              <w:rPr>
                <w:rFonts w:ascii="Calibri" w:cs="Calibri" w:eastAsia="Calibri" w:hAnsi="Calibri"/>
                <w:b w:val="false"/>
                <w:bCs w:val="false"/>
                <w:i w:val="false"/>
                <w:iCs w:val="false"/>
                <w:color w:val="2E3B4B"/>
                <w:sz w:val="22"/>
                <w:szCs w:val="22"/>
              </w:rPr>
              <w:t xml:space="preserve">A learner places at White. Weak domains: packaging (34%) and sterilization (48%). Profile: Sentinel. Here is how you reason:</w:t>
            </w:r>
          </w:p>
          <w:p>
            <w:pPr>
              <w:spacing w:after="100" w:before="0" w:line="284"/>
            </w:pPr>
            <w:r>
              <w:rPr>
                <w:rFonts w:ascii="Calibri" w:cs="Calibri" w:eastAsia="Calibri" w:hAnsi="Calibri"/>
                <w:b w:val="false"/>
                <w:bCs w:val="false"/>
                <w:i w:val="false"/>
                <w:iCs w:val="false"/>
                <w:color w:val="2E3B4B"/>
                <w:sz w:val="22"/>
                <w:szCs w:val="22"/>
              </w:rPr>
              <w:t xml:space="preserve">Profile first: a Sentinel wants clear steps and the standard. Your coaching will be checklist-driven and precise, and you will cite requirements directly.</w:t>
            </w:r>
          </w:p>
          <w:p>
            <w:pPr>
              <w:spacing w:after="100" w:before="0" w:line="284"/>
            </w:pPr>
            <w:r>
              <w:rPr>
                <w:rFonts w:ascii="Calibri" w:cs="Calibri" w:eastAsia="Calibri" w:hAnsi="Calibri"/>
                <w:b w:val="false"/>
                <w:bCs w:val="false"/>
                <w:i w:val="false"/>
                <w:iCs w:val="false"/>
                <w:color w:val="2E3B4B"/>
                <w:sz w:val="22"/>
                <w:szCs w:val="22"/>
              </w:rPr>
              <w:t xml:space="preserve">Worst gap first: packaging at 34% is the deepest hole, so fm-05 leads. Sterilization at 48% is next, so fm-06 follows.</w:t>
            </w:r>
          </w:p>
          <w:p>
            <w:pPr>
              <w:spacing w:after="100" w:before="0" w:line="284"/>
            </w:pPr>
            <w:r>
              <w:rPr>
                <w:rFonts w:ascii="Calibri" w:cs="Calibri" w:eastAsia="Calibri" w:hAnsi="Calibri"/>
                <w:b w:val="false"/>
                <w:bCs w:val="false"/>
                <w:i w:val="false"/>
                <w:iCs w:val="false"/>
                <w:color w:val="2E3B4B"/>
                <w:sz w:val="22"/>
                <w:szCs w:val="22"/>
              </w:rPr>
              <w:t xml:space="preserve">Sequence to a gate: you are aiming them at the Yellow Belt assessment, so after fm-05 and fm-06 you add fm-09 Quality, which Yellow requires, then the Yellow instrument module.</w:t>
            </w:r>
          </w:p>
          <w:p>
            <w:pPr>
              <w:spacing w:after="100" w:before="0" w:line="284"/>
            </w:pPr>
            <w:r>
              <w:rPr>
                <w:rFonts w:ascii="Calibri" w:cs="Calibri" w:eastAsia="Calibri" w:hAnsi="Calibri"/>
                <w:b w:val="false"/>
                <w:bCs w:val="false"/>
                <w:i w:val="false"/>
                <w:iCs w:val="false"/>
                <w:color w:val="2E3B4B"/>
                <w:sz w:val="22"/>
                <w:szCs w:val="22"/>
              </w:rPr>
              <w:t xml:space="preserve">The plan: fm-05, then fm-06, then fm-09, then im for Yellow, with practice exams throughout and a Yellow assessment when practice consistently clears 90%. You built that from four pieces you now know.</w:t>
            </w:r>
          </w:p>
        </w:tc>
      </w:tr>
    </w:tbl>
    <w:p>
      <w:pPr>
        <w:pStyle w:val="Heading2"/>
        <w:spacing w:after="110" w:before="320"/>
      </w:pPr>
      <w:r>
        <w:rPr>
          <w:rFonts w:ascii="Calibri" w:cs="Calibri" w:eastAsia="Calibri" w:hAnsi="Calibri"/>
          <w:b/>
          <w:bCs/>
          <w:i w:val="false"/>
          <w:iCs w:val="false"/>
          <w:color w:val="0E1726"/>
          <w:sz w:val="27"/>
          <w:szCs w:val="27"/>
        </w:rPr>
        <w:t xml:space="preserve">Now you do it</w:t>
      </w:r>
    </w:p>
    <w:p>
      <w:pPr>
        <w:spacing w:after="150" w:before="0" w:line="292"/>
      </w:pPr>
      <w:r>
        <w:rPr>
          <w:rFonts w:ascii="Calibri" w:cs="Calibri" w:eastAsia="Calibri" w:hAnsi="Calibri"/>
          <w:b w:val="false"/>
          <w:bCs w:val="false"/>
          <w:i w:val="false"/>
          <w:iCs w:val="false"/>
          <w:color w:val="2E3B4B"/>
          <w:sz w:val="22"/>
          <w:szCs w:val="22"/>
        </w:rPr>
        <w:t xml:space="preserve">Below are three learners. For each, build a path: name the profile-appropriate approach, the order of modules, and the gate you are aiming at. Write real plans, these are exactly what the module assessment asks for, and exactly what you will do every week on the floor.</w:t>
      </w:r>
    </w:p>
    <w:p>
      <w:pPr>
        <w:spacing w:after="50" w:before="170"/>
      </w:pPr>
      <w:r>
        <w:rPr>
          <w:rFonts w:ascii="Calibri" w:cs="Calibri" w:eastAsia="Calibri" w:hAnsi="Calibri"/>
          <w:b/>
          <w:bCs/>
          <w:i w:val="false"/>
          <w:iCs w:val="false"/>
          <w:color w:val="8A5A2B"/>
          <w:sz w:val="22"/>
          <w:szCs w:val="22"/>
        </w:rPr>
        <w:t xml:space="preserve">Learner A  </w:t>
      </w:r>
      <w:r>
        <w:rPr>
          <w:rFonts w:ascii="Calibri" w:cs="Calibri" w:eastAsia="Calibri" w:hAnsi="Calibri"/>
          <w:b w:val="false"/>
          <w:bCs w:val="false"/>
          <w:i w:val="false"/>
          <w:iCs w:val="false"/>
          <w:color w:val="0E1726"/>
          <w:sz w:val="21"/>
          <w:szCs w:val="21"/>
        </w:rPr>
        <w:t xml:space="preserve">Places at White. Weak domains: inspection (40%), assembly (55%). Profile: Steward. Aiming at Yellow.</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70"/>
      </w:pPr>
      <w:r>
        <w:rPr>
          <w:rFonts w:ascii="Calibri" w:cs="Calibri" w:eastAsia="Calibri" w:hAnsi="Calibri"/>
          <w:b/>
          <w:bCs/>
          <w:i w:val="false"/>
          <w:iCs w:val="false"/>
          <w:color w:val="8A5A2B"/>
          <w:sz w:val="22"/>
          <w:szCs w:val="22"/>
        </w:rPr>
        <w:t xml:space="preserve">Learner B  </w:t>
      </w:r>
      <w:r>
        <w:rPr>
          <w:rFonts w:ascii="Calibri" w:cs="Calibri" w:eastAsia="Calibri" w:hAnsi="Calibri"/>
          <w:b w:val="false"/>
          <w:bCs w:val="false"/>
          <w:i w:val="false"/>
          <w:iCs w:val="false"/>
          <w:color w:val="0E1726"/>
          <w:sz w:val="21"/>
          <w:szCs w:val="21"/>
        </w:rPr>
        <w:t xml:space="preserve">Places at Yellow. Weak domain: sterilization (62%). Profile: Surgeon, fast but skips verification steps. Aiming at Green.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70"/>
      </w:pPr>
      <w:r>
        <w:rPr>
          <w:rFonts w:ascii="Calibri" w:cs="Calibri" w:eastAsia="Calibri" w:hAnsi="Calibri"/>
          <w:b/>
          <w:bCs/>
          <w:i w:val="false"/>
          <w:iCs w:val="false"/>
          <w:color w:val="8A5A2B"/>
          <w:sz w:val="22"/>
          <w:szCs w:val="22"/>
        </w:rPr>
        <w:t xml:space="preserve">Learner C  </w:t>
      </w:r>
      <w:r>
        <w:rPr>
          <w:rFonts w:ascii="Calibri" w:cs="Calibri" w:eastAsia="Calibri" w:hAnsi="Calibri"/>
          <w:b w:val="false"/>
          <w:bCs w:val="false"/>
          <w:i w:val="false"/>
          <w:iCs w:val="false"/>
          <w:color w:val="0E1726"/>
          <w:sz w:val="21"/>
          <w:szCs w:val="21"/>
        </w:rPr>
        <w:t xml:space="preserve">Twenty-year veteran, places at White and is visibly discouraged. Weak domains: packaging (45%), quality (50%). Profile: Architect. Aiming at Yellow.</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Knowledge check</w:t>
      </w:r>
    </w:p>
    <w:p>
      <w:pPr>
        <w:spacing w:after="150" w:before="0" w:line="292"/>
      </w:pPr>
      <w:r>
        <w:rPr>
          <w:rFonts w:ascii="Calibri" w:cs="Calibri" w:eastAsia="Calibri" w:hAnsi="Calibri"/>
          <w:b w:val="false"/>
          <w:bCs w:val="false"/>
          <w:i w:val="false"/>
          <w:iCs w:val="false"/>
          <w:color w:val="2E3B4B"/>
          <w:sz w:val="22"/>
          <w:szCs w:val="22"/>
        </w:rPr>
        <w:t xml:space="preserve">Fifteen questions here stand in for the full 50-question belt-and-curriculum exam you will take in the system; they cover the same ground. Answer without looking back. You need 85% to complete Module 3, that is 13 of 15. The answer key follows. Then complete the three learner plans in Section 5; all three must be sound to finish the module.</w:t>
      </w:r>
    </w:p>
    <w:p>
      <w:pPr>
        <w:spacing w:after="50" w:before="150"/>
      </w:pPr>
      <w:r>
        <w:rPr>
          <w:rFonts w:ascii="Calibri" w:cs="Calibri" w:eastAsia="Calibri" w:hAnsi="Calibri"/>
          <w:b/>
          <w:bCs/>
          <w:i w:val="false"/>
          <w:iCs w:val="false"/>
          <w:color w:val="8A5A2B"/>
          <w:sz w:val="22"/>
          <w:szCs w:val="22"/>
        </w:rPr>
        <w:t xml:space="preserve">1.  </w:t>
      </w:r>
      <w:r>
        <w:rPr>
          <w:rFonts w:ascii="Calibri" w:cs="Calibri" w:eastAsia="Calibri" w:hAnsi="Calibri"/>
          <w:b/>
          <w:bCs/>
          <w:i w:val="false"/>
          <w:iCs w:val="false"/>
          <w:color w:val="0E1726"/>
          <w:sz w:val="22"/>
          <w:szCs w:val="22"/>
        </w:rPr>
        <w:t xml:space="preserve">Put the belts in the correct order from entry to mastery:</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White, Green, Yellow, Blue, Brown, Black</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White, Yellow, Green, Blue, Brown, Black</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Yellow, White, Green, Brown, Blue, Black</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White, Yellow, Blue, Green, Brown, Black</w:t>
      </w:r>
    </w:p>
    <w:p>
      <w:pPr>
        <w:spacing w:after="50" w:before="150"/>
      </w:pPr>
      <w:r>
        <w:rPr>
          <w:rFonts w:ascii="Calibri" w:cs="Calibri" w:eastAsia="Calibri" w:hAnsi="Calibri"/>
          <w:b/>
          <w:bCs/>
          <w:i w:val="false"/>
          <w:iCs w:val="false"/>
          <w:color w:val="8A5A2B"/>
          <w:sz w:val="22"/>
          <w:szCs w:val="22"/>
        </w:rPr>
        <w:t xml:space="preserve">2.  </w:t>
      </w:r>
      <w:r>
        <w:rPr>
          <w:rFonts w:ascii="Calibri" w:cs="Calibri" w:eastAsia="Calibri" w:hAnsi="Calibri"/>
          <w:b/>
          <w:bCs/>
          <w:i w:val="false"/>
          <w:iCs w:val="false"/>
          <w:color w:val="0E1726"/>
          <w:sz w:val="22"/>
          <w:szCs w:val="22"/>
        </w:rPr>
        <w:t xml:space="preserve">At which belt does an operator FIRST work fully independently in one zone?</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White</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Yellow</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Green</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Blue</w:t>
      </w:r>
    </w:p>
    <w:p>
      <w:pPr>
        <w:spacing w:after="50" w:before="150"/>
      </w:pPr>
      <w:r>
        <w:rPr>
          <w:rFonts w:ascii="Calibri" w:cs="Calibri" w:eastAsia="Calibri" w:hAnsi="Calibri"/>
          <w:b/>
          <w:bCs/>
          <w:i w:val="false"/>
          <w:iCs w:val="false"/>
          <w:color w:val="8A5A2B"/>
          <w:sz w:val="22"/>
          <w:szCs w:val="22"/>
        </w:rPr>
        <w:t xml:space="preserve">3.  </w:t>
      </w:r>
      <w:r>
        <w:rPr>
          <w:rFonts w:ascii="Calibri" w:cs="Calibri" w:eastAsia="Calibri" w:hAnsi="Calibri"/>
          <w:b/>
          <w:bCs/>
          <w:i w:val="false"/>
          <w:iCs w:val="false"/>
          <w:color w:val="0E1726"/>
          <w:sz w:val="22"/>
          <w:szCs w:val="22"/>
        </w:rPr>
        <w:t xml:space="preserve">At which belt does an operator first coach lower belts on the floor?</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Yellow</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Green</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Blue</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Brown</w:t>
      </w:r>
    </w:p>
    <w:p>
      <w:pPr>
        <w:spacing w:after="50" w:before="150"/>
      </w:pPr>
      <w:r>
        <w:rPr>
          <w:rFonts w:ascii="Calibri" w:cs="Calibri" w:eastAsia="Calibri" w:hAnsi="Calibri"/>
          <w:b/>
          <w:bCs/>
          <w:i w:val="false"/>
          <w:iCs w:val="false"/>
          <w:color w:val="8A5A2B"/>
          <w:sz w:val="22"/>
          <w:szCs w:val="22"/>
        </w:rPr>
        <w:t xml:space="preserve">4.  </w:t>
      </w:r>
      <w:r>
        <w:rPr>
          <w:rFonts w:ascii="Calibri" w:cs="Calibri" w:eastAsia="Calibri" w:hAnsi="Calibri"/>
          <w:b/>
          <w:bCs/>
          <w:i w:val="false"/>
          <w:iCs w:val="false"/>
          <w:color w:val="0E1726"/>
          <w:sz w:val="22"/>
          <w:szCs w:val="22"/>
        </w:rPr>
        <w:t xml:space="preserve">Placement establishes:</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The belt the learner's experience predicts</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The belt the learner's current, measured competency supports</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The learner's job title</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The learner's pay grade</w:t>
      </w:r>
    </w:p>
    <w:p>
      <w:pPr>
        <w:spacing w:after="50" w:before="150"/>
      </w:pPr>
      <w:r>
        <w:rPr>
          <w:rFonts w:ascii="Calibri" w:cs="Calibri" w:eastAsia="Calibri" w:hAnsi="Calibri"/>
          <w:b/>
          <w:bCs/>
          <w:i w:val="false"/>
          <w:iCs w:val="false"/>
          <w:color w:val="8A5A2B"/>
          <w:sz w:val="22"/>
          <w:szCs w:val="22"/>
        </w:rPr>
        <w:t xml:space="preserve">5.  </w:t>
      </w:r>
      <w:r>
        <w:rPr>
          <w:rFonts w:ascii="Calibri" w:cs="Calibri" w:eastAsia="Calibri" w:hAnsi="Calibri"/>
          <w:b/>
          <w:bCs/>
          <w:i w:val="false"/>
          <w:iCs w:val="false"/>
          <w:color w:val="0E1726"/>
          <w:sz w:val="22"/>
          <w:szCs w:val="22"/>
        </w:rPr>
        <w:t xml:space="preserve">The Operator Identity Profile is:</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A clinical diagnosis</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A permanent label</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A coaching aid describing how a person tends to operate</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A pass/fail gate</w:t>
      </w:r>
    </w:p>
    <w:p>
      <w:pPr>
        <w:spacing w:after="50" w:before="150"/>
      </w:pPr>
      <w:r>
        <w:rPr>
          <w:rFonts w:ascii="Calibri" w:cs="Calibri" w:eastAsia="Calibri" w:hAnsi="Calibri"/>
          <w:b/>
          <w:bCs/>
          <w:i w:val="false"/>
          <w:iCs w:val="false"/>
          <w:color w:val="8A5A2B"/>
          <w:sz w:val="22"/>
          <w:szCs w:val="22"/>
        </w:rPr>
        <w:t xml:space="preserve">6.  </w:t>
      </w:r>
      <w:r>
        <w:rPr>
          <w:rFonts w:ascii="Calibri" w:cs="Calibri" w:eastAsia="Calibri" w:hAnsi="Calibri"/>
          <w:b/>
          <w:bCs/>
          <w:i w:val="false"/>
          <w:iCs w:val="false"/>
          <w:color w:val="0E1726"/>
          <w:sz w:val="22"/>
          <w:szCs w:val="22"/>
        </w:rPr>
        <w:t xml:space="preserve">A Steward learner is best approached with:</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Blunt data and hard deadlines</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Encouragement, relationship, and small wins</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Minimal contact</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A written warning</w:t>
      </w:r>
    </w:p>
    <w:p>
      <w:pPr>
        <w:spacing w:after="50" w:before="150"/>
      </w:pPr>
      <w:r>
        <w:rPr>
          <w:rFonts w:ascii="Calibri" w:cs="Calibri" w:eastAsia="Calibri" w:hAnsi="Calibri"/>
          <w:b/>
          <w:bCs/>
          <w:i w:val="false"/>
          <w:iCs w:val="false"/>
          <w:color w:val="8A5A2B"/>
          <w:sz w:val="22"/>
          <w:szCs w:val="22"/>
        </w:rPr>
        <w:t xml:space="preserve">7.  </w:t>
      </w:r>
      <w:r>
        <w:rPr>
          <w:rFonts w:ascii="Calibri" w:cs="Calibri" w:eastAsia="Calibri" w:hAnsi="Calibri"/>
          <w:b/>
          <w:bCs/>
          <w:i w:val="false"/>
          <w:iCs w:val="false"/>
          <w:color w:val="0E1726"/>
          <w:sz w:val="22"/>
          <w:szCs w:val="22"/>
        </w:rPr>
        <w:t xml:space="preserve">A Surgeon learner most needs you to:</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Slow them down and require proof of mastery</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Give constant encouragement</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Avoid deadlines</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Provide extra reading</w:t>
      </w:r>
    </w:p>
    <w:p>
      <w:pPr>
        <w:spacing w:after="50" w:before="150"/>
      </w:pPr>
      <w:r>
        <w:rPr>
          <w:rFonts w:ascii="Calibri" w:cs="Calibri" w:eastAsia="Calibri" w:hAnsi="Calibri"/>
          <w:b/>
          <w:bCs/>
          <w:i w:val="false"/>
          <w:iCs w:val="false"/>
          <w:color w:val="8A5A2B"/>
          <w:sz w:val="22"/>
          <w:szCs w:val="22"/>
        </w:rPr>
        <w:t xml:space="preserve">8.  </w:t>
      </w:r>
      <w:r>
        <w:rPr>
          <w:rFonts w:ascii="Calibri" w:cs="Calibri" w:eastAsia="Calibri" w:hAnsi="Calibri"/>
          <w:b/>
          <w:bCs/>
          <w:i w:val="false"/>
          <w:iCs w:val="false"/>
          <w:color w:val="0E1726"/>
          <w:sz w:val="22"/>
          <w:szCs w:val="22"/>
        </w:rPr>
        <w:t xml:space="preserve">The practice-exam readiness threshold is:</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70%</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80%</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90%</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100%</w:t>
      </w:r>
    </w:p>
    <w:p>
      <w:pPr>
        <w:spacing w:after="50" w:before="150"/>
      </w:pPr>
      <w:r>
        <w:rPr>
          <w:rFonts w:ascii="Calibri" w:cs="Calibri" w:eastAsia="Calibri" w:hAnsi="Calibri"/>
          <w:b/>
          <w:bCs/>
          <w:i w:val="false"/>
          <w:iCs w:val="false"/>
          <w:color w:val="8A5A2B"/>
          <w:sz w:val="22"/>
          <w:szCs w:val="22"/>
        </w:rPr>
        <w:t xml:space="preserve">9.  </w:t>
      </w:r>
      <w:r>
        <w:rPr>
          <w:rFonts w:ascii="Calibri" w:cs="Calibri" w:eastAsia="Calibri" w:hAnsi="Calibri"/>
          <w:b/>
          <w:bCs/>
          <w:i w:val="false"/>
          <w:iCs w:val="false"/>
          <w:color w:val="0E1726"/>
          <w:sz w:val="22"/>
          <w:szCs w:val="22"/>
        </w:rPr>
        <w:t xml:space="preserve">Why is the practice threshold higher than the gate pass score?</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To fail more learners</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Because practice should be harder than game day, so clearing it predicts readiness</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To slow people down</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It is an error</w:t>
      </w:r>
    </w:p>
    <w:p>
      <w:pPr>
        <w:spacing w:after="50" w:before="150"/>
      </w:pPr>
      <w:r>
        <w:rPr>
          <w:rFonts w:ascii="Calibri" w:cs="Calibri" w:eastAsia="Calibri" w:hAnsi="Calibri"/>
          <w:b/>
          <w:bCs/>
          <w:i w:val="false"/>
          <w:iCs w:val="false"/>
          <w:color w:val="8A5A2B"/>
          <w:sz w:val="22"/>
          <w:szCs w:val="22"/>
        </w:rPr>
        <w:t xml:space="preserve">10.  </w:t>
      </w:r>
      <w:r>
        <w:rPr>
          <w:rFonts w:ascii="Calibri" w:cs="Calibri" w:eastAsia="Calibri" w:hAnsi="Calibri"/>
          <w:b/>
          <w:bCs/>
          <w:i w:val="false"/>
          <w:iCs w:val="false"/>
          <w:color w:val="0E1726"/>
          <w:sz w:val="22"/>
          <w:szCs w:val="22"/>
        </w:rPr>
        <w:t xml:space="preserve">The most useful part of a practice result is usually:</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The overall score</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The domain-by-domain breakdown</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The time taken</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The number of attempts</w:t>
      </w:r>
    </w:p>
    <w:p>
      <w:pPr>
        <w:spacing w:after="50" w:before="150"/>
      </w:pPr>
      <w:r>
        <w:rPr>
          <w:rFonts w:ascii="Calibri" w:cs="Calibri" w:eastAsia="Calibri" w:hAnsi="Calibri"/>
          <w:b/>
          <w:bCs/>
          <w:i w:val="false"/>
          <w:iCs w:val="false"/>
          <w:color w:val="8A5A2B"/>
          <w:sz w:val="22"/>
          <w:szCs w:val="22"/>
        </w:rPr>
        <w:t xml:space="preserve">11.  </w:t>
      </w:r>
      <w:r>
        <w:rPr>
          <w:rFonts w:ascii="Calibri" w:cs="Calibri" w:eastAsia="Calibri" w:hAnsi="Calibri"/>
          <w:b/>
          <w:bCs/>
          <w:i w:val="false"/>
          <w:iCs w:val="false"/>
          <w:color w:val="0E1726"/>
          <w:sz w:val="22"/>
          <w:szCs w:val="22"/>
        </w:rPr>
        <w:t xml:space="preserve">The belt curriculum and gates are:</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Customizable by each facility</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Standardized and fixed</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Optional</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Set by the learner</w:t>
      </w:r>
    </w:p>
    <w:p>
      <w:pPr>
        <w:spacing w:after="50" w:before="150"/>
      </w:pPr>
      <w:r>
        <w:rPr>
          <w:rFonts w:ascii="Calibri" w:cs="Calibri" w:eastAsia="Calibri" w:hAnsi="Calibri"/>
          <w:b/>
          <w:bCs/>
          <w:i w:val="false"/>
          <w:iCs w:val="false"/>
          <w:color w:val="8A5A2B"/>
          <w:sz w:val="22"/>
          <w:szCs w:val="22"/>
        </w:rPr>
        <w:t xml:space="preserve">12.  </w:t>
      </w:r>
      <w:r>
        <w:rPr>
          <w:rFonts w:ascii="Calibri" w:cs="Calibri" w:eastAsia="Calibri" w:hAnsi="Calibri"/>
          <w:b/>
          <w:bCs/>
          <w:i w:val="false"/>
          <w:iCs w:val="false"/>
          <w:color w:val="0E1726"/>
          <w:sz w:val="22"/>
          <w:szCs w:val="22"/>
        </w:rPr>
        <w:t xml:space="preserve">The Foundation and Instrument modules are:</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The fixed layer</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The customizable layer you assign to close specific gaps</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Only for Black Belts</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Never observed</w:t>
      </w:r>
    </w:p>
    <w:p>
      <w:pPr>
        <w:spacing w:after="50" w:before="150"/>
      </w:pPr>
      <w:r>
        <w:rPr>
          <w:rFonts w:ascii="Calibri" w:cs="Calibri" w:eastAsia="Calibri" w:hAnsi="Calibri"/>
          <w:b/>
          <w:bCs/>
          <w:i w:val="false"/>
          <w:iCs w:val="false"/>
          <w:color w:val="8A5A2B"/>
          <w:sz w:val="22"/>
          <w:szCs w:val="22"/>
        </w:rPr>
        <w:t xml:space="preserve">13.  </w:t>
      </w:r>
      <w:r>
        <w:rPr>
          <w:rFonts w:ascii="Calibri" w:cs="Calibri" w:eastAsia="Calibri" w:hAnsi="Calibri"/>
          <w:b/>
          <w:bCs/>
          <w:i w:val="false"/>
          <w:iCs w:val="false"/>
          <w:color w:val="0E1726"/>
          <w:sz w:val="22"/>
          <w:szCs w:val="22"/>
        </w:rPr>
        <w:t xml:space="preserve">Each Foundation module is completed by:</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Reading it once</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Passing its own three gates: knowledge, simulation, and observation</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A single quiz</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Attendance</w:t>
      </w:r>
    </w:p>
    <w:p>
      <w:pPr>
        <w:spacing w:after="50" w:before="150"/>
      </w:pPr>
      <w:r>
        <w:rPr>
          <w:rFonts w:ascii="Calibri" w:cs="Calibri" w:eastAsia="Calibri" w:hAnsi="Calibri"/>
          <w:b/>
          <w:bCs/>
          <w:i w:val="false"/>
          <w:iCs w:val="false"/>
          <w:color w:val="8A5A2B"/>
          <w:sz w:val="22"/>
          <w:szCs w:val="22"/>
        </w:rPr>
        <w:t xml:space="preserve">14.  </w:t>
      </w:r>
      <w:r>
        <w:rPr>
          <w:rFonts w:ascii="Calibri" w:cs="Calibri" w:eastAsia="Calibri" w:hAnsi="Calibri"/>
          <w:b/>
          <w:bCs/>
          <w:i w:val="false"/>
          <w:iCs w:val="false"/>
          <w:color w:val="0E1726"/>
          <w:sz w:val="22"/>
          <w:szCs w:val="22"/>
        </w:rPr>
        <w:t xml:space="preserve">Which is NOT one of the four reasons to assign a module?</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Placement-driven</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Failure-driven</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Proactive</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Seniority-driven</w:t>
      </w:r>
    </w:p>
    <w:p>
      <w:pPr>
        <w:spacing w:after="50" w:before="150"/>
      </w:pPr>
      <w:r>
        <w:rPr>
          <w:rFonts w:ascii="Calibri" w:cs="Calibri" w:eastAsia="Calibri" w:hAnsi="Calibri"/>
          <w:b/>
          <w:bCs/>
          <w:i w:val="false"/>
          <w:iCs w:val="false"/>
          <w:color w:val="8A5A2B"/>
          <w:sz w:val="22"/>
          <w:szCs w:val="22"/>
        </w:rPr>
        <w:t xml:space="preserve">15.  </w:t>
      </w:r>
      <w:r>
        <w:rPr>
          <w:rFonts w:ascii="Calibri" w:cs="Calibri" w:eastAsia="Calibri" w:hAnsi="Calibri"/>
          <w:b/>
          <w:bCs/>
          <w:i w:val="false"/>
          <w:iCs w:val="false"/>
          <w:color w:val="0E1726"/>
          <w:sz w:val="22"/>
          <w:szCs w:val="22"/>
        </w:rPr>
        <w:t xml:space="preserve">When building a learner's path, you sequence modules toward:</w:t>
      </w:r>
    </w:p>
    <w:p>
      <w:pPr>
        <w:spacing w:after="36"/>
        <w:ind w:left="360"/>
      </w:pPr>
      <w:r>
        <w:rPr>
          <w:rFonts w:ascii="Calibri" w:cs="Calibri" w:eastAsia="Calibri" w:hAnsi="Calibri"/>
          <w:b/>
          <w:bCs/>
          <w:i w:val="false"/>
          <w:iCs w:val="false"/>
          <w:color w:val="2E3B4B"/>
          <w:sz w:val="22"/>
          <w:szCs w:val="22"/>
        </w:rPr>
        <w:t xml:space="preserve">A)  </w:t>
      </w:r>
      <w:r>
        <w:rPr>
          <w:rFonts w:ascii="Calibri" w:cs="Calibri" w:eastAsia="Calibri" w:hAnsi="Calibri"/>
          <w:b w:val="false"/>
          <w:bCs w:val="false"/>
          <w:i w:val="false"/>
          <w:iCs w:val="false"/>
          <w:color w:val="2E3B4B"/>
          <w:sz w:val="22"/>
          <w:szCs w:val="22"/>
        </w:rPr>
        <w:t xml:space="preserve">Whatever is easiest first</w:t>
      </w:r>
    </w:p>
    <w:p>
      <w:pPr>
        <w:spacing w:after="36"/>
        <w:ind w:left="360"/>
      </w:pPr>
      <w:r>
        <w:rPr>
          <w:rFonts w:ascii="Calibri" w:cs="Calibri" w:eastAsia="Calibri" w:hAnsi="Calibri"/>
          <w:b/>
          <w:bCs/>
          <w:i w:val="false"/>
          <w:iCs w:val="false"/>
          <w:color w:val="2E3B4B"/>
          <w:sz w:val="22"/>
          <w:szCs w:val="22"/>
        </w:rPr>
        <w:t xml:space="preserve">B)  </w:t>
      </w:r>
      <w:r>
        <w:rPr>
          <w:rFonts w:ascii="Calibri" w:cs="Calibri" w:eastAsia="Calibri" w:hAnsi="Calibri"/>
          <w:b w:val="false"/>
          <w:bCs w:val="false"/>
          <w:i w:val="false"/>
          <w:iCs w:val="false"/>
          <w:color w:val="2E3B4B"/>
          <w:sz w:val="22"/>
          <w:szCs w:val="22"/>
        </w:rPr>
        <w:t xml:space="preserve">The specific gate you are aiming the learner at</w:t>
      </w:r>
    </w:p>
    <w:p>
      <w:pPr>
        <w:spacing w:after="36"/>
        <w:ind w:left="360"/>
      </w:pPr>
      <w:r>
        <w:rPr>
          <w:rFonts w:ascii="Calibri" w:cs="Calibri" w:eastAsia="Calibri" w:hAnsi="Calibri"/>
          <w:b/>
          <w:bCs/>
          <w:i w:val="false"/>
          <w:iCs w:val="false"/>
          <w:color w:val="2E3B4B"/>
          <w:sz w:val="22"/>
          <w:szCs w:val="22"/>
        </w:rPr>
        <w:t xml:space="preserve">C)  </w:t>
      </w:r>
      <w:r>
        <w:rPr>
          <w:rFonts w:ascii="Calibri" w:cs="Calibri" w:eastAsia="Calibri" w:hAnsi="Calibri"/>
          <w:b w:val="false"/>
          <w:bCs w:val="false"/>
          <w:i w:val="false"/>
          <w:iCs w:val="false"/>
          <w:color w:val="2E3B4B"/>
          <w:sz w:val="22"/>
          <w:szCs w:val="22"/>
        </w:rPr>
        <w:t xml:space="preserve">Alphabetical order</w:t>
      </w:r>
    </w:p>
    <w:p>
      <w:pPr>
        <w:spacing w:after="36"/>
        <w:ind w:left="360"/>
      </w:pPr>
      <w:r>
        <w:rPr>
          <w:rFonts w:ascii="Calibri" w:cs="Calibri" w:eastAsia="Calibri" w:hAnsi="Calibri"/>
          <w:b/>
          <w:bCs/>
          <w:i w:val="false"/>
          <w:iCs w:val="false"/>
          <w:color w:val="2E3B4B"/>
          <w:sz w:val="22"/>
          <w:szCs w:val="22"/>
        </w:rPr>
        <w:t xml:space="preserve">D)  </w:t>
      </w:r>
      <w:r>
        <w:rPr>
          <w:rFonts w:ascii="Calibri" w:cs="Calibri" w:eastAsia="Calibri" w:hAnsi="Calibri"/>
          <w:b w:val="false"/>
          <w:bCs w:val="false"/>
          <w:i w:val="false"/>
          <w:iCs w:val="false"/>
          <w:color w:val="2E3B4B"/>
          <w:sz w:val="22"/>
          <w:szCs w:val="22"/>
        </w:rPr>
        <w:t xml:space="preserve">The learner's preference only</w:t>
      </w:r>
    </w:p>
    <w:p>
      <w:r>
        <w:br w:type="page"/>
      </w:r>
    </w:p>
    <w:p>
      <w:pPr>
        <w:pStyle w:val="Heading1"/>
        <w:spacing w:after="150" w:before="360"/>
      </w:pPr>
      <w:r>
        <w:rPr>
          <w:rFonts w:ascii="Georgia" w:cs="Georgia" w:eastAsia="Georgia" w:hAnsi="Georgia"/>
          <w:b/>
          <w:bCs/>
          <w:i w:val="false"/>
          <w:iCs w:val="false"/>
          <w:color w:val="1E2761"/>
          <w:sz w:val="34"/>
          <w:szCs w:val="34"/>
        </w:rPr>
        <w:t xml:space="preserve">Answer key and rationale</w:t>
      </w:r>
    </w:p>
    <w:p>
      <w:pPr>
        <w:spacing w:after="150" w:before="0" w:line="292"/>
      </w:pPr>
      <w:r>
        <w:rPr>
          <w:rFonts w:ascii="Calibri" w:cs="Calibri" w:eastAsia="Calibri" w:hAnsi="Calibri"/>
          <w:b w:val="false"/>
          <w:bCs w:val="false"/>
          <w:i w:val="false"/>
          <w:iCs w:val="false"/>
          <w:color w:val="2E3B4B"/>
          <w:sz w:val="22"/>
          <w:szCs w:val="22"/>
        </w:rPr>
        <w:t xml:space="preserve">Thirteen of fifteen completes the knowledge portion. Re-read the section named for anything you miss before moving on.</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640"/>
        <w:gridCol w:w="1050"/>
        <w:gridCol w:w="8150"/>
      </w:tblGrid>
      <w:tr>
        <w:trPr>
          <w:tblHeader/>
        </w:trPr>
        <w:tc>
          <w:tcPr>
            <w:tcW w:type="dxa" w:w="6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Q</w:t>
            </w:r>
          </w:p>
        </w:tc>
        <w:tc>
          <w:tcPr>
            <w:tcW w:type="dxa" w:w="105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Answer</w:t>
            </w:r>
          </w:p>
        </w:tc>
        <w:tc>
          <w:tcPr>
            <w:tcW w:type="dxa" w:w="815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Why / re-read</w:t>
            </w:r>
          </w:p>
        </w:tc>
      </w:tr>
      <w:tr>
        <w:tc>
          <w:tcPr>
            <w:tcW w:type="dxa" w:w="6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w:t>
            </w:r>
          </w:p>
        </w:tc>
        <w:tc>
          <w:tcPr>
            <w:tcW w:type="dxa" w:w="10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White, Yellow, Green, Blue, Brown, Black (Section 1).</w:t>
            </w:r>
          </w:p>
        </w:tc>
      </w:tr>
      <w:tr>
        <w:tc>
          <w:tcPr>
            <w:tcW w:type="dxa" w:w="6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2</w:t>
            </w:r>
          </w:p>
        </w:tc>
        <w:tc>
          <w:tcPr>
            <w:tcW w:type="dxa" w:w="10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Yellow is the first fully independent single-zone belt (Section 1).</w:t>
            </w:r>
          </w:p>
        </w:tc>
      </w:tr>
      <w:tr>
        <w:tc>
          <w:tcPr>
            <w:tcW w:type="dxa" w:w="6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3</w:t>
            </w:r>
          </w:p>
        </w:tc>
        <w:tc>
          <w:tcPr>
            <w:tcW w:type="dxa" w:w="10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Green is where coaching of lower belts begins (Section 1).</w:t>
            </w:r>
          </w:p>
        </w:tc>
      </w:tr>
      <w:tr>
        <w:tc>
          <w:tcPr>
            <w:tcW w:type="dxa" w:w="6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4</w:t>
            </w:r>
          </w:p>
        </w:tc>
        <w:tc>
          <w:tcPr>
            <w:tcW w:type="dxa" w:w="10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Placement measures current competency, not experience (Section 2).</w:t>
            </w:r>
          </w:p>
        </w:tc>
      </w:tr>
      <w:tr>
        <w:tc>
          <w:tcPr>
            <w:tcW w:type="dxa" w:w="6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5</w:t>
            </w:r>
          </w:p>
        </w:tc>
        <w:tc>
          <w:tcPr>
            <w:tcW w:type="dxa" w:w="10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w:t>
            </w:r>
          </w:p>
        </w:tc>
        <w:tc>
          <w:tcPr>
            <w:tcW w:type="dxa" w:w="81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The OIP is a coaching aid, not a diagnosis or label (Section 2).</w:t>
            </w:r>
          </w:p>
        </w:tc>
      </w:tr>
      <w:tr>
        <w:tc>
          <w:tcPr>
            <w:tcW w:type="dxa" w:w="6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6</w:t>
            </w:r>
          </w:p>
        </w:tc>
        <w:tc>
          <w:tcPr>
            <w:tcW w:type="dxa" w:w="10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Stewards respond to encouragement and relationship (Section 2).</w:t>
            </w:r>
          </w:p>
        </w:tc>
      </w:tr>
      <w:tr>
        <w:tc>
          <w:tcPr>
            <w:tcW w:type="dxa" w:w="6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7</w:t>
            </w:r>
          </w:p>
        </w:tc>
        <w:tc>
          <w:tcPr>
            <w:tcW w:type="dxa" w:w="10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w:t>
            </w:r>
          </w:p>
        </w:tc>
        <w:tc>
          <w:tcPr>
            <w:tcW w:type="dxa" w:w="81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Surgeons need proof of mastery so speed never skips a step (Section 2).</w:t>
            </w:r>
          </w:p>
        </w:tc>
      </w:tr>
      <w:tr>
        <w:tc>
          <w:tcPr>
            <w:tcW w:type="dxa" w:w="6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8</w:t>
            </w:r>
          </w:p>
        </w:tc>
        <w:tc>
          <w:tcPr>
            <w:tcW w:type="dxa" w:w="10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w:t>
            </w:r>
          </w:p>
        </w:tc>
        <w:tc>
          <w:tcPr>
            <w:tcW w:type="dxa" w:w="81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90% in practice is the readiness signal (Section 3).</w:t>
            </w:r>
          </w:p>
        </w:tc>
      </w:tr>
      <w:tr>
        <w:tc>
          <w:tcPr>
            <w:tcW w:type="dxa" w:w="6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9</w:t>
            </w:r>
          </w:p>
        </w:tc>
        <w:tc>
          <w:tcPr>
            <w:tcW w:type="dxa" w:w="10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Practice is harder than the gate, so clearing it predicts readiness (Section 3).</w:t>
            </w:r>
          </w:p>
        </w:tc>
      </w:tr>
      <w:tr>
        <w:tc>
          <w:tcPr>
            <w:tcW w:type="dxa" w:w="6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10</w:t>
            </w:r>
          </w:p>
        </w:tc>
        <w:tc>
          <w:tcPr>
            <w:tcW w:type="dxa" w:w="10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The domain breakdown, not the overall, shows where to coach (Section 3).</w:t>
            </w:r>
          </w:p>
        </w:tc>
      </w:tr>
      <w:tr>
        <w:tc>
          <w:tcPr>
            <w:tcW w:type="dxa" w:w="6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11</w:t>
            </w:r>
          </w:p>
        </w:tc>
        <w:tc>
          <w:tcPr>
            <w:tcW w:type="dxa" w:w="10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The belt curriculum and gates are standardized and fixed (Section 4).</w:t>
            </w:r>
          </w:p>
        </w:tc>
      </w:tr>
      <w:tr>
        <w:tc>
          <w:tcPr>
            <w:tcW w:type="dxa" w:w="6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12</w:t>
            </w:r>
          </w:p>
        </w:tc>
        <w:tc>
          <w:tcPr>
            <w:tcW w:type="dxa" w:w="10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Foundation and Instrument modules are the customizable layer (Section 4).</w:t>
            </w:r>
          </w:p>
        </w:tc>
      </w:tr>
      <w:tr>
        <w:tc>
          <w:tcPr>
            <w:tcW w:type="dxa" w:w="6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13</w:t>
            </w:r>
          </w:p>
        </w:tc>
        <w:tc>
          <w:tcPr>
            <w:tcW w:type="dxa" w:w="10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Each module passes its own three gates (Section 4).</w:t>
            </w:r>
          </w:p>
        </w:tc>
      </w:tr>
      <w:tr>
        <w:tc>
          <w:tcPr>
            <w:tcW w:type="dxa" w:w="6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14</w:t>
            </w:r>
          </w:p>
        </w:tc>
        <w:tc>
          <w:tcPr>
            <w:tcW w:type="dxa" w:w="10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D</w:t>
            </w:r>
          </w:p>
        </w:tc>
        <w:tc>
          <w:tcPr>
            <w:tcW w:type="dxa" w:w="815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The four reasons are placement, failure, proactive, and advancement, not seniority (Section 4).</w:t>
            </w:r>
          </w:p>
        </w:tc>
      </w:tr>
      <w:tr>
        <w:tc>
          <w:tcPr>
            <w:tcW w:type="dxa" w:w="6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15</w:t>
            </w:r>
          </w:p>
        </w:tc>
        <w:tc>
          <w:tcPr>
            <w:tcW w:type="dxa" w:w="10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w:t>
            </w:r>
          </w:p>
        </w:tc>
        <w:tc>
          <w:tcPr>
            <w:tcW w:type="dxa" w:w="815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You sequence modules toward the specific target gate (Section 5).</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3</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You should now be able to explain every belt, navigate the curriculum, tell the standardized layer from the customizable one, and teach practice exams as a readiness tool. And in Section 5 you built three real learner paths, the core skill of the whole module. If any belt or module still feels fuzzy, re-read before Module 4.</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4</w:t>
            </w:r>
          </w:p>
          <w:p>
            <w:pPr>
              <w:spacing w:after="100" w:before="0" w:line="284"/>
            </w:pPr>
            <w:r>
              <w:rPr>
                <w:rFonts w:ascii="Calibri" w:cs="Calibri" w:eastAsia="Calibri" w:hAnsi="Calibri"/>
                <w:b w:val="false"/>
                <w:bCs w:val="false"/>
                <w:i w:val="false"/>
                <w:iCs w:val="false"/>
                <w:color w:val="2E3B4B"/>
                <w:sz w:val="22"/>
                <w:szCs w:val="22"/>
              </w:rPr>
              <w:t xml:space="preserve">You now know the terrain and how to plot a path across it. But a path on paper is not a person. Module 4 is about the human: coaching and intervention, how you take the profile you learned here and actually move a stuck, discouraged, or resistant learner forward. The map is set. Next you learn to guide the traveler.</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1 · Module 3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1 · Module 3 · The Belt System and Curriculum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3 (Self-Paced Learner Workbook)</dc:title>
  <dc:creator>Jake Tayler Jacobs DBA, MBA, B.Ed.</dc:creator>
  <cp:lastModifiedBy>Un-named</cp:lastModifiedBy>
  <cp:revision>1</cp:revision>
  <dcterms:created xsi:type="dcterms:W3CDTF">2026-07-12T20:28:02.318Z</dcterms:created>
  <dcterms:modified xsi:type="dcterms:W3CDTF">2026-07-12T20:28:02.331Z</dcterms:modified>
</cp:coreProperties>
</file>

<file path=docProps/custom.xml><?xml version="1.0" encoding="utf-8"?>
<Properties xmlns="http://schemas.openxmlformats.org/officeDocument/2006/custom-properties" xmlns:vt="http://schemas.openxmlformats.org/officeDocument/2006/docPropsVTypes"/>
</file>