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Calibri" w:cs="Calibri" w:eastAsia="Calibri" w:hAnsi="Calibri"/>
          <w:b/>
          <w:bCs/>
          <w:i w:val="false"/>
          <w:iCs w:val="false"/>
          <w:color w:val="8A5A2B"/>
          <w:spacing w:val="32"/>
          <w:sz w:val="17"/>
          <w:szCs w:val="17"/>
        </w:rPr>
        <w:t xml:space="preserve">SBD WIP FACILITATOR CERTIFICATION  ·  LEVEL 3</w:t>
      </w:r>
    </w:p>
    <w:p>
      <w:pPr>
        <w:spacing w:after="40" w:before="160"/>
      </w:pPr>
      <w:r>
        <w:rPr>
          <w:rFonts w:ascii="Georgia" w:cs="Georgia" w:eastAsia="Georgia" w:hAnsi="Georgia"/>
          <w:b/>
          <w:bCs/>
          <w:i w:val="false"/>
          <w:iCs w:val="false"/>
          <w:color w:val="1E2761"/>
          <w:sz w:val="46"/>
          <w:szCs w:val="46"/>
        </w:rPr>
        <w:t xml:space="preserve">Certification Gate Materials</w:t>
      </w:r>
    </w:p>
    <w:p>
      <w:pPr>
        <w:spacing w:after="6"/>
      </w:pPr>
      <w:r>
        <w:rPr>
          <w:rFonts w:ascii="Georgia" w:cs="Georgia" w:eastAsia="Georgia" w:hAnsi="Georgia"/>
          <w:b w:val="false"/>
          <w:bCs w:val="false"/>
          <w:i w:val="false"/>
          <w:iCs w:val="false"/>
          <w:color w:val="0E1726"/>
          <w:sz w:val="26"/>
          <w:szCs w:val="26"/>
        </w:rPr>
        <w:t xml:space="preserve">Master Facilitator (Level 3)</w:t>
      </w:r>
    </w:p>
    <w:p>
      <w:pPr>
        <w:spacing w:after="60"/>
      </w:pPr>
      <w:r>
        <w:rPr>
          <w:rFonts w:ascii="Georgia" w:cs="Georgia" w:eastAsia="Georgia" w:hAnsi="Georgia"/>
          <w:b w:val="false"/>
          <w:bCs w:val="false"/>
          <w:i w:val="false"/>
          <w:iCs w:val="false"/>
          <w:color w:val="6B7B8C"/>
          <w:sz w:val="24"/>
          <w:szCs w:val="24"/>
        </w:rPr>
        <w:t xml:space="preserve">Assessor's Administered Edition</w:t>
      </w:r>
    </w:p>
    <w:p>
      <w:pPr>
        <w:spacing w:after="300"/>
      </w:pPr>
      <w:r>
        <w:rPr>
          <w:rFonts w:ascii="Calibri" w:cs="Calibri" w:eastAsia="Calibri" w:hAnsi="Calibri"/>
          <w:b w:val="false"/>
          <w:bCs w:val="false"/>
          <w:i/>
          <w:iCs/>
          <w:color w:val="6B7B8C"/>
          <w:sz w:val="21"/>
          <w:szCs w:val="21"/>
        </w:rPr>
        <w:t xml:space="preserve">The three gates a candidate faces after completing the five Level 3 modules. This edition contains answer keys and scoring guides. This is the highest bar in the program.</w:t>
      </w:r>
    </w:p>
    <w:p>
      <w:pPr>
        <w:pBdr>
          <w:left w:val="single" w:color="9A342A" w:sz="20" w:space="8"/>
        </w:pBdr>
        <w:shd w:fill="FBE9E6" w:color="auto" w:val="clear"/>
        <w:spacing w:after="120" w:before="160"/>
        <w:ind w:left="180" w:right="180"/>
      </w:pPr>
      <w:r>
        <w:rPr>
          <w:rFonts w:ascii="Calibri" w:cs="Calibri" w:eastAsia="Calibri" w:hAnsi="Calibri"/>
          <w:b/>
          <w:bCs/>
          <w:i w:val="false"/>
          <w:iCs w:val="false"/>
          <w:color w:val="9A342A"/>
          <w:sz w:val="20"/>
          <w:szCs w:val="20"/>
        </w:rPr>
        <w:t xml:space="preserve">ASSESSOR COPY.  </w:t>
      </w:r>
      <w:r>
        <w:rPr>
          <w:rFonts w:ascii="Calibri" w:cs="Calibri" w:eastAsia="Calibri" w:hAnsi="Calibri"/>
          <w:b w:val="false"/>
          <w:bCs w:val="false"/>
          <w:i w:val="false"/>
          <w:iCs w:val="false"/>
          <w:color w:val="2E3B4B"/>
          <w:sz w:val="20"/>
          <w:szCs w:val="20"/>
        </w:rPr>
        <w:t xml:space="preserve">Contains correct answers and scoring keys. Do not distribute to candidates. The candidate edition is this document with all answer marks and scoring guides removed.</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How Master Facilitator certification works</w:t>
      </w:r>
    </w:p>
    <w:p>
      <w:pPr>
        <w:spacing w:after="150" w:before="0" w:line="292"/>
      </w:pPr>
      <w:r>
        <w:rPr>
          <w:rFonts w:ascii="Calibri" w:cs="Calibri" w:eastAsia="Calibri" w:hAnsi="Calibri"/>
          <w:b w:val="false"/>
          <w:bCs w:val="false"/>
          <w:i w:val="false"/>
          <w:iCs w:val="false"/>
          <w:color w:val="2E3B4B"/>
          <w:sz w:val="22"/>
          <w:szCs w:val="22"/>
        </w:rPr>
        <w:t xml:space="preserve">A candidate reaches these gates only after completing all five Level 3 modules and holding a current Level 2 certification. This is the terminal credential of the SBD pathway, and its bar is the highest in the program. A Master Facilitator trains, certifies, advises leadership, scales programs, and contributes evidence to the field, so the gates test not just whether the candidate can do the work, but whether they can teach it, scale it, protect its standard, and add to it.</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3100"/>
        <w:gridCol w:w="4840"/>
        <w:gridCol w:w="1900"/>
      </w:tblGrid>
      <w:tr>
        <w:trPr>
          <w:tblHeader/>
        </w:trPr>
        <w:tc>
          <w:tcPr>
            <w:tcW w:type="dxa" w:w="31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Gate</w:t>
            </w:r>
          </w:p>
        </w:tc>
        <w:tc>
          <w:tcPr>
            <w:tcW w:type="dxa" w:w="48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Format</w:t>
            </w:r>
          </w:p>
        </w:tc>
        <w:tc>
          <w:tcPr>
            <w:tcW w:type="dxa" w:w="19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Pass standard</w:t>
            </w:r>
          </w:p>
        </w:tc>
      </w:tr>
      <w:tr>
        <w:tc>
          <w:tcPr>
            <w:tcW w:type="dxa" w:w="31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Gate 1 — Knowledge &amp; White Paper</w:t>
            </w:r>
          </w:p>
        </w:tc>
        <w:tc>
          <w:tcPr>
            <w:tcW w:type="dxa" w:w="48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Comprehensive exam plus an original 3,000-word evidence-based white paper</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95%</w:t>
            </w:r>
          </w:p>
        </w:tc>
      </w:tr>
      <w:tr>
        <w:tc>
          <w:tcPr>
            <w:tcW w:type="dxa" w:w="31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Gate 2 — Training Delivery</w:t>
            </w:r>
          </w:p>
        </w:tc>
        <w:tc>
          <w:tcPr>
            <w:tcW w:type="dxa" w:w="48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Deliver a full facilitator-training session that develops and assesses another facilitator</w:t>
            </w:r>
          </w:p>
        </w:tc>
        <w:tc>
          <w:tcPr>
            <w:tcW w:type="dxa" w:w="19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90%</w:t>
            </w:r>
          </w:p>
        </w:tc>
      </w:tr>
      <w:tr>
        <w:tc>
          <w:tcPr>
            <w:tcW w:type="dxa" w:w="31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Gate 3 — Practicum &amp; Capstone</w:t>
            </w:r>
          </w:p>
        </w:tc>
        <w:tc>
          <w:tcPr>
            <w:tcW w:type="dxa" w:w="48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Six-month practicum leading at scale, plus a capstone defense</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95%</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Rules of administration.</w:t>
            </w:r>
          </w:p>
          <w:p>
            <w:pPr>
              <w:spacing w:after="100" w:before="0" w:line="284"/>
            </w:pPr>
            <w:r>
              <w:rPr>
                <w:rFonts w:ascii="Calibri" w:cs="Calibri" w:eastAsia="Calibri" w:hAnsi="Calibri"/>
                <w:b w:val="false"/>
                <w:bCs w:val="false"/>
                <w:i w:val="false"/>
                <w:iCs w:val="false"/>
                <w:color w:val="2E3B4B"/>
                <w:sz w:val="22"/>
                <w:szCs w:val="22"/>
              </w:rPr>
              <w:t xml:space="preserve">All three gates must pass; there is no averaging. The 95% bar on Gates 1 and 3 is deliberate, a Master Facilitator becomes a source of the standard, and a source cannot be 85% reliable. Remediation is substantial and mentored, not a quick retake. Certification is confirmed by SIPS. This credential authorizes the holder to certify other facilitators, so the bar exists to protect everyone downstream of them.</w:t>
            </w:r>
          </w:p>
        </w:tc>
      </w:tr>
    </w:tbl>
    <w:p>
      <w:pPr>
        <w:spacing w:after="60" w:before="0" w:line="292"/>
      </w:pPr>
      <w:r>
        <w:rPr>
          <w:rFonts w:ascii="Calibri" w:cs="Calibri" w:eastAsia="Calibri" w:hAnsi="Calibri"/>
          <w:b w:val="false"/>
          <w:bCs w:val="false"/>
          <w:i w:val="false"/>
          <w:iCs w:val="false"/>
          <w:color w:val="2E3B4B"/>
          <w:sz w:val="22"/>
          <w:szCs w:val="22"/>
        </w:rPr>
        <w:t xml:space="preserve">On scope: Gate 1's knowledge portion is a comprehensive exam plus the white paper. This edition provides a representative, fully-keyed bank of 25 items across the five Level 3 modules at the weighting below, plus the white-paper brief and its scoring guide.</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4900"/>
        <w:gridCol w:w="1900"/>
        <w:gridCol w:w="3040"/>
      </w:tblGrid>
      <w:tr>
        <w:trPr>
          <w:tblHeader/>
        </w:trPr>
        <w:tc>
          <w:tcPr>
            <w:tcW w:type="dxa" w:w="49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Module</w:t>
            </w:r>
          </w:p>
        </w:tc>
        <w:tc>
          <w:tcPr>
            <w:tcW w:type="dxa" w:w="19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Weight</w:t>
            </w:r>
          </w:p>
        </w:tc>
        <w:tc>
          <w:tcPr>
            <w:tcW w:type="dxa" w:w="30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Items</w:t>
            </w:r>
          </w:p>
        </w:tc>
      </w:tr>
      <w:tr>
        <w:tc>
          <w:tcPr>
            <w:tcW w:type="dxa" w:w="4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M11 · Facilitator Training Pedagogy</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r>
        <w:tc>
          <w:tcPr>
            <w:tcW w:type="dxa" w:w="4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M12 · Curriculum Development</w:t>
            </w:r>
          </w:p>
        </w:tc>
        <w:tc>
          <w:tcPr>
            <w:tcW w:type="dxa" w:w="19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r>
        <w:tc>
          <w:tcPr>
            <w:tcW w:type="dxa" w:w="4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M13 · System Administration</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r>
        <w:tc>
          <w:tcPr>
            <w:tcW w:type="dxa" w:w="49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M14 · Strategic Leadership &amp; Scaling</w:t>
            </w:r>
          </w:p>
        </w:tc>
        <w:tc>
          <w:tcPr>
            <w:tcW w:type="dxa" w:w="19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r>
        <w:tc>
          <w:tcPr>
            <w:tcW w:type="dxa" w:w="49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M15 · Research &amp; Evidence-Based Practice</w:t>
            </w:r>
          </w:p>
        </w:tc>
        <w:tc>
          <w:tcPr>
            <w:tcW w:type="dxa" w:w="19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20%</w:t>
            </w:r>
          </w:p>
        </w:tc>
        <w:tc>
          <w:tcPr>
            <w:tcW w:type="dxa" w:w="30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5</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Gate 1 · Knowledge and White Paper</w:t>
      </w:r>
    </w:p>
    <w:p>
      <w:pPr>
        <w:spacing w:after="150" w:before="0" w:line="292"/>
      </w:pPr>
      <w:r>
        <w:rPr>
          <w:rFonts w:ascii="Calibri" w:cs="Calibri" w:eastAsia="Calibri" w:hAnsi="Calibri"/>
          <w:b w:val="false"/>
          <w:bCs w:val="false"/>
          <w:i w:val="false"/>
          <w:iCs w:val="false"/>
          <w:color w:val="2E3B4B"/>
          <w:sz w:val="22"/>
          <w:szCs w:val="22"/>
        </w:rPr>
        <w:t xml:space="preserve">Two parts: a comprehensive knowledge exam and an original 3,000-word evidence-based white paper. The candidate passes at 95%. Correct answers are marked with a check and shown in green in this assessor edition.</w:t>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11 · Facilitator Training Pedagogy</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1.  </w:t>
      </w:r>
      <w:r>
        <w:rPr>
          <w:rFonts w:ascii="Calibri" w:cs="Calibri" w:eastAsia="Calibri" w:hAnsi="Calibri"/>
          <w:b/>
          <w:bCs/>
          <w:i w:val="false"/>
          <w:iCs w:val="false"/>
          <w:color w:val="0E1726"/>
          <w:sz w:val="20"/>
          <w:szCs w:val="20"/>
        </w:rPr>
        <w:t xml:space="preserve">Teaching a facilitator differs from teaching a technician mainly because you are developing:</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Faster hands</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Judgment, not procedure</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Memorization</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Compliance</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2.  </w:t>
      </w:r>
      <w:r>
        <w:rPr>
          <w:rFonts w:ascii="Calibri" w:cs="Calibri" w:eastAsia="Calibri" w:hAnsi="Calibri"/>
          <w:b/>
          <w:bCs/>
          <w:i w:val="false"/>
          <w:iCs w:val="false"/>
          <w:color w:val="0E1726"/>
          <w:sz w:val="20"/>
          <w:szCs w:val="20"/>
        </w:rPr>
        <w:t xml:space="preserve">The “expert's curse”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Knowing too little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Your own mastery making you skip the steps a learner needs</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Teaching too slowly</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Overpreparing</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3.  </w:t>
      </w:r>
      <w:r>
        <w:rPr>
          <w:rFonts w:ascii="Calibri" w:cs="Calibri" w:eastAsia="Calibri" w:hAnsi="Calibri"/>
          <w:b/>
          <w:bCs/>
          <w:i w:val="false"/>
          <w:iCs w:val="false"/>
          <w:color w:val="0E1726"/>
          <w:sz w:val="20"/>
          <w:szCs w:val="20"/>
        </w:rPr>
        <w:t xml:space="preserve">The core delivery pattern for a judgment skill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Lecture and test</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Teach, model, practice, reflect</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Watch and copy</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Read and quiz</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4.  </w:t>
      </w:r>
      <w:r>
        <w:rPr>
          <w:rFonts w:ascii="Calibri" w:cs="Calibri" w:eastAsia="Calibri" w:hAnsi="Calibri"/>
          <w:b/>
          <w:bCs/>
          <w:i w:val="false"/>
          <w:iCs w:val="false"/>
          <w:color w:val="0E1726"/>
          <w:sz w:val="20"/>
          <w:szCs w:val="20"/>
        </w:rPr>
        <w:t xml:space="preserve">When assessing another facilitator, you measure them against:</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Your personal style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The defined standard</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How much they remind you of yourself</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Their tenure</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5.  </w:t>
      </w:r>
      <w:r>
        <w:rPr>
          <w:rFonts w:ascii="Calibri" w:cs="Calibri" w:eastAsia="Calibri" w:hAnsi="Calibri"/>
          <w:b/>
          <w:bCs/>
          <w:i w:val="false"/>
          <w:iCs w:val="false"/>
          <w:color w:val="0E1726"/>
          <w:sz w:val="20"/>
          <w:szCs w:val="20"/>
        </w:rPr>
        <w:t xml:space="preserve">Certifying a facilitator who coaches through a gate is especially dangerous because:</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It wastes time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They will replicate that error with everyone they certify</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It looks bad</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It is against policy only</w:t>
      </w:r>
      <w:r>
        <w:rPr>
          <w:rFonts w:ascii="Calibri" w:cs="Calibri" w:eastAsia="Calibri" w:hAnsi="Calibri"/>
          <w:b w:val="false"/>
          <w:bCs w:val="false"/>
          <w:i w:val="false"/>
          <w:iCs w:val="false"/>
          <w:color w:val="2E3B4B"/>
          <w:sz w:val="22"/>
          <w:szCs w:val="22"/>
        </w:rPr>
        <w:t xml:space="preserve"/>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12 · Curriculum Development</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6.  </w:t>
      </w:r>
      <w:r>
        <w:rPr>
          <w:rFonts w:ascii="Calibri" w:cs="Calibri" w:eastAsia="Calibri" w:hAnsi="Calibri"/>
          <w:b/>
          <w:bCs/>
          <w:i w:val="false"/>
          <w:iCs w:val="false"/>
          <w:color w:val="0E1726"/>
          <w:sz w:val="20"/>
          <w:szCs w:val="20"/>
        </w:rPr>
        <w:t xml:space="preserve">Sound curriculum design begins from:</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What is easy to write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The competency the learner must reach, designed backward</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The trainer's preference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Existing slides</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7.  </w:t>
      </w:r>
      <w:r>
        <w:rPr>
          <w:rFonts w:ascii="Calibri" w:cs="Calibri" w:eastAsia="Calibri" w:hAnsi="Calibri"/>
          <w:b/>
          <w:bCs/>
          <w:i w:val="false"/>
          <w:iCs w:val="false"/>
          <w:color w:val="0E1726"/>
          <w:sz w:val="20"/>
          <w:szCs w:val="20"/>
        </w:rPr>
        <w:t xml:space="preserve">When you develop new curriculum content, the belt gates and thresholds are:</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Adjusted to fit the content</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Held fixed; you build around them</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Optional</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Set by each author</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8.  </w:t>
      </w:r>
      <w:r>
        <w:rPr>
          <w:rFonts w:ascii="Calibri" w:cs="Calibri" w:eastAsia="Calibri" w:hAnsi="Calibri"/>
          <w:b/>
          <w:bCs/>
          <w:i w:val="false"/>
          <w:iCs w:val="false"/>
          <w:color w:val="0E1726"/>
          <w:sz w:val="20"/>
          <w:szCs w:val="20"/>
        </w:rPr>
        <w:t xml:space="preserve">A good assessment item measures: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Recall of trivia</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The actual competency, at the right level</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Reading speed</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Confidence</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9.  </w:t>
      </w:r>
      <w:r>
        <w:rPr>
          <w:rFonts w:ascii="Calibri" w:cs="Calibri" w:eastAsia="Calibri" w:hAnsi="Calibri"/>
          <w:b/>
          <w:bCs/>
          <w:i w:val="false"/>
          <w:iCs w:val="false"/>
          <w:color w:val="0E1726"/>
          <w:sz w:val="20"/>
          <w:szCs w:val="20"/>
        </w:rPr>
        <w:t xml:space="preserve">New curriculum should be validated by:</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One author's judgment</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Evidence that it produces the intended competency</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Popularity</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Length</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10.  </w:t>
      </w:r>
      <w:r>
        <w:rPr>
          <w:rFonts w:ascii="Calibri" w:cs="Calibri" w:eastAsia="Calibri" w:hAnsi="Calibri"/>
          <w:b/>
          <w:bCs/>
          <w:i w:val="false"/>
          <w:iCs w:val="false"/>
          <w:color w:val="0E1726"/>
          <w:sz w:val="20"/>
          <w:szCs w:val="20"/>
        </w:rPr>
        <w:t xml:space="preserve">Contributing content to the SBD curriculum is how you:</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Bypass the standard</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Improve the system for every facility, not just yours</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Lower the bar locally</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Avoid review</w:t>
      </w:r>
      <w:r>
        <w:rPr>
          <w:rFonts w:ascii="Calibri" w:cs="Calibri" w:eastAsia="Calibri" w:hAnsi="Calibri"/>
          <w:b w:val="false"/>
          <w:bCs w:val="false"/>
          <w:i w:val="false"/>
          <w:iCs w:val="false"/>
          <w:color w:val="2E3B4B"/>
          <w:sz w:val="22"/>
          <w:szCs w:val="22"/>
        </w:rPr>
        <w:t xml:space="preserve"/>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13 · System Administration</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11.  </w:t>
      </w:r>
      <w:r>
        <w:rPr>
          <w:rFonts w:ascii="Calibri" w:cs="Calibri" w:eastAsia="Calibri" w:hAnsi="Calibri"/>
          <w:b/>
          <w:bCs/>
          <w:i w:val="false"/>
          <w:iCs w:val="false"/>
          <w:color w:val="0E1726"/>
          <w:sz w:val="20"/>
          <w:szCs w:val="20"/>
        </w:rPr>
        <w:t xml:space="preserve">The principle of least privilege means: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Everyone gets full access</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Each person gets exactly the access their role requires</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Access is never removed</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Only you have access</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12.  </w:t>
      </w:r>
      <w:r>
        <w:rPr>
          <w:rFonts w:ascii="Calibri" w:cs="Calibri" w:eastAsia="Calibri" w:hAnsi="Calibri"/>
          <w:b/>
          <w:bCs/>
          <w:i w:val="false"/>
          <w:iCs w:val="false"/>
          <w:color w:val="0E1726"/>
          <w:sz w:val="20"/>
          <w:szCs w:val="20"/>
        </w:rPr>
        <w:t xml:space="preserve">The most-forgotten access step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Granting access</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Removing access when a role changes or a person leaves</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Logging in</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Setting a password</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13.  </w:t>
      </w:r>
      <w:r>
        <w:rPr>
          <w:rFonts w:ascii="Calibri" w:cs="Calibri" w:eastAsia="Calibri" w:hAnsi="Calibri"/>
          <w:b/>
          <w:bCs/>
          <w:i w:val="false"/>
          <w:iCs w:val="false"/>
          <w:color w:val="0E1726"/>
          <w:sz w:val="20"/>
          <w:szCs w:val="20"/>
        </w:rPr>
        <w:t xml:space="preserve">Facility configuration may set local structure but must never:</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Name the facility</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B)  </w:t>
      </w:r>
      <w:r>
        <w:rPr>
          <w:rFonts w:ascii="Calibri" w:cs="Calibri" w:eastAsia="Calibri" w:hAnsi="Calibri"/>
          <w:b w:val="false"/>
          <w:bCs w:val="false"/>
          <w:i w:val="false"/>
          <w:iCs w:val="false"/>
          <w:color w:val="2E3B4B"/>
          <w:sz w:val="18"/>
          <w:szCs w:val="18"/>
        </w:rPr>
        <w:t xml:space="preserve">Assign roles</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C)  </w:t>
      </w:r>
      <w:r>
        <w:rPr>
          <w:rFonts w:ascii="Calibri" w:cs="Calibri" w:eastAsia="Calibri" w:hAnsi="Calibri"/>
          <w:b/>
          <w:bCs/>
          <w:i w:val="false"/>
          <w:iCs w:val="false"/>
          <w:color w:val="1C5C30"/>
          <w:sz w:val="18"/>
          <w:szCs w:val="18"/>
        </w:rPr>
        <w:t xml:space="preserve">Lower a gate or threshold</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Designate champions</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14.  </w:t>
      </w:r>
      <w:r>
        <w:rPr>
          <w:rFonts w:ascii="Calibri" w:cs="Calibri" w:eastAsia="Calibri" w:hAnsi="Calibri"/>
          <w:b/>
          <w:bCs/>
          <w:i w:val="false"/>
          <w:iCs w:val="false"/>
          <w:color w:val="0E1726"/>
          <w:sz w:val="20"/>
          <w:szCs w:val="20"/>
        </w:rPr>
        <w:t xml:space="preserve">Clean data must be accurate, complete, timely, and:</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Colorful</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Attributable</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Compressed</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Hidden</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15.  </w:t>
      </w:r>
      <w:r>
        <w:rPr>
          <w:rFonts w:ascii="Calibri" w:cs="Calibri" w:eastAsia="Calibri" w:hAnsi="Calibri"/>
          <w:b/>
          <w:bCs/>
          <w:i w:val="false"/>
          <w:iCs w:val="false"/>
          <w:color w:val="0E1726"/>
          <w:sz w:val="20"/>
          <w:szCs w:val="20"/>
        </w:rPr>
        <w:t xml:space="preserve">A duplicate learner record is dangerous because it:</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Uses storage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Splits a learner's data so no record is complete</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Looks untidy</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Slows logins</w:t>
      </w:r>
      <w:r>
        <w:rPr>
          <w:rFonts w:ascii="Calibri" w:cs="Calibri" w:eastAsia="Calibri" w:hAnsi="Calibri"/>
          <w:b w:val="false"/>
          <w:bCs w:val="false"/>
          <w:i w:val="false"/>
          <w:iCs w:val="false"/>
          <w:color w:val="2E3B4B"/>
          <w:sz w:val="22"/>
          <w:szCs w:val="22"/>
        </w:rPr>
        <w:t xml:space="preserve"/>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14 · Strategic Leadership &amp; Scaling</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16.  </w:t>
      </w:r>
      <w:r>
        <w:rPr>
          <w:rFonts w:ascii="Calibri" w:cs="Calibri" w:eastAsia="Calibri" w:hAnsi="Calibri"/>
          <w:b/>
          <w:bCs/>
          <w:i w:val="false"/>
          <w:iCs w:val="false"/>
          <w:color w:val="0E1726"/>
          <w:sz w:val="20"/>
          <w:szCs w:val="20"/>
        </w:rPr>
        <w:t xml:space="preserve">“Coherence without uniformity” means: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Every facility runs an identical path</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One common standard, with locally tailored paths</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No standard at all</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Each facility sets its own standard</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17.  </w:t>
      </w:r>
      <w:r>
        <w:rPr>
          <w:rFonts w:ascii="Calibri" w:cs="Calibri" w:eastAsia="Calibri" w:hAnsi="Calibri"/>
          <w:b/>
          <w:bCs/>
          <w:i w:val="false"/>
          <w:iCs w:val="false"/>
          <w:color w:val="0E1726"/>
          <w:sz w:val="20"/>
          <w:szCs w:val="20"/>
        </w:rPr>
        <w:t xml:space="preserve">In front of executives, the common failure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Speaking strategy</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Talking operations to people who think in strategy</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Being too brief</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Using their language</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18.  </w:t>
      </w:r>
      <w:r>
        <w:rPr>
          <w:rFonts w:ascii="Calibri" w:cs="Calibri" w:eastAsia="Calibri" w:hAnsi="Calibri"/>
          <w:b/>
          <w:bCs/>
          <w:i w:val="false"/>
          <w:iCs w:val="false"/>
          <w:color w:val="0E1726"/>
          <w:sz w:val="20"/>
          <w:szCs w:val="20"/>
        </w:rPr>
        <w:t xml:space="preserve">An advisor, unlike a seller, is willing to:</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Promise anything</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Tell leadership the hard truth</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Avoid conflict</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Inflate the model</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19.  </w:t>
      </w:r>
      <w:r>
        <w:rPr>
          <w:rFonts w:ascii="Calibri" w:cs="Calibri" w:eastAsia="Calibri" w:hAnsi="Calibri"/>
          <w:b/>
          <w:bCs/>
          <w:i w:val="false"/>
          <w:iCs w:val="false"/>
          <w:color w:val="0E1726"/>
          <w:sz w:val="20"/>
          <w:szCs w:val="20"/>
        </w:rPr>
        <w:t xml:space="preserve">Outcome models should be:</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Maximally optimistic</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Conservative, with assumptions stated openly</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Vague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Hidden from leadership</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20.  </w:t>
      </w:r>
      <w:r>
        <w:rPr>
          <w:rFonts w:ascii="Calibri" w:cs="Calibri" w:eastAsia="Calibri" w:hAnsi="Calibri"/>
          <w:b/>
          <w:bCs/>
          <w:i w:val="false"/>
          <w:iCs w:val="false"/>
          <w:color w:val="0E1726"/>
          <w:sz w:val="20"/>
          <w:szCs w:val="20"/>
        </w:rPr>
        <w:t xml:space="preserve">At enterprise scale, the greatest danger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Moving too slowly</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Trading rigor for reach</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Too much data</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Too many facilitators</w:t>
      </w:r>
      <w:r>
        <w:rPr>
          <w:rFonts w:ascii="Calibri" w:cs="Calibri" w:eastAsia="Calibri" w:hAnsi="Calibri"/>
          <w:b w:val="false"/>
          <w:bCs w:val="false"/>
          <w:i w:val="false"/>
          <w:iCs w:val="false"/>
          <w:color w:val="2E3B4B"/>
          <w:sz w:val="22"/>
          <w:szCs w:val="22"/>
        </w:rPr>
        <w:t xml:space="preserve"/>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Module 15 · Research &amp; Evidence-Based Practice</w:t>
      </w:r>
    </w:p>
    <w:p>
      <w:pPr>
        <w:spacing w:after="120"/>
      </w:pPr>
      <w:r>
        <w:rPr>
          <w:rFonts w:ascii="Calibri" w:cs="Calibri" w:eastAsia="Calibri" w:hAnsi="Calibri"/>
          <w:b w:val="false"/>
          <w:bCs w:val="false"/>
          <w:i/>
          <w:iCs/>
          <w:color w:val="6B7B8C"/>
          <w:sz w:val="19"/>
          <w:szCs w:val="19"/>
        </w:rPr>
        <w:t xml:space="preserve">5 items</w:t>
      </w:r>
    </w:p>
    <w:p>
      <w:pPr>
        <w:spacing w:after="40" w:before="120"/>
      </w:pPr>
      <w:r>
        <w:rPr>
          <w:rFonts w:ascii="Calibri" w:cs="Calibri" w:eastAsia="Calibri" w:hAnsi="Calibri"/>
          <w:b/>
          <w:bCs/>
          <w:i w:val="false"/>
          <w:iCs w:val="false"/>
          <w:color w:val="8A5A2B"/>
          <w:sz w:val="20"/>
          <w:szCs w:val="20"/>
        </w:rPr>
        <w:t xml:space="preserve">21.  </w:t>
      </w:r>
      <w:r>
        <w:rPr>
          <w:rFonts w:ascii="Calibri" w:cs="Calibri" w:eastAsia="Calibri" w:hAnsi="Calibri"/>
          <w:b/>
          <w:bCs/>
          <w:i w:val="false"/>
          <w:iCs w:val="false"/>
          <w:color w:val="0E1726"/>
          <w:sz w:val="20"/>
          <w:szCs w:val="20"/>
        </w:rPr>
        <w:t xml:space="preserve">Evidence differs from tradition in that evidence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Older</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Supported by systematic data others could check</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More popular</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Recommended by a vendor</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22.  </w:t>
      </w:r>
      <w:r>
        <w:rPr>
          <w:rFonts w:ascii="Calibri" w:cs="Calibri" w:eastAsia="Calibri" w:hAnsi="Calibri"/>
          <w:b/>
          <w:bCs/>
          <w:i w:val="false"/>
          <w:iCs w:val="false"/>
          <w:color w:val="0E1726"/>
          <w:sz w:val="20"/>
          <w:szCs w:val="20"/>
        </w:rPr>
        <w:t xml:space="preserve">A sound research question is specific, measurable, and:</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Impressive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Answerable with real data</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Broad</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Rhetorical</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23.  </w:t>
      </w:r>
      <w:r>
        <w:rPr>
          <w:rFonts w:ascii="Calibri" w:cs="Calibri" w:eastAsia="Calibri" w:hAnsi="Calibri"/>
          <w:b/>
          <w:bCs/>
          <w:i w:val="false"/>
          <w:iCs w:val="false"/>
          <w:color w:val="0E1726"/>
          <w:sz w:val="20"/>
          <w:szCs w:val="20"/>
        </w:rPr>
        <w:t xml:space="preserve">The biggest danger in your own improvement research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Too much data</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Wanting it to work and reading data to fit</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Slow analysis</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Small samples only</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24.  </w:t>
      </w:r>
      <w:r>
        <w:rPr>
          <w:rFonts w:ascii="Calibri" w:cs="Calibri" w:eastAsia="Calibri" w:hAnsi="Calibri"/>
          <w:b/>
          <w:bCs/>
          <w:i w:val="false"/>
          <w:iCs w:val="false"/>
          <w:color w:val="0E1726"/>
          <w:sz w:val="20"/>
          <w:szCs w:val="20"/>
        </w:rPr>
        <w:t xml:space="preserve">When judging a research claim, you first ask:</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Is it long?</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Who produced it and what interest do they have?</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Is it recent?</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Is it famous?</w:t>
      </w:r>
      <w:r>
        <w:rPr>
          <w:rFonts w:ascii="Calibri" w:cs="Calibri" w:eastAsia="Calibri" w:hAnsi="Calibri"/>
          <w:b w:val="false"/>
          <w:bCs w:val="false"/>
          <w:i w:val="false"/>
          <w:iCs w:val="false"/>
          <w:color w:val="2E3B4B"/>
          <w:sz w:val="22"/>
          <w:szCs w:val="22"/>
        </w:rPr>
        <w:t xml:space="preserve"/>
      </w:r>
    </w:p>
    <w:p>
      <w:pPr>
        <w:spacing w:after="40" w:before="120"/>
      </w:pPr>
      <w:r>
        <w:rPr>
          <w:rFonts w:ascii="Calibri" w:cs="Calibri" w:eastAsia="Calibri" w:hAnsi="Calibri"/>
          <w:b/>
          <w:bCs/>
          <w:i w:val="false"/>
          <w:iCs w:val="false"/>
          <w:color w:val="8A5A2B"/>
          <w:sz w:val="20"/>
          <w:szCs w:val="20"/>
        </w:rPr>
        <w:t xml:space="preserve">25.  </w:t>
      </w:r>
      <w:r>
        <w:rPr>
          <w:rFonts w:ascii="Calibri" w:cs="Calibri" w:eastAsia="Calibri" w:hAnsi="Calibri"/>
          <w:b/>
          <w:bCs/>
          <w:i w:val="false"/>
          <w:iCs w:val="false"/>
          <w:color w:val="0E1726"/>
          <w:sz w:val="20"/>
          <w:szCs w:val="20"/>
        </w:rPr>
        <w:t xml:space="preserve">When contributing to the field, your essential currency is:</w:t>
      </w:r>
    </w:p>
    <w:p>
      <w:pPr>
        <w:spacing w:after="26"/>
        <w:ind w:left="360"/>
      </w:pPr>
      <w:r>
        <w:rPr>
          <w:rFonts w:ascii="Calibri" w:cs="Calibri" w:eastAsia="Calibri" w:hAnsi="Calibri"/>
          <w:b/>
          <w:bCs/>
          <w:i w:val="false"/>
          <w:iCs w:val="false"/>
          <w:color w:val="2E3B4B"/>
          <w:sz w:val="18"/>
          <w:szCs w:val="18"/>
        </w:rPr>
        <w:t xml:space="preserve">A)  </w:t>
      </w:r>
      <w:r>
        <w:rPr>
          <w:rFonts w:ascii="Calibri" w:cs="Calibri" w:eastAsia="Calibri" w:hAnsi="Calibri"/>
          <w:b w:val="false"/>
          <w:bCs w:val="false"/>
          <w:i w:val="false"/>
          <w:iCs w:val="false"/>
          <w:color w:val="2E3B4B"/>
          <w:sz w:val="18"/>
          <w:szCs w:val="18"/>
        </w:rPr>
        <w:t xml:space="preserve">Impressiveness</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1C5C30"/>
          <w:sz w:val="18"/>
          <w:szCs w:val="18"/>
        </w:rPr>
        <w:t xml:space="preserve">B)  </w:t>
      </w:r>
      <w:r>
        <w:rPr>
          <w:rFonts w:ascii="Calibri" w:cs="Calibri" w:eastAsia="Calibri" w:hAnsi="Calibri"/>
          <w:b/>
          <w:bCs/>
          <w:i w:val="false"/>
          <w:iCs w:val="false"/>
          <w:color w:val="1C5C30"/>
          <w:sz w:val="18"/>
          <w:szCs w:val="18"/>
        </w:rPr>
        <w:t xml:space="preserve">Credibility, reporting honestly including limits</w:t>
      </w:r>
      <w:r>
        <w:rPr>
          <w:rFonts w:ascii="Calibri" w:cs="Calibri" w:eastAsia="Calibri" w:hAnsi="Calibri"/>
          <w:b/>
          <w:bCs/>
          <w:i w:val="false"/>
          <w:iCs w:val="false"/>
          <w:color w:val="1C5C30"/>
          <w:sz w:val="18"/>
          <w:szCs w:val="18"/>
        </w:rPr>
        <w:t xml:space="preserve">   ✓</w:t>
      </w:r>
    </w:p>
    <w:p>
      <w:pPr>
        <w:spacing w:after="26"/>
        <w:ind w:left="360"/>
      </w:pPr>
      <w:r>
        <w:rPr>
          <w:rFonts w:ascii="Calibri" w:cs="Calibri" w:eastAsia="Calibri" w:hAnsi="Calibri"/>
          <w:b/>
          <w:bCs/>
          <w:i w:val="false"/>
          <w:iCs w:val="false"/>
          <w:color w:val="2E3B4B"/>
          <w:sz w:val="18"/>
          <w:szCs w:val="18"/>
        </w:rPr>
        <w:t xml:space="preserve">C)  </w:t>
      </w:r>
      <w:r>
        <w:rPr>
          <w:rFonts w:ascii="Calibri" w:cs="Calibri" w:eastAsia="Calibri" w:hAnsi="Calibri"/>
          <w:b w:val="false"/>
          <w:bCs w:val="false"/>
          <w:i w:val="false"/>
          <w:iCs w:val="false"/>
          <w:color w:val="2E3B4B"/>
          <w:sz w:val="18"/>
          <w:szCs w:val="18"/>
        </w:rPr>
        <w:t xml:space="preserve">Volume</w:t>
      </w:r>
      <w:r>
        <w:rPr>
          <w:rFonts w:ascii="Calibri" w:cs="Calibri" w:eastAsia="Calibri" w:hAnsi="Calibri"/>
          <w:b w:val="false"/>
          <w:bCs w:val="false"/>
          <w:i w:val="false"/>
          <w:iCs w:val="false"/>
          <w:color w:val="2E3B4B"/>
          <w:sz w:val="22"/>
          <w:szCs w:val="22"/>
        </w:rPr>
        <w:t xml:space="preserve"/>
      </w:r>
    </w:p>
    <w:p>
      <w:pPr>
        <w:spacing w:after="26"/>
        <w:ind w:left="360"/>
      </w:pPr>
      <w:r>
        <w:rPr>
          <w:rFonts w:ascii="Calibri" w:cs="Calibri" w:eastAsia="Calibri" w:hAnsi="Calibri"/>
          <w:b/>
          <w:bCs/>
          <w:i w:val="false"/>
          <w:iCs w:val="false"/>
          <w:color w:val="2E3B4B"/>
          <w:sz w:val="18"/>
          <w:szCs w:val="18"/>
        </w:rPr>
        <w:t xml:space="preserve">D)  </w:t>
      </w:r>
      <w:r>
        <w:rPr>
          <w:rFonts w:ascii="Calibri" w:cs="Calibri" w:eastAsia="Calibri" w:hAnsi="Calibri"/>
          <w:b w:val="false"/>
          <w:bCs w:val="false"/>
          <w:i w:val="false"/>
          <w:iCs w:val="false"/>
          <w:color w:val="2E3B4B"/>
          <w:sz w:val="18"/>
          <w:szCs w:val="18"/>
        </w:rPr>
        <w:t xml:space="preserve">Speed</w:t>
      </w:r>
      <w:r>
        <w:rPr>
          <w:rFonts w:ascii="Calibri" w:cs="Calibri" w:eastAsia="Calibri" w:hAnsi="Calibri"/>
          <w:b w:val="false"/>
          <w:bCs w:val="false"/>
          <w:i w:val="false"/>
          <w:iCs w:val="false"/>
          <w:color w:val="2E3B4B"/>
          <w:sz w:val="22"/>
          <w:szCs w:val="22"/>
        </w:rPr>
        <w:t xml:space="preserve"/>
      </w:r>
    </w:p>
    <w:p>
      <w:pPr>
        <w:shd w:fill="0E1726" w:color="auto" w:val="clear"/>
        <w:spacing w:after="20" w:before="120"/>
        <w:ind w:left="160" w:right="160"/>
      </w:pPr>
      <w:r>
        <w:rPr>
          <w:rFonts w:ascii="Georgia" w:cs="Georgia" w:eastAsia="Georgia" w:hAnsi="Georgia"/>
          <w:b/>
          <w:bCs/>
          <w:i w:val="false"/>
          <w:iCs w:val="false"/>
          <w:color w:val="FFFFFF"/>
          <w:sz w:val="23"/>
          <w:szCs w:val="23"/>
        </w:rPr>
        <w:t xml:space="preserve">Gate 1 · Part 2 · The white paper</w:t>
      </w:r>
    </w:p>
    <w:p>
      <w:pPr>
        <w:spacing w:after="60"/>
      </w:pPr>
      <w:r>
        <w:rPr>
          <w:rFonts w:ascii="Calibri" w:cs="Calibri" w:eastAsia="Calibri" w:hAnsi="Calibri"/>
          <w:b w:val="false"/>
          <w:bCs w:val="false"/>
          <w:i w:val="false"/>
          <w:iCs w:val="false"/>
          <w:color w:val="2E3B4B"/>
          <w:sz w:val="22"/>
          <w:szCs w:val="22"/>
        </w:rPr>
        <w:t xml:space="preserve"/>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White-paper brief (given to the candidate).</w:t>
            </w:r>
          </w:p>
          <w:p>
            <w:pPr>
              <w:spacing w:after="100" w:before="0" w:line="284"/>
            </w:pPr>
            <w:r>
              <w:rPr>
                <w:rFonts w:ascii="Calibri" w:cs="Calibri" w:eastAsia="Calibri" w:hAnsi="Calibri"/>
                <w:b w:val="false"/>
                <w:bCs w:val="false"/>
                <w:i w:val="false"/>
                <w:iCs w:val="false"/>
                <w:color w:val="2E3B4B"/>
                <w:sz w:val="22"/>
                <w:szCs w:val="22"/>
              </w:rPr>
              <w:t xml:space="preserve">Produce an original evidence-based white paper of approximately 3,000 words on a real question in sterile-processing competency development, grounded in your own program's data. State a clear question, establish a baseline, present your evidence and analysis, address limitations honestly, and make a defensible recommendation for practice.</w:t>
            </w:r>
          </w:p>
        </w:tc>
      </w:tr>
    </w:tbl>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7940"/>
        <w:gridCol w:w="1900"/>
      </w:tblGrid>
      <w:tr>
        <w:trPr>
          <w:tblHeader/>
        </w:trPr>
        <w:tc>
          <w:tcPr>
            <w:tcW w:type="dxa" w:w="79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A passing response demonstrates...</w:t>
            </w:r>
          </w:p>
        </w:tc>
        <w:tc>
          <w:tcPr>
            <w:tcW w:type="dxa" w:w="1900"/>
            <w:shd w:fill="1E2761" w:color="auto" w:val="clear"/>
            <w:tcMar>
              <w:top w:type="dxa" w:w="80"/>
              <w:left w:type="dxa" w:w="130"/>
              <w:bottom w:type="dxa" w:w="80"/>
              <w:right w:type="dxa" w:w="130"/>
            </w:tcMar>
          </w:tcPr>
          <w:p>
            <w:pPr>
              <w:jc w:val="center"/>
            </w:pPr>
            <w:r>
              <w:rPr>
                <w:rFonts w:ascii="Calibri" w:cs="Calibri" w:eastAsia="Calibri" w:hAnsi="Calibri"/>
                <w:b/>
                <w:bCs/>
                <w:i w:val="false"/>
                <w:iCs w:val="false"/>
                <w:color w:val="FFFFFF"/>
                <w:sz w:val="19"/>
                <w:szCs w:val="19"/>
              </w:rPr>
              <w:t xml:space="preserve">Pts</w:t>
            </w:r>
          </w:p>
        </w:tc>
      </w:tr>
      <w:tr>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Poses a specific, answerable question grounded in real competency work</w:t>
            </w:r>
          </w:p>
        </w:tc>
        <w:tc>
          <w:tcPr>
            <w:tcW w:type="dxa" w:w="19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Establishes a baseline and presents evidence, not assertion</w:t>
            </w:r>
          </w:p>
        </w:tc>
        <w:tc>
          <w:tcPr>
            <w:tcW w:type="dxa" w:w="19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Analyzes honestly, stating limitations and confounders rather than hiding them</w:t>
            </w:r>
          </w:p>
        </w:tc>
        <w:tc>
          <w:tcPr>
            <w:tcW w:type="dxa" w:w="19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25</w:t>
            </w:r>
          </w:p>
        </w:tc>
      </w:tr>
      <w:tr>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Draws a recommendation the evidence actually supports, without overclaiming</w:t>
            </w:r>
          </w:p>
        </w:tc>
        <w:tc>
          <w:tcPr>
            <w:tcW w:type="dxa" w:w="19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Is written to a professional standard a peer could learn from and scrutinize</w:t>
            </w:r>
          </w:p>
        </w:tc>
        <w:tc>
          <w:tcPr>
            <w:tcW w:type="dxa" w:w="19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15</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Gate 2 · Training Delivery</w:t>
      </w:r>
    </w:p>
    <w:p>
      <w:pPr>
        <w:spacing w:after="150" w:before="0" w:line="292"/>
      </w:pPr>
      <w:r>
        <w:rPr>
          <w:rFonts w:ascii="Calibri" w:cs="Calibri" w:eastAsia="Calibri" w:hAnsi="Calibri"/>
          <w:b w:val="false"/>
          <w:bCs w:val="false"/>
          <w:i w:val="false"/>
          <w:iCs w:val="false"/>
          <w:color w:val="2E3B4B"/>
          <w:sz w:val="22"/>
          <w:szCs w:val="22"/>
        </w:rPr>
        <w:t xml:space="preserve">The candidate delivers a full facilitator-training session, developing and then assessing another facilitator, observed by a Master Facilitator. The candidate passes at 90%. The scoring guide follows. The candidate must both teach well and assess to the standard; failing either half fails the gate.</w:t>
      </w:r>
    </w:p>
    <w:p>
      <w:pPr>
        <w:pStyle w:val="Heading2"/>
        <w:spacing w:after="110" w:before="320"/>
      </w:pPr>
      <w:r>
        <w:rPr>
          <w:rFonts w:ascii="Calibri" w:cs="Calibri" w:eastAsia="Calibri" w:hAnsi="Calibri"/>
          <w:b/>
          <w:bCs/>
          <w:i w:val="false"/>
          <w:iCs w:val="false"/>
          <w:color w:val="0E1726"/>
          <w:sz w:val="27"/>
          <w:szCs w:val="27"/>
        </w:rPr>
        <w:t xml:space="preserve">The task given to the candidate</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Gate 2 brief.</w:t>
            </w:r>
          </w:p>
          <w:p>
            <w:pPr>
              <w:spacing w:after="100" w:before="0" w:line="284"/>
            </w:pPr>
            <w:r>
              <w:rPr>
                <w:rFonts w:ascii="Calibri" w:cs="Calibri" w:eastAsia="Calibri" w:hAnsi="Calibri"/>
                <w:b w:val="false"/>
                <w:bCs w:val="false"/>
                <w:i w:val="false"/>
                <w:iCs w:val="false"/>
                <w:color w:val="2E3B4B"/>
                <w:sz w:val="22"/>
                <w:szCs w:val="22"/>
              </w:rPr>
              <w:t xml:space="preserve">Design and deliver a training session that develops a specific facilitator competency in a real or role-played new facilitator, then assess whether they reached it. You will be observed on both the teaching and the assessment, and asked to justify your judgments afterward.</w:t>
            </w:r>
          </w:p>
        </w:tc>
      </w:tr>
    </w:tbl>
    <w:p>
      <w:pPr>
        <w:pStyle w:val="Heading2"/>
        <w:spacing w:after="110" w:before="320"/>
      </w:pPr>
      <w:r>
        <w:rPr>
          <w:rFonts w:ascii="Calibri" w:cs="Calibri" w:eastAsia="Calibri" w:hAnsi="Calibri"/>
          <w:b/>
          <w:bCs/>
          <w:i w:val="false"/>
          <w:iCs w:val="false"/>
          <w:color w:val="0E1726"/>
          <w:sz w:val="27"/>
          <w:szCs w:val="27"/>
        </w:rPr>
        <w:t xml:space="preserve">Scoring guide</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7940"/>
        <w:gridCol w:w="1900"/>
      </w:tblGrid>
      <w:tr>
        <w:trPr>
          <w:tblHeader/>
        </w:trPr>
        <w:tc>
          <w:tcPr>
            <w:tcW w:type="dxa" w:w="79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A passing response demonstrates...</w:t>
            </w:r>
          </w:p>
        </w:tc>
        <w:tc>
          <w:tcPr>
            <w:tcW w:type="dxa" w:w="1900"/>
            <w:shd w:fill="1E2761" w:color="auto" w:val="clear"/>
            <w:tcMar>
              <w:top w:type="dxa" w:w="80"/>
              <w:left w:type="dxa" w:w="130"/>
              <w:bottom w:type="dxa" w:w="80"/>
              <w:right w:type="dxa" w:w="130"/>
            </w:tcMar>
          </w:tcPr>
          <w:p>
            <w:pPr>
              <w:jc w:val="center"/>
            </w:pPr>
            <w:r>
              <w:rPr>
                <w:rFonts w:ascii="Calibri" w:cs="Calibri" w:eastAsia="Calibri" w:hAnsi="Calibri"/>
                <w:b/>
                <w:bCs/>
                <w:i w:val="false"/>
                <w:iCs w:val="false"/>
                <w:color w:val="FFFFFF"/>
                <w:sz w:val="19"/>
                <w:szCs w:val="19"/>
              </w:rPr>
              <w:t xml:space="preserve">Pts</w:t>
            </w:r>
          </w:p>
        </w:tc>
      </w:tr>
      <w:tr>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Designs backward from a clear target competency</w:t>
            </w:r>
          </w:p>
        </w:tc>
        <w:tc>
          <w:tcPr>
            <w:tcW w:type="dxa" w:w="19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15</w:t>
            </w:r>
          </w:p>
        </w:tc>
      </w:tr>
      <w:tr>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Uses teach, model, practice, reflect, not lecture</w:t>
            </w:r>
          </w:p>
        </w:tc>
        <w:tc>
          <w:tcPr>
            <w:tcW w:type="dxa" w:w="19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Beats the expert's curse: surfaces the invisible steps for the learner</w:t>
            </w:r>
          </w:p>
        </w:tc>
        <w:tc>
          <w:tcPr>
            <w:tcW w:type="dxa" w:w="19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15</w:t>
            </w:r>
          </w:p>
        </w:tc>
      </w:tr>
      <w:tr>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Assesses the facilitator against the standard, not personal style</w:t>
            </w:r>
          </w:p>
        </w:tc>
        <w:tc>
          <w:tcPr>
            <w:tcW w:type="dxa" w:w="19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79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Correctly identifies whether the competency was reached, with evidence</w:t>
            </w:r>
          </w:p>
        </w:tc>
        <w:tc>
          <w:tcPr>
            <w:tcW w:type="dxa" w:w="19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79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Gives developmental feedback (SBI), honest and motivating</w:t>
            </w:r>
          </w:p>
        </w:tc>
        <w:tc>
          <w:tcPr>
            <w:tcW w:type="dxa" w:w="19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10</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Automatic-fail conditions for Gate 2.</w:t>
            </w:r>
          </w:p>
          <w:p>
            <w:pPr>
              <w:spacing w:after="100" w:before="0" w:line="284"/>
            </w:pPr>
            <w:r>
              <w:rPr>
                <w:rFonts w:ascii="Calibri" w:cs="Calibri" w:eastAsia="Calibri" w:hAnsi="Calibri"/>
                <w:b w:val="false"/>
                <w:bCs w:val="false"/>
                <w:i w:val="false"/>
                <w:iCs w:val="false"/>
                <w:color w:val="2E3B4B"/>
                <w:sz w:val="22"/>
                <w:szCs w:val="22"/>
              </w:rPr>
              <w:t xml:space="preserve">Regardless of total score, the candidate fails if they: teach the procedure while omitting the judgment (producing a mechanical facilitator), assess against their own style rather than the standard, or pass a facilitator who did not reach the competency. A Master Facilitator who cannot hold the line while teaching will not hold it while certifying.</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Gate 3 · Practicum and Capstone</w:t>
      </w:r>
    </w:p>
    <w:p>
      <w:pPr>
        <w:spacing w:after="150" w:before="0" w:line="292"/>
      </w:pPr>
      <w:r>
        <w:rPr>
          <w:rFonts w:ascii="Calibri" w:cs="Calibri" w:eastAsia="Calibri" w:hAnsi="Calibri"/>
          <w:b w:val="false"/>
          <w:bCs w:val="false"/>
          <w:i w:val="false"/>
          <w:iCs w:val="false"/>
          <w:color w:val="2E3B4B"/>
          <w:sz w:val="22"/>
          <w:szCs w:val="22"/>
        </w:rPr>
        <w:t xml:space="preserve">The terminal gate of the entire program: a six-month practicum in which the candidate does the real work of a Master Facilitator, followed by a capstone defense. The candidate passes at 95%. Automatic-fail conditions apply regardless of total score.</w:t>
      </w:r>
    </w:p>
    <w:p>
      <w:pPr>
        <w:pStyle w:val="Heading2"/>
        <w:spacing w:after="110" w:before="320"/>
      </w:pPr>
      <w:r>
        <w:rPr>
          <w:rFonts w:ascii="Calibri" w:cs="Calibri" w:eastAsia="Calibri" w:hAnsi="Calibri"/>
          <w:b/>
          <w:bCs/>
          <w:i w:val="false"/>
          <w:iCs w:val="false"/>
          <w:color w:val="0E1726"/>
          <w:sz w:val="27"/>
          <w:szCs w:val="27"/>
        </w:rPr>
        <w:t xml:space="preserve">The practicum</w:t>
      </w:r>
    </w:p>
    <w:p>
      <w:pPr>
        <w:spacing w:after="150" w:before="0" w:line="292"/>
      </w:pPr>
      <w:r>
        <w:rPr>
          <w:rFonts w:ascii="Calibri" w:cs="Calibri" w:eastAsia="Calibri" w:hAnsi="Calibri"/>
          <w:b w:val="false"/>
          <w:bCs w:val="false"/>
          <w:i w:val="false"/>
          <w:iCs w:val="false"/>
          <w:color w:val="2E3B4B"/>
          <w:sz w:val="22"/>
          <w:szCs w:val="22"/>
        </w:rPr>
        <w:t xml:space="preserve">Over six months, under Master Facilitator oversight, the candidate develops and certifies facilitators, leads at multi-facility or system scale, protects the standard and data integrity, advises leadership, and conducts a real improvement study. Performance is assessed continuously across the practicum, not in a single sitting.</w:t>
      </w:r>
    </w:p>
    <w:p>
      <w:pPr>
        <w:pStyle w:val="Heading2"/>
        <w:spacing w:after="110" w:before="320"/>
      </w:pPr>
      <w:r>
        <w:rPr>
          <w:rFonts w:ascii="Calibri" w:cs="Calibri" w:eastAsia="Calibri" w:hAnsi="Calibri"/>
          <w:b/>
          <w:bCs/>
          <w:i w:val="false"/>
          <w:iCs w:val="false"/>
          <w:color w:val="0E1726"/>
          <w:sz w:val="27"/>
          <w:szCs w:val="27"/>
        </w:rPr>
        <w:t xml:space="preserve">The capstone components</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3000"/>
        <w:gridCol w:w="5340"/>
        <w:gridCol w:w="1500"/>
      </w:tblGrid>
      <w:tr>
        <w:trPr>
          <w:tblHeader/>
        </w:trPr>
        <w:tc>
          <w:tcPr>
            <w:tcW w:type="dxa" w:w="300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Component</w:t>
            </w:r>
          </w:p>
        </w:tc>
        <w:tc>
          <w:tcPr>
            <w:tcW w:type="dxa" w:w="5340"/>
            <w:shd w:fill="0E1726"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What a pass looks like</w:t>
            </w:r>
          </w:p>
        </w:tc>
        <w:tc>
          <w:tcPr>
            <w:tcW w:type="dxa" w:w="1500"/>
            <w:shd w:fill="0E1726" w:color="auto" w:val="clear"/>
            <w:tcMar>
              <w:top w:type="dxa" w:w="80"/>
              <w:left w:type="dxa" w:w="130"/>
              <w:bottom w:type="dxa" w:w="80"/>
              <w:right w:type="dxa" w:w="130"/>
            </w:tcMar>
          </w:tcPr>
          <w:p>
            <w:pPr>
              <w:jc w:val="center"/>
            </w:pPr>
            <w:r>
              <w:rPr>
                <w:rFonts w:ascii="Calibri" w:cs="Calibri" w:eastAsia="Calibri" w:hAnsi="Calibri"/>
                <w:b/>
                <w:bCs/>
                <w:i w:val="false"/>
                <w:iCs w:val="false"/>
                <w:color w:val="FFFFFF"/>
                <w:sz w:val="19"/>
                <w:szCs w:val="19"/>
              </w:rPr>
              <w:t xml:space="preserve">Pts</w:t>
            </w:r>
          </w:p>
        </w:tc>
      </w:tr>
      <w:tr>
        <w:tc>
          <w:tcPr>
            <w:tcW w:type="dxa" w:w="30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Developing facilitators</w:t>
            </w:r>
          </w:p>
        </w:tc>
        <w:tc>
          <w:tcPr>
            <w:tcW w:type="dxa" w:w="53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Over the practicum, developed and fairly certified facilitators to the standard, with no soft passes.</w:t>
            </w:r>
          </w:p>
        </w:tc>
        <w:tc>
          <w:tcPr>
            <w:tcW w:type="dxa" w:w="15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25</w:t>
            </w:r>
          </w:p>
        </w:tc>
      </w:tr>
      <w:tr>
        <w:tc>
          <w:tcPr>
            <w:tcW w:type="dxa" w:w="30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Leading at scale</w:t>
            </w:r>
          </w:p>
        </w:tc>
        <w:tc>
          <w:tcPr>
            <w:tcW w:type="dxa" w:w="53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Held one standard across facilities; advised leadership credibly; protected rigor while scaling.</w:t>
            </w:r>
          </w:p>
        </w:tc>
        <w:tc>
          <w:tcPr>
            <w:tcW w:type="dxa" w:w="15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25</w:t>
            </w:r>
          </w:p>
        </w:tc>
      </w:tr>
      <w:tr>
        <w:tc>
          <w:tcPr>
            <w:tcW w:type="dxa" w:w="30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Standard &amp; data stewardship</w:t>
            </w:r>
          </w:p>
        </w:tc>
        <w:tc>
          <w:tcPr>
            <w:tcW w:type="dxa" w:w="53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Protected the standard and data integrity throughout; never bent a gate or configured a lowered standard.</w:t>
            </w:r>
          </w:p>
        </w:tc>
        <w:tc>
          <w:tcPr>
            <w:tcW w:type="dxa" w:w="15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20</w:t>
            </w:r>
          </w:p>
        </w:tc>
      </w:tr>
      <w:tr>
        <w:tc>
          <w:tcPr>
            <w:tcW w:type="dxa" w:w="30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Improvement study</w:t>
            </w:r>
          </w:p>
        </w:tc>
        <w:tc>
          <w:tcPr>
            <w:tcW w:type="dxa" w:w="53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Ran a real, honest improvement study and reported it credibly, limitations included.</w:t>
            </w:r>
          </w:p>
        </w:tc>
        <w:tc>
          <w:tcPr>
            <w:tcW w:type="dxa" w:w="1500"/>
            <w:shd w:fill="FFFFFF"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15</w:t>
            </w:r>
          </w:p>
        </w:tc>
      </w:tr>
      <w:tr>
        <w:tc>
          <w:tcPr>
            <w:tcW w:type="dxa" w:w="30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Capstone defense</w:t>
            </w:r>
          </w:p>
        </w:tc>
        <w:tc>
          <w:tcPr>
            <w:tcW w:type="dxa" w:w="53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Presented and defended the body of practicum work to a Master panel, answering challenge honestly.</w:t>
            </w:r>
          </w:p>
        </w:tc>
        <w:tc>
          <w:tcPr>
            <w:tcW w:type="dxa" w:w="1500"/>
            <w:shd w:fill="F4F6F9" w:color="auto" w:val="clear"/>
            <w:tcMar>
              <w:top w:type="dxa" w:w="80"/>
              <w:left w:type="dxa" w:w="130"/>
              <w:bottom w:type="dxa" w:w="80"/>
              <w:right w:type="dxa" w:w="130"/>
            </w:tcMar>
          </w:tcPr>
          <w:p>
            <w:pPr>
              <w:jc w:val="center"/>
            </w:pPr>
            <w:r>
              <w:rPr>
                <w:rFonts w:ascii="Calibri" w:cs="Calibri" w:eastAsia="Calibri" w:hAnsi="Calibri"/>
                <w:b/>
                <w:bCs/>
                <w:i w:val="false"/>
                <w:iCs w:val="false"/>
                <w:color w:val="1E2761"/>
                <w:sz w:val="20"/>
                <w:szCs w:val="20"/>
              </w:rPr>
              <w:t xml:space="preserve">15</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Automatic-fail conditions for the Master gate.</w:t>
            </w:r>
          </w:p>
          <w:p>
            <w:pPr>
              <w:spacing w:after="100" w:before="0" w:line="284"/>
            </w:pPr>
            <w:r>
              <w:rPr>
                <w:rFonts w:ascii="Calibri" w:cs="Calibri" w:eastAsia="Calibri" w:hAnsi="Calibri"/>
                <w:b w:val="false"/>
                <w:bCs w:val="false"/>
                <w:i w:val="false"/>
                <w:iCs w:val="false"/>
                <w:color w:val="2E3B4B"/>
                <w:sz w:val="22"/>
                <w:szCs w:val="22"/>
              </w:rPr>
              <w:t xml:space="preserve">Regardless of total score, the candidate fails if, at any point in the practicum, they: certify a facilitator who should have failed, bend or configure away any part of the standard, falsify or inflate study or program data, or defend a decision that traded rigor for reach. At the Master level these are not scored deductions; they are disqualifying, because a Master who does any of them replicates it across the whole system for years.</w:t>
            </w:r>
          </w:p>
        </w:tc>
      </w:tr>
    </w:tbl>
    <w:p>
      <w:pPr>
        <w:pStyle w:val="Heading2"/>
        <w:spacing w:after="110" w:before="320"/>
      </w:pPr>
      <w:r>
        <w:rPr>
          <w:rFonts w:ascii="Calibri" w:cs="Calibri" w:eastAsia="Calibri" w:hAnsi="Calibri"/>
          <w:b/>
          <w:bCs/>
          <w:i w:val="false"/>
          <w:iCs w:val="false"/>
          <w:color w:val="0E1726"/>
          <w:sz w:val="27"/>
          <w:szCs w:val="27"/>
        </w:rPr>
        <w:t xml:space="preserve">Scoring and outcome</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3600"/>
        <w:gridCol w:w="6240"/>
      </w:tblGrid>
      <w:tr>
        <w:trPr>
          <w:tblHeader/>
        </w:trPr>
        <w:tc>
          <w:tcPr>
            <w:tcW w:type="dxa" w:w="36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Total across the practicum &amp; capstone</w:t>
            </w:r>
          </w:p>
        </w:tc>
        <w:tc>
          <w:tcPr>
            <w:tcW w:type="dxa" w:w="62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Outcome</w:t>
            </w:r>
          </w:p>
        </w:tc>
      </w:tr>
      <w:tr>
        <w:tc>
          <w:tcPr>
            <w:tcW w:type="dxa" w:w="36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95% and above, no automatic-fail</w:t>
            </w:r>
          </w:p>
        </w:tc>
        <w:tc>
          <w:tcPr>
            <w:tcW w:type="dxa" w:w="62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Pass. Confer the Master Facilitator credential.</w:t>
            </w:r>
          </w:p>
        </w:tc>
      </w:tr>
      <w:tr>
        <w:tc>
          <w:tcPr>
            <w:tcW w:type="dxa" w:w="36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Below 95%, or any automatic-fail</w:t>
            </w:r>
          </w:p>
        </w:tc>
        <w:tc>
          <w:tcPr>
            <w:tcW w:type="dxa" w:w="62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Fail. Extended, mentored remediation, then re-defense of the affected work.</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Administration and remediation</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Mentored remediation. </w:t>
      </w:r>
      <w:r>
        <w:rPr>
          <w:rFonts w:ascii="Calibri" w:cs="Calibri" w:eastAsia="Calibri" w:hAnsi="Calibri"/>
          <w:b w:val="false"/>
          <w:bCs w:val="false"/>
          <w:i w:val="false"/>
          <w:iCs w:val="false"/>
          <w:color w:val="2E3B4B"/>
          <w:sz w:val="22"/>
          <w:szCs w:val="22"/>
        </w:rPr>
        <w:t xml:space="preserve">A Master-level failure is developmental, not disqualifying-for-life; remediation is substantial, mentored by a sitting Master Facilitator, and documented before any re-defense.</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Retake the affected component. </w:t>
      </w:r>
      <w:r>
        <w:rPr>
          <w:rFonts w:ascii="Calibri" w:cs="Calibri" w:eastAsia="Calibri" w:hAnsi="Calibri"/>
          <w:b w:val="false"/>
          <w:bCs w:val="false"/>
          <w:i w:val="false"/>
          <w:iCs w:val="false"/>
          <w:color w:val="2E3B4B"/>
          <w:sz w:val="22"/>
          <w:szCs w:val="22"/>
        </w:rPr>
        <w:t xml:space="preserve">A candidate who passes Gates 1 and 2 but falls short on one capstone component re-defends that component after remediation, not the entire practicum.</w:t>
      </w:r>
    </w:p>
    <w:p>
      <w:pPr>
        <w:pStyle w:val="ListParagraph"/>
        <w:numPr>
          <w:ilvl w:val="0"/>
          <w:numId w:val="2"/>
        </w:numPr>
        <w:spacing w:after="80" w:line="270"/>
      </w:pPr>
      <w:r>
        <w:rPr>
          <w:rFonts w:ascii="Calibri" w:cs="Calibri" w:eastAsia="Calibri" w:hAnsi="Calibri"/>
          <w:b/>
          <w:bCs/>
          <w:i w:val="false"/>
          <w:iCs w:val="false"/>
          <w:color w:val="0E1726"/>
          <w:sz w:val="22"/>
          <w:szCs w:val="22"/>
        </w:rPr>
        <w:t xml:space="preserve">The bar does not move. </w:t>
      </w:r>
      <w:r>
        <w:rPr>
          <w:rFonts w:ascii="Calibri" w:cs="Calibri" w:eastAsia="Calibri" w:hAnsi="Calibri"/>
          <w:b w:val="false"/>
          <w:bCs w:val="false"/>
          <w:i w:val="false"/>
          <w:iCs w:val="false"/>
          <w:color w:val="2E3B4B"/>
          <w:sz w:val="22"/>
          <w:szCs w:val="22"/>
        </w:rPr>
        <w:t xml:space="preserve">The 95% standard and the automatic-fail conditions are never relaxed to pass a candidate. The credential authorizes them to certify others; softening it defeats the purpose of the entire pathway.</w:t>
      </w:r>
    </w:p>
    <w:p>
      <w:pPr>
        <w:pStyle w:val="Heading2"/>
        <w:spacing w:after="110" w:before="320"/>
      </w:pPr>
      <w:r>
        <w:rPr>
          <w:rFonts w:ascii="Calibri" w:cs="Calibri" w:eastAsia="Calibri" w:hAnsi="Calibri"/>
          <w:b/>
          <w:bCs/>
          <w:i w:val="false"/>
          <w:iCs w:val="false"/>
          <w:color w:val="0E1726"/>
          <w:sz w:val="27"/>
          <w:szCs w:val="27"/>
        </w:rPr>
        <w:t xml:space="preserve">Producing the candidate edition</w:t>
      </w:r>
    </w:p>
    <w:p>
      <w:pPr>
        <w:spacing w:after="150" w:before="0" w:line="292"/>
      </w:pPr>
      <w:r>
        <w:rPr>
          <w:rFonts w:ascii="Calibri" w:cs="Calibri" w:eastAsia="Calibri" w:hAnsi="Calibri"/>
          <w:b w:val="false"/>
          <w:bCs w:val="false"/>
          <w:i w:val="false"/>
          <w:iCs w:val="false"/>
          <w:color w:val="2E3B4B"/>
          <w:sz w:val="22"/>
          <w:szCs w:val="22"/>
        </w:rPr>
        <w:t xml:space="preserve">The candidate edition of this document is identical with every answer mark, scoring guide, and rubric point value removed: Gate 1 shows the questions and the white-paper brief with no marks or guide; Gate 2 shows the brief and the automatic-fail conditions, not the scoring guide; Gate 3 shows the practicum expectations, capstone components, and automatic-fail conditions, but not the point weights. Keep this assessor edition secure.</w:t>
      </w:r>
    </w:p>
    <w:p>
      <w:pPr>
        <w:spacing w:before="220"/>
      </w:pPr>
      <w:r>
        <w:rPr>
          <w:rFonts w:ascii="Georgia" w:cs="Georgia" w:eastAsia="Georgia" w:hAnsi="Georgia"/>
          <w:b w:val="false"/>
          <w:bCs w:val="false"/>
          <w:i/>
          <w:iCs/>
          <w:color w:val="1E2761"/>
          <w:sz w:val="22"/>
          <w:szCs w:val="22"/>
        </w:rPr>
        <w:t xml:space="preserve">This completes the SBD Facilitator Certification pathway: three levels, fifteen modules, and nine gates, from a new facilitator's first day to the Master who carries the standard for everyone who follows.</w:t>
      </w:r>
    </w:p>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3 · Certification Gate Materials (Assessor Edition)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Assessor Edition · Contains Answer Keys · SIPS Healthcare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9A342A"/>
        <w:spacing w:val="16"/>
        <w:sz w:val="15"/>
        <w:szCs w:val="15"/>
      </w:rPr>
      <w:t xml:space="preserve">SBD WIP · Level 3 · Certification Gate Materials · ASSESSOR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Level 3 Gate Materials (Assessor Edition)</dc:title>
  <dc:creator>Jake Tayler Jacobs DBA, MBA, B.Ed.</dc:creator>
  <cp:lastModifiedBy>Un-named</cp:lastModifiedBy>
  <cp:revision>1</cp:revision>
  <dcterms:created xsi:type="dcterms:W3CDTF">2026-07-13T15:05:53.742Z</dcterms:created>
  <dcterms:modified xsi:type="dcterms:W3CDTF">2026-07-13T15:05:53.757Z</dcterms:modified>
</cp:coreProperties>
</file>

<file path=docProps/custom.xml><?xml version="1.0" encoding="utf-8"?>
<Properties xmlns="http://schemas.openxmlformats.org/officeDocument/2006/custom-properties" xmlns:vt="http://schemas.openxmlformats.org/officeDocument/2006/docPropsVTypes"/>
</file>