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pPr>
      <w:r>
        <w:rPr>
          <w:rFonts w:ascii="Calibri" w:cs="Calibri" w:eastAsia="Calibri" w:hAnsi="Calibri"/>
          <w:b/>
          <w:bCs/>
          <w:i w:val="false"/>
          <w:iCs w:val="false"/>
          <w:color w:val="C49A20"/>
          <w:spacing w:val="30"/>
          <w:sz w:val="17"/>
          <w:szCs w:val="17"/>
        </w:rPr>
        <w:t xml:space="preserve">SIPS HEALTHCARE SOLUTIONS  ·  DEVELOPER SPECIFICATION</w:t>
      </w:r>
    </w:p>
    <w:p>
      <w:pPr>
        <w:spacing w:after="40" w:before="200"/>
      </w:pPr>
      <w:r>
        <w:rPr>
          <w:rFonts w:ascii="Georgia" w:cs="Georgia" w:eastAsia="Georgia" w:hAnsi="Georgia"/>
          <w:b/>
          <w:bCs/>
          <w:i w:val="false"/>
          <w:iCs w:val="false"/>
          <w:color w:val="0D1B35"/>
          <w:sz w:val="48"/>
          <w:szCs w:val="48"/>
        </w:rPr>
        <w:t xml:space="preserve">The SBD Preceptor Certification</w:t>
      </w:r>
    </w:p>
    <w:p>
      <w:pPr>
        <w:spacing w:after="40"/>
      </w:pPr>
      <w:r>
        <w:rPr>
          <w:rFonts w:ascii="Georgia" w:cs="Georgia" w:eastAsia="Georgia" w:hAnsi="Georgia"/>
          <w:b w:val="false"/>
          <w:bCs w:val="false"/>
          <w:i w:val="false"/>
          <w:iCs w:val="false"/>
          <w:color w:val="0E1726"/>
          <w:sz w:val="28"/>
          <w:szCs w:val="28"/>
        </w:rPr>
        <w:t xml:space="preserve">Build Synopsis and Access-Control Specification</w:t>
      </w:r>
    </w:p>
    <w:p>
      <w:pPr>
        <w:spacing w:after="340"/>
      </w:pPr>
      <w:r>
        <w:rPr>
          <w:rFonts w:ascii="Calibri" w:cs="Calibri" w:eastAsia="Calibri" w:hAnsi="Calibri"/>
          <w:b w:val="false"/>
          <w:bCs w:val="false"/>
          <w:i/>
          <w:iCs/>
          <w:color w:val="6B7B8C"/>
          <w:sz w:val="21"/>
          <w:szCs w:val="21"/>
        </w:rPr>
        <w:t xml:space="preserve">What it is, why it matters, and how it plugs into the existing SBD model: Study and Practice, Foundations, Instruments, and Position School. Includes the master admin access controls for toggling curriculum access on and off, independent of belt level.</w:t>
      </w:r>
    </w:p>
    <w:p>
      <w:pPr>
        <w:pBdr>
          <w:top w:val="single" w:color="D8DEE6" w:sz="8" w:space="8"/>
          <w:bottom w:val="single" w:color="D8DEE6" w:sz="8" w:space="8"/>
        </w:pBdr>
        <w:spacing w:after="120" w:before="200"/>
      </w:pPr>
      <w:r>
        <w:rPr>
          <w:rFonts w:ascii="Calibri" w:cs="Calibri" w:eastAsia="Calibri" w:hAnsi="Calibri"/>
          <w:b/>
          <w:bCs/>
          <w:i w:val="false"/>
          <w:iCs w:val="false"/>
          <w:color w:val="1E2761"/>
          <w:sz w:val="20"/>
          <w:szCs w:val="20"/>
        </w:rPr>
        <w:t xml:space="preserve">For: Ignacio Zambrano II and the SBD development team   ·   Companion to the 15 learner workbooks and 6 gate documents</w:t>
      </w:r>
    </w:p>
    <w:p>
      <w:pPr>
        <w:spacing w:before="240"/>
      </w:pPr>
      <w:r>
        <w:rPr>
          <w:rFonts w:ascii="Calibri" w:cs="Calibri" w:eastAsia="Calibri" w:hAnsi="Calibri"/>
          <w:b w:val="false"/>
          <w:bCs w:val="false"/>
          <w:i w:val="false"/>
          <w:iCs w:val="false"/>
          <w:color w:val="6B7B8C"/>
          <w:sz w:val="19"/>
          <w:szCs w:val="19"/>
        </w:rPr>
        <w:t xml:space="preserve">Prepared by Dr. Jake Tayler Jacobs, DBA, MBA, B.Ed.  ·  SIPS Healthcare Solutions</w:t>
      </w:r>
    </w:p>
    <w:p>
      <w:r>
        <w:br w:type="page"/>
      </w:r>
    </w:p>
    <w:p>
      <w:pPr>
        <w:pStyle w:val="Heading1"/>
        <w:spacing w:after="150" w:before="340"/>
      </w:pPr>
      <w:r>
        <w:rPr>
          <w:rFonts w:ascii="Georgia" w:cs="Georgia" w:eastAsia="Georgia" w:hAnsi="Georgia"/>
          <w:b/>
          <w:bCs/>
          <w:i w:val="false"/>
          <w:iCs w:val="false"/>
          <w:color w:val="0D1B35"/>
          <w:sz w:val="32"/>
          <w:szCs w:val="32"/>
        </w:rPr>
        <w:t xml:space="preserve">1. What the preceptor certification is</w:t>
      </w:r>
    </w:p>
    <w:p>
      <w:pPr>
        <w:spacing w:after="150" w:before="0" w:line="292"/>
      </w:pPr>
      <w:r>
        <w:rPr>
          <w:rFonts w:ascii="Calibri" w:cs="Calibri" w:eastAsia="Calibri" w:hAnsi="Calibri"/>
          <w:b w:val="false"/>
          <w:bCs w:val="false"/>
          <w:i w:val="false"/>
          <w:iCs w:val="false"/>
          <w:color w:val="2E3B4B"/>
          <w:sz w:val="22"/>
          <w:szCs w:val="22"/>
        </w:rPr>
        <w:t xml:space="preserve">The SBD Preceptor Certification is the training and certification pathway for the people who develop and verify everyone else in the department. It is the human layer of the operating system: the facilitators, educators, and preceptors who coach staff, run observations, and hold the standard on the floor. Everything else in SBD produces or acts on data about the operator. This pathway produces the people who can be trusted to generate that data correctly.</w:t>
      </w:r>
    </w:p>
    <w:p>
      <w:pPr>
        <w:spacing w:after="150" w:before="0" w:line="292"/>
      </w:pPr>
      <w:r>
        <w:rPr>
          <w:rFonts w:ascii="Calibri" w:cs="Calibri" w:eastAsia="Calibri" w:hAnsi="Calibri"/>
          <w:b w:val="false"/>
          <w:bCs w:val="false"/>
          <w:i w:val="false"/>
          <w:iCs w:val="false"/>
          <w:color w:val="2E3B4B"/>
          <w:sz w:val="22"/>
          <w:szCs w:val="22"/>
        </w:rPr>
        <w:t xml:space="preserve">It is delivered as a complete, self-paced curriculum: three levels, fifteen modules, and nine certification gates, from a facilitator's first day through the Master Facilitator who carries the standard across a whole health system. The learner reads the material and is developed straight from the page, the same way staff are developed by the belt curriculum, then earns each credential through the same three-gate model the rest of the platform already uses.</w:t>
      </w:r>
    </w:p>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POINT   </w:t>
            </w:r>
            <w:r>
              <w:rPr>
                <w:rFonts w:ascii="Calibri" w:cs="Calibri" w:eastAsia="Calibri" w:hAnsi="Calibri"/>
                <w:b/>
                <w:bCs/>
                <w:i w:val="false"/>
                <w:iCs w:val="false"/>
                <w:color w:val="0E1726"/>
                <w:sz w:val="22"/>
                <w:szCs w:val="22"/>
              </w:rPr>
              <w:t xml:space="preserve">Where it sits in the product.</w:t>
            </w:r>
          </w:p>
          <w:p>
            <w:pPr>
              <w:spacing w:after="100" w:before="0" w:line="284"/>
            </w:pPr>
            <w:r>
              <w:rPr>
                <w:rFonts w:ascii="Calibri" w:cs="Calibri" w:eastAsia="Calibri" w:hAnsi="Calibri"/>
                <w:b w:val="false"/>
                <w:bCs w:val="false"/>
                <w:i w:val="false"/>
                <w:iCs w:val="false"/>
                <w:color w:val="2E3B4B"/>
                <w:sz w:val="22"/>
                <w:szCs w:val="22"/>
              </w:rPr>
              <w:t xml:space="preserve">This maps directly onto the existing Position School track 02B, Educator/Preceptor School, which is already defined in the platform at Green Belt. The preceptor certification is the full build-out of the content, assessment, and progression behind that track, extended upward into the Advanced and Master tiers. It is not a new product. It is the depth behind a school that already exists in the nav.</w:t>
            </w:r>
          </w:p>
        </w:tc>
      </w:tr>
    </w:tbl>
    <w:p>
      <w:pPr>
        <w:pStyle w:val="Heading2"/>
        <w:spacing w:after="110" w:before="300"/>
      </w:pPr>
      <w:r>
        <w:rPr>
          <w:rFonts w:ascii="Calibri" w:cs="Calibri" w:eastAsia="Calibri" w:hAnsi="Calibri"/>
          <w:b/>
          <w:bCs/>
          <w:i w:val="false"/>
          <w:iCs w:val="false"/>
          <w:color w:val="1E2761"/>
          <w:sz w:val="26"/>
          <w:szCs w:val="26"/>
        </w:rPr>
        <w:t xml:space="preserve">Why it matters</w:t>
      </w:r>
    </w:p>
    <w:p>
      <w:pPr>
        <w:spacing w:after="150" w:before="0" w:line="292"/>
      </w:pPr>
      <w:r>
        <w:rPr>
          <w:rFonts w:ascii="Calibri" w:cs="Calibri" w:eastAsia="Calibri" w:hAnsi="Calibri"/>
          <w:b w:val="false"/>
          <w:bCs w:val="false"/>
          <w:i w:val="false"/>
          <w:iCs w:val="false"/>
          <w:color w:val="2E3B4B"/>
          <w:sz w:val="22"/>
          <w:szCs w:val="22"/>
        </w:rPr>
        <w:t xml:space="preserve">The entire SBD value proposition rests on one claim: that a belt means the same thing everywhere, because it was verified by someone competent to verify it. That claim is only as strong as the preceptors behind it. An unverified preceptor who runs a soft observation, coaches through a gate, or bends a standard does not damage one assessment; they corrupt every belt they ever confirm, and teach the people they develop to do the same. The preceptor certification is what protects the integrity of the whole platform at its most vulnerable point: the human making the judgment call.</w:t>
      </w:r>
    </w:p>
    <w:tbl>
      <w:tblPr>
        <w:tblW w:type="dxa" w:w="9840"/>
        <w:tblBorders>
          <w:top w:val="none"/>
          <w:left w:val="single" w:color="9A342A" w:sz="22"/>
          <w:bottom w:val="none"/>
          <w:right w:val="none"/>
          <w:insideH w:val="none"/>
          <w:insideV w:val="none"/>
        </w:tblBorders>
      </w:tblPr>
      <w:tblGrid>
        <w:gridCol w:w="9840"/>
      </w:tblGrid>
      <w:tr>
        <w:tc>
          <w:tcPr>
            <w:tcW w:type="dxa" w:w="9840"/>
            <w:shd w:fill="FBE9E6" w:color="auto" w:val="clear"/>
            <w:tcMar>
              <w:top w:type="dxa" w:w="150"/>
              <w:left w:type="dxa" w:w="220"/>
              <w:bottom w:type="dxa" w:w="150"/>
              <w:right w:type="dxa" w:w="220"/>
            </w:tcMar>
          </w:tcPr>
          <w:p>
            <w:pPr>
              <w:spacing w:after="60"/>
            </w:pPr>
            <w:r>
              <w:rPr>
                <w:rFonts w:ascii="Calibri" w:cs="Calibri" w:eastAsia="Calibri" w:hAnsi="Calibri"/>
                <w:b/>
                <w:bCs/>
                <w:i w:val="false"/>
                <w:iCs w:val="false"/>
                <w:color w:val="9A342A"/>
                <w:spacing w:val="20"/>
                <w:sz w:val="17"/>
                <w:szCs w:val="17"/>
              </w:rPr>
              <w:t xml:space="preserve">NON-NEGOTIABLE   </w:t>
            </w:r>
            <w:r>
              <w:rPr>
                <w:rFonts w:ascii="Calibri" w:cs="Calibri" w:eastAsia="Calibri" w:hAnsi="Calibri"/>
                <w:b/>
                <w:bCs/>
                <w:i w:val="false"/>
                <w:iCs w:val="false"/>
                <w:color w:val="0E1726"/>
                <w:sz w:val="22"/>
                <w:szCs w:val="22"/>
              </w:rPr>
              <w:t xml:space="preserve">This is the anti-drift layer.</w:t>
            </w:r>
          </w:p>
          <w:p>
            <w:pPr>
              <w:spacing w:after="100" w:before="0" w:line="284"/>
            </w:pPr>
            <w:r>
              <w:rPr>
                <w:rFonts w:ascii="Calibri" w:cs="Calibri" w:eastAsia="Calibri" w:hAnsi="Calibri"/>
                <w:b w:val="false"/>
                <w:bCs w:val="false"/>
                <w:i w:val="false"/>
                <w:iCs w:val="false"/>
                <w:color w:val="2E3B4B"/>
                <w:sz w:val="22"/>
                <w:szCs w:val="22"/>
              </w:rPr>
              <w:t xml:space="preserve">Every other safeguard in SBD is technical: thresholds, dangerous-answer overrides, RLS. The preceptor certification is the human safeguard. When it is built and enforced, the standard replicates itself correctly across facilities. When it is absent, the standard drifts one soft pass at a time, and no amount of backend rigor can catch a preceptor who was never trained to hold the line. Building this well is building the thing that keeps the rest of the system honest.</w:t>
            </w:r>
          </w:p>
        </w:tc>
      </w:tr>
    </w:tbl>
    <w:p>
      <w:r>
        <w:br w:type="page"/>
      </w:r>
    </w:p>
    <w:p>
      <w:pPr>
        <w:pStyle w:val="Heading1"/>
        <w:spacing w:after="150" w:before="340"/>
      </w:pPr>
      <w:r>
        <w:rPr>
          <w:rFonts w:ascii="Georgia" w:cs="Georgia" w:eastAsia="Georgia" w:hAnsi="Georgia"/>
          <w:b/>
          <w:bCs/>
          <w:i w:val="false"/>
          <w:iCs w:val="false"/>
          <w:color w:val="0D1B35"/>
          <w:sz w:val="32"/>
          <w:szCs w:val="32"/>
        </w:rPr>
        <w:t xml:space="preserve">2. How it aligns with the existing SBD model</w:t>
      </w:r>
    </w:p>
    <w:p>
      <w:pPr>
        <w:spacing w:after="170" w:before="0" w:line="300"/>
      </w:pPr>
      <w:r>
        <w:rPr>
          <w:rFonts w:ascii="Georgia" w:cs="Georgia" w:eastAsia="Georgia" w:hAnsi="Georgia"/>
          <w:b w:val="false"/>
          <w:bCs w:val="false"/>
          <w:i/>
          <w:iCs/>
          <w:color w:val="1E2761"/>
          <w:sz w:val="23"/>
          <w:szCs w:val="23"/>
        </w:rPr>
        <w:t xml:space="preserve">The core instruction: build nothing new that the platform already does. The preceptor certification reuses the same engines, the same table patterns, and the same progression logic as Foundations, Instruments, and Position School. It is a fourth curriculum on the same rails, not a parallel system.</w:t>
      </w:r>
    </w:p>
    <w:p>
      <w:pPr>
        <w:pStyle w:val="Heading2"/>
        <w:spacing w:after="110" w:before="300"/>
      </w:pPr>
      <w:r>
        <w:rPr>
          <w:rFonts w:ascii="Calibri" w:cs="Calibri" w:eastAsia="Calibri" w:hAnsi="Calibri"/>
          <w:b/>
          <w:bCs/>
          <w:i w:val="false"/>
          <w:iCs w:val="false"/>
          <w:color w:val="1E2761"/>
          <w:sz w:val="26"/>
          <w:szCs w:val="26"/>
        </w:rPr>
        <w:t xml:space="preserve">2.1 The shared three-gate engine</w:t>
      </w:r>
    </w:p>
    <w:p>
      <w:pPr>
        <w:spacing w:after="150" w:before="0" w:line="292"/>
      </w:pPr>
      <w:r>
        <w:rPr>
          <w:rFonts w:ascii="Calibri" w:cs="Calibri" w:eastAsia="Calibri" w:hAnsi="Calibri"/>
          <w:b w:val="false"/>
          <w:bCs w:val="false"/>
          <w:i w:val="false"/>
          <w:iCs w:val="false"/>
          <w:color w:val="2E3B4B"/>
          <w:sz w:val="22"/>
          <w:szCs w:val="22"/>
        </w:rPr>
        <w:t xml:space="preserve">Foundations and Instruments already run every module through the same three-gate model. The preceptor certification uses the identical engine, so no new gate logic is needed, only new content and one higher threshold at the top tier.</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1900"/>
        <w:gridCol w:w="3400"/>
        <w:gridCol w:w="2340"/>
        <w:gridCol w:w="2200"/>
      </w:tblGrid>
      <w:tr>
        <w:trPr>
          <w:tblHeader/>
        </w:trPr>
        <w:tc>
          <w:tcPr>
            <w:tcW w:type="dxa" w:w="1900"/>
            <w:shd w:fill="0D1B35" w:color="auto" w:val="clear"/>
            <w:tcMar>
              <w:top w:type="dxa" w:w="80"/>
              <w:left w:type="dxa" w:w="120"/>
              <w:bottom w:type="dxa" w:w="80"/>
              <w:right w:type="dxa" w:w="120"/>
            </w:tcMar>
          </w:tcPr>
          <w:p>
            <w:r>
              <w:rPr>
                <w:rFonts w:ascii="Calibri" w:cs="Calibri" w:eastAsia="Calibri" w:hAnsi="Calibri"/>
                <w:b/>
                <w:bCs/>
                <w:i w:val="false"/>
                <w:iCs w:val="false"/>
                <w:color w:val="FFFFFF"/>
                <w:sz w:val="18"/>
                <w:szCs w:val="18"/>
              </w:rPr>
              <w:t xml:space="preserve">Gate</w:t>
            </w:r>
          </w:p>
        </w:tc>
        <w:tc>
          <w:tcPr>
            <w:tcW w:type="dxa" w:w="3400"/>
            <w:shd w:fill="0D1B35" w:color="auto" w:val="clear"/>
            <w:tcMar>
              <w:top w:type="dxa" w:w="80"/>
              <w:left w:type="dxa" w:w="120"/>
              <w:bottom w:type="dxa" w:w="80"/>
              <w:right w:type="dxa" w:w="120"/>
            </w:tcMar>
          </w:tcPr>
          <w:p>
            <w:r>
              <w:rPr>
                <w:rFonts w:ascii="Calibri" w:cs="Calibri" w:eastAsia="Calibri" w:hAnsi="Calibri"/>
                <w:b/>
                <w:bCs/>
                <w:i w:val="false"/>
                <w:iCs w:val="false"/>
                <w:color w:val="FFFFFF"/>
                <w:sz w:val="18"/>
                <w:szCs w:val="18"/>
              </w:rPr>
              <w:t xml:space="preserve">What it verifies</w:t>
            </w:r>
          </w:p>
        </w:tc>
        <w:tc>
          <w:tcPr>
            <w:tcW w:type="dxa" w:w="2340"/>
            <w:shd w:fill="0D1B35" w:color="auto" w:val="clear"/>
            <w:tcMar>
              <w:top w:type="dxa" w:w="80"/>
              <w:left w:type="dxa" w:w="120"/>
              <w:bottom w:type="dxa" w:w="80"/>
              <w:right w:type="dxa" w:w="120"/>
            </w:tcMar>
          </w:tcPr>
          <w:p>
            <w:r>
              <w:rPr>
                <w:rFonts w:ascii="Calibri" w:cs="Calibri" w:eastAsia="Calibri" w:hAnsi="Calibri"/>
                <w:b/>
                <w:bCs/>
                <w:i w:val="false"/>
                <w:iCs w:val="false"/>
                <w:color w:val="FFFFFF"/>
                <w:sz w:val="18"/>
                <w:szCs w:val="18"/>
              </w:rPr>
              <w:t xml:space="preserve">Threshold</w:t>
            </w:r>
          </w:p>
        </w:tc>
        <w:tc>
          <w:tcPr>
            <w:tcW w:type="dxa" w:w="2200"/>
            <w:shd w:fill="0D1B35" w:color="auto" w:val="clear"/>
            <w:tcMar>
              <w:top w:type="dxa" w:w="80"/>
              <w:left w:type="dxa" w:w="120"/>
              <w:bottom w:type="dxa" w:w="80"/>
              <w:right w:type="dxa" w:w="120"/>
            </w:tcMar>
          </w:tcPr>
          <w:p>
            <w:r>
              <w:rPr>
                <w:rFonts w:ascii="Calibri" w:cs="Calibri" w:eastAsia="Calibri" w:hAnsi="Calibri"/>
                <w:b/>
                <w:bCs/>
                <w:i w:val="false"/>
                <w:iCs w:val="false"/>
                <w:color w:val="FFFFFF"/>
                <w:sz w:val="18"/>
                <w:szCs w:val="18"/>
              </w:rPr>
              <w:t xml:space="preserve">Reuses</w:t>
            </w:r>
          </w:p>
        </w:tc>
      </w:tr>
      <w:tr>
        <w:tc>
          <w:tcPr>
            <w:tcW w:type="dxa" w:w="1900"/>
            <w:shd w:fill="F4F6F9" w:color="auto" w:val="clear"/>
            <w:tcMar>
              <w:top w:type="dxa" w:w="80"/>
              <w:left w:type="dxa" w:w="120"/>
              <w:bottom w:type="dxa" w:w="80"/>
              <w:right w:type="dxa" w:w="120"/>
            </w:tcMar>
          </w:tcPr>
          <w:p>
            <w:r>
              <w:rPr>
                <w:rFonts w:ascii="Calibri" w:cs="Calibri" w:eastAsia="Calibri" w:hAnsi="Calibri"/>
                <w:b/>
                <w:bCs/>
                <w:i w:val="false"/>
                <w:iCs w:val="false"/>
                <w:color w:val="0E1726"/>
                <w:sz w:val="19"/>
                <w:szCs w:val="19"/>
              </w:rPr>
              <w:t xml:space="preserve">Gate 1 Knowledge</w:t>
            </w:r>
          </w:p>
        </w:tc>
        <w:tc>
          <w:tcPr>
            <w:tcW w:type="dxa" w:w="3400"/>
            <w:shd w:fill="F4F6F9"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Module knowledge check</w:t>
            </w:r>
          </w:p>
        </w:tc>
        <w:tc>
          <w:tcPr>
            <w:tcW w:type="dxa" w:w="2340"/>
            <w:shd w:fill="F4F6F9"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80% (95% Master)</w:t>
            </w:r>
          </w:p>
        </w:tc>
        <w:tc>
          <w:tcPr>
            <w:tcW w:type="dxa" w:w="2200"/>
            <w:shd w:fill="F4F6F9"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Foundations Gate 1 UI and scoring</w:t>
            </w:r>
          </w:p>
        </w:tc>
      </w:tr>
      <w:tr>
        <w:tc>
          <w:tcPr>
            <w:tcW w:type="dxa" w:w="1900"/>
            <w:shd w:fill="FFFFFF" w:color="auto" w:val="clear"/>
            <w:tcMar>
              <w:top w:type="dxa" w:w="80"/>
              <w:left w:type="dxa" w:w="120"/>
              <w:bottom w:type="dxa" w:w="80"/>
              <w:right w:type="dxa" w:w="120"/>
            </w:tcMar>
          </w:tcPr>
          <w:p>
            <w:r>
              <w:rPr>
                <w:rFonts w:ascii="Calibri" w:cs="Calibri" w:eastAsia="Calibri" w:hAnsi="Calibri"/>
                <w:b/>
                <w:bCs/>
                <w:i w:val="false"/>
                <w:iCs w:val="false"/>
                <w:color w:val="0E1726"/>
                <w:sz w:val="19"/>
                <w:szCs w:val="19"/>
              </w:rPr>
              <w:t xml:space="preserve">Gate 2 Simulation</w:t>
            </w:r>
          </w:p>
        </w:tc>
        <w:tc>
          <w:tcPr>
            <w:tcW w:type="dxa" w:w="3400"/>
            <w:shd w:fill="FFFFFF"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Applied scenario response</w:t>
            </w:r>
          </w:p>
        </w:tc>
        <w:tc>
          <w:tcPr>
            <w:tcW w:type="dxa" w:w="2340"/>
            <w:shd w:fill="FFFFFF"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80% (90% Master)</w:t>
            </w:r>
          </w:p>
        </w:tc>
        <w:tc>
          <w:tcPr>
            <w:tcW w:type="dxa" w:w="2200"/>
            <w:shd w:fill="FFFFFF"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Foundations Gate 2 UI and scoring</w:t>
            </w:r>
          </w:p>
        </w:tc>
      </w:tr>
      <w:tr>
        <w:tc>
          <w:tcPr>
            <w:tcW w:type="dxa" w:w="1900"/>
            <w:shd w:fill="F4F6F9" w:color="auto" w:val="clear"/>
            <w:tcMar>
              <w:top w:type="dxa" w:w="80"/>
              <w:left w:type="dxa" w:w="120"/>
              <w:bottom w:type="dxa" w:w="80"/>
              <w:right w:type="dxa" w:w="120"/>
            </w:tcMar>
          </w:tcPr>
          <w:p>
            <w:r>
              <w:rPr>
                <w:rFonts w:ascii="Calibri" w:cs="Calibri" w:eastAsia="Calibri" w:hAnsi="Calibri"/>
                <w:b/>
                <w:bCs/>
                <w:i w:val="false"/>
                <w:iCs w:val="false"/>
                <w:color w:val="0E1726"/>
                <w:sz w:val="19"/>
                <w:szCs w:val="19"/>
              </w:rPr>
              <w:t xml:space="preserve">Gate 3 Observation</w:t>
            </w:r>
          </w:p>
        </w:tc>
        <w:tc>
          <w:tcPr>
            <w:tcW w:type="dxa" w:w="3400"/>
            <w:shd w:fill="F4F6F9"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Educator-confirmed demonstration</w:t>
            </w:r>
          </w:p>
        </w:tc>
        <w:tc>
          <w:tcPr>
            <w:tcW w:type="dxa" w:w="2340"/>
            <w:shd w:fill="F4F6F9"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Confirmed by qualified confirmer</w:t>
            </w:r>
          </w:p>
        </w:tc>
        <w:tc>
          <w:tcPr>
            <w:tcW w:type="dxa" w:w="2200"/>
            <w:shd w:fill="F4F6F9"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Foundations Gate 3 checklist and confirm flow</w:t>
            </w:r>
          </w:p>
        </w:tc>
      </w:tr>
    </w:tbl>
    <w:tbl>
      <w:tblPr>
        <w:tblW w:type="dxa" w:w="9840"/>
        <w:tblBorders>
          <w:top w:val="none"/>
          <w:left w:val="single" w:color="1C5C30" w:sz="22"/>
          <w:bottom w:val="none"/>
          <w:right w:val="none"/>
          <w:insideH w:val="none"/>
          <w:insideV w:val="none"/>
        </w:tblBorders>
      </w:tblPr>
      <w:tblGrid>
        <w:gridCol w:w="9840"/>
      </w:tblGrid>
      <w:tr>
        <w:tc>
          <w:tcPr>
            <w:tcW w:type="dxa" w:w="9840"/>
            <w:shd w:fill="E7F1EC" w:color="auto" w:val="clear"/>
            <w:tcMar>
              <w:top w:type="dxa" w:w="150"/>
              <w:left w:type="dxa" w:w="220"/>
              <w:bottom w:type="dxa" w:w="150"/>
              <w:right w:type="dxa" w:w="220"/>
            </w:tcMar>
          </w:tcPr>
          <w:p>
            <w:pPr>
              <w:spacing w:after="60"/>
            </w:pPr>
            <w:r>
              <w:rPr>
                <w:rFonts w:ascii="Calibri" w:cs="Calibri" w:eastAsia="Calibri" w:hAnsi="Calibri"/>
                <w:b/>
                <w:bCs/>
                <w:i w:val="false"/>
                <w:iCs w:val="false"/>
                <w:color w:val="1C5C30"/>
                <w:spacing w:val="20"/>
                <w:sz w:val="17"/>
                <w:szCs w:val="17"/>
              </w:rPr>
              <w:t xml:space="preserve">BUILD NOTE   </w:t>
            </w:r>
            <w:r>
              <w:rPr>
                <w:rFonts w:ascii="Calibri" w:cs="Calibri" w:eastAsia="Calibri" w:hAnsi="Calibri"/>
                <w:b/>
                <w:bCs/>
                <w:i w:val="false"/>
                <w:iCs w:val="false"/>
                <w:color w:val="0E1726"/>
                <w:sz w:val="22"/>
                <w:szCs w:val="22"/>
              </w:rPr>
              <w:t xml:space="preserve">Reuse fndGateBadge and the gate engine.</w:t>
            </w:r>
          </w:p>
          <w:p>
            <w:pPr>
              <w:spacing w:after="100" w:before="0" w:line="284"/>
            </w:pPr>
            <w:r>
              <w:rPr>
                <w:rFonts w:ascii="Calibri" w:cs="Calibri" w:eastAsia="Calibri" w:hAnsi="Calibri"/>
                <w:b w:val="false"/>
                <w:bCs w:val="false"/>
                <w:i w:val="false"/>
                <w:iCs w:val="false"/>
                <w:color w:val="2E3B4B"/>
                <w:sz w:val="22"/>
                <w:szCs w:val="22"/>
              </w:rPr>
              <w:t xml:space="preserve">The gate indicators, the attempt logging, the pass/attempted/open states, and the Gate 3 confirm-by-name-and-date flow are already built and shared between Foundations and Instruments. The preceptor curriculum should call the same functions. Load order matters: as with Instruments reusing Foundations, the preceptor module must load after the shared gate helpers are defined.</w:t>
            </w:r>
          </w:p>
        </w:tc>
      </w:tr>
    </w:tbl>
    <w:p>
      <w:pPr>
        <w:pStyle w:val="Heading2"/>
        <w:spacing w:after="110" w:before="300"/>
      </w:pPr>
      <w:r>
        <w:rPr>
          <w:rFonts w:ascii="Calibri" w:cs="Calibri" w:eastAsia="Calibri" w:hAnsi="Calibri"/>
          <w:b/>
          <w:bCs/>
          <w:i w:val="false"/>
          <w:iCs w:val="false"/>
          <w:color w:val="1E2761"/>
          <w:sz w:val="26"/>
          <w:szCs w:val="26"/>
        </w:rPr>
        <w:t xml:space="preserve">2.2 The shared assignment and progress pattern</w:t>
      </w:r>
    </w:p>
    <w:p>
      <w:pPr>
        <w:spacing w:after="150" w:before="0" w:line="292"/>
      </w:pPr>
      <w:r>
        <w:rPr>
          <w:rFonts w:ascii="Calibri" w:cs="Calibri" w:eastAsia="Calibri" w:hAnsi="Calibri"/>
          <w:b w:val="false"/>
          <w:bCs w:val="false"/>
          <w:i w:val="false"/>
          <w:iCs w:val="false"/>
          <w:color w:val="2E3B4B"/>
          <w:sz w:val="22"/>
          <w:szCs w:val="22"/>
        </w:rPr>
        <w:t xml:space="preserve">Foundations uses foundations_assignments and foundations_progress. Instruments uses instrument_assignments and instrument_progress. The preceptor certification follows the identical pattern with its own namespaced tables, so the same RLS logic, the same GRANT statements, and the same UI filtering all carry over with a find-and-replace on the table prefix.</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2300"/>
        <w:gridCol w:w="2513"/>
        <w:gridCol w:w="2513"/>
        <w:gridCol w:w="2514"/>
      </w:tblGrid>
      <w:tr>
        <w:trPr>
          <w:tblHeader/>
        </w:trPr>
        <w:tc>
          <w:tcPr>
            <w:tcW w:type="dxa" w:w="2300"/>
            <w:shd w:fill="0D1B35" w:color="auto" w:val="clear"/>
            <w:tcMar>
              <w:top w:type="dxa" w:w="80"/>
              <w:left w:type="dxa" w:w="120"/>
              <w:bottom w:type="dxa" w:w="80"/>
              <w:right w:type="dxa" w:w="120"/>
            </w:tcMar>
          </w:tcPr>
          <w:p>
            <w:r>
              <w:rPr>
                <w:rFonts w:ascii="Calibri" w:cs="Calibri" w:eastAsia="Calibri" w:hAnsi="Calibri"/>
                <w:b/>
                <w:bCs/>
                <w:i w:val="false"/>
                <w:iCs w:val="false"/>
                <w:color w:val="FFFFFF"/>
                <w:sz w:val="18"/>
                <w:szCs w:val="18"/>
              </w:rPr>
              <w:t xml:space="preserve">Feature</w:t>
            </w:r>
          </w:p>
        </w:tc>
        <w:tc>
          <w:tcPr>
            <w:tcW w:type="dxa" w:w="2513"/>
            <w:shd w:fill="0D1B35" w:color="auto" w:val="clear"/>
            <w:tcMar>
              <w:top w:type="dxa" w:w="80"/>
              <w:left w:type="dxa" w:w="120"/>
              <w:bottom w:type="dxa" w:w="80"/>
              <w:right w:type="dxa" w:w="120"/>
            </w:tcMar>
          </w:tcPr>
          <w:p>
            <w:r>
              <w:rPr>
                <w:rFonts w:ascii="Calibri" w:cs="Calibri" w:eastAsia="Calibri" w:hAnsi="Calibri"/>
                <w:b/>
                <w:bCs/>
                <w:i w:val="false"/>
                <w:iCs w:val="false"/>
                <w:color w:val="FFFFFF"/>
                <w:sz w:val="18"/>
                <w:szCs w:val="18"/>
              </w:rPr>
              <w:t xml:space="preserve">Modules table</w:t>
            </w:r>
          </w:p>
        </w:tc>
        <w:tc>
          <w:tcPr>
            <w:tcW w:type="dxa" w:w="2513"/>
            <w:shd w:fill="0D1B35" w:color="auto" w:val="clear"/>
            <w:tcMar>
              <w:top w:type="dxa" w:w="80"/>
              <w:left w:type="dxa" w:w="120"/>
              <w:bottom w:type="dxa" w:w="80"/>
              <w:right w:type="dxa" w:w="120"/>
            </w:tcMar>
          </w:tcPr>
          <w:p>
            <w:r>
              <w:rPr>
                <w:rFonts w:ascii="Calibri" w:cs="Calibri" w:eastAsia="Calibri" w:hAnsi="Calibri"/>
                <w:b/>
                <w:bCs/>
                <w:i w:val="false"/>
                <w:iCs w:val="false"/>
                <w:color w:val="FFFFFF"/>
                <w:sz w:val="18"/>
                <w:szCs w:val="18"/>
              </w:rPr>
              <w:t xml:space="preserve">Assignments table</w:t>
            </w:r>
          </w:p>
        </w:tc>
        <w:tc>
          <w:tcPr>
            <w:tcW w:type="dxa" w:w="2514"/>
            <w:shd w:fill="0D1B35" w:color="auto" w:val="clear"/>
            <w:tcMar>
              <w:top w:type="dxa" w:w="80"/>
              <w:left w:type="dxa" w:w="120"/>
              <w:bottom w:type="dxa" w:w="80"/>
              <w:right w:type="dxa" w:w="120"/>
            </w:tcMar>
          </w:tcPr>
          <w:p>
            <w:r>
              <w:rPr>
                <w:rFonts w:ascii="Calibri" w:cs="Calibri" w:eastAsia="Calibri" w:hAnsi="Calibri"/>
                <w:b/>
                <w:bCs/>
                <w:i w:val="false"/>
                <w:iCs w:val="false"/>
                <w:color w:val="FFFFFF"/>
                <w:sz w:val="18"/>
                <w:szCs w:val="18"/>
              </w:rPr>
              <w:t xml:space="preserve">Progress table</w:t>
            </w:r>
          </w:p>
        </w:tc>
      </w:tr>
      <w:tr>
        <w:tc>
          <w:tcPr>
            <w:tcW w:type="dxa" w:w="2300"/>
            <w:shd w:fill="F4F6F9" w:color="auto" w:val="clear"/>
            <w:tcMar>
              <w:top w:type="dxa" w:w="80"/>
              <w:left w:type="dxa" w:w="120"/>
              <w:bottom w:type="dxa" w:w="80"/>
              <w:right w:type="dxa" w:w="120"/>
            </w:tcMar>
          </w:tcPr>
          <w:p>
            <w:r>
              <w:rPr>
                <w:rFonts w:ascii="Calibri" w:cs="Calibri" w:eastAsia="Calibri" w:hAnsi="Calibri"/>
                <w:b/>
                <w:bCs/>
                <w:i w:val="false"/>
                <w:iCs w:val="false"/>
                <w:color w:val="0E1726"/>
                <w:sz w:val="19"/>
                <w:szCs w:val="19"/>
              </w:rPr>
              <w:t xml:space="preserve">Foundations</w:t>
            </w:r>
          </w:p>
        </w:tc>
        <w:tc>
          <w:tcPr>
            <w:tcW w:type="dxa" w:w="2513"/>
            <w:shd w:fill="F4F6F9"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foundations_modules</w:t>
            </w:r>
          </w:p>
        </w:tc>
        <w:tc>
          <w:tcPr>
            <w:tcW w:type="dxa" w:w="2513"/>
            <w:shd w:fill="F4F6F9"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foundations_assignments</w:t>
            </w:r>
          </w:p>
        </w:tc>
        <w:tc>
          <w:tcPr>
            <w:tcW w:type="dxa" w:w="2514"/>
            <w:shd w:fill="F4F6F9"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foundations_progress</w:t>
            </w:r>
          </w:p>
        </w:tc>
      </w:tr>
      <w:tr>
        <w:tc>
          <w:tcPr>
            <w:tcW w:type="dxa" w:w="2300"/>
            <w:shd w:fill="FFFFFF" w:color="auto" w:val="clear"/>
            <w:tcMar>
              <w:top w:type="dxa" w:w="80"/>
              <w:left w:type="dxa" w:w="120"/>
              <w:bottom w:type="dxa" w:w="80"/>
              <w:right w:type="dxa" w:w="120"/>
            </w:tcMar>
          </w:tcPr>
          <w:p>
            <w:r>
              <w:rPr>
                <w:rFonts w:ascii="Calibri" w:cs="Calibri" w:eastAsia="Calibri" w:hAnsi="Calibri"/>
                <w:b/>
                <w:bCs/>
                <w:i w:val="false"/>
                <w:iCs w:val="false"/>
                <w:color w:val="0E1726"/>
                <w:sz w:val="19"/>
                <w:szCs w:val="19"/>
              </w:rPr>
              <w:t xml:space="preserve">Instruments</w:t>
            </w:r>
          </w:p>
        </w:tc>
        <w:tc>
          <w:tcPr>
            <w:tcW w:type="dxa" w:w="2513"/>
            <w:shd w:fill="FFFFFF"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instrument_modules</w:t>
            </w:r>
          </w:p>
        </w:tc>
        <w:tc>
          <w:tcPr>
            <w:tcW w:type="dxa" w:w="2513"/>
            <w:shd w:fill="FFFFFF"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instrument_assignments</w:t>
            </w:r>
          </w:p>
        </w:tc>
        <w:tc>
          <w:tcPr>
            <w:tcW w:type="dxa" w:w="2514"/>
            <w:shd w:fill="FFFFFF"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instrument_progress</w:t>
            </w:r>
          </w:p>
        </w:tc>
      </w:tr>
      <w:tr>
        <w:tc>
          <w:tcPr>
            <w:tcW w:type="dxa" w:w="2300"/>
            <w:shd w:fill="F4F6F9" w:color="auto" w:val="clear"/>
            <w:tcMar>
              <w:top w:type="dxa" w:w="80"/>
              <w:left w:type="dxa" w:w="120"/>
              <w:bottom w:type="dxa" w:w="80"/>
              <w:right w:type="dxa" w:w="120"/>
            </w:tcMar>
          </w:tcPr>
          <w:p>
            <w:r>
              <w:rPr>
                <w:rFonts w:ascii="Calibri" w:cs="Calibri" w:eastAsia="Calibri" w:hAnsi="Calibri"/>
                <w:b/>
                <w:bCs/>
                <w:i w:val="false"/>
                <w:iCs w:val="false"/>
                <w:color w:val="0E1726"/>
                <w:sz w:val="19"/>
                <w:szCs w:val="19"/>
              </w:rPr>
              <w:t xml:space="preserve">Preceptor (new)</w:t>
            </w:r>
          </w:p>
        </w:tc>
        <w:tc>
          <w:tcPr>
            <w:tcW w:type="dxa" w:w="2513"/>
            <w:shd w:fill="F4F6F9"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preceptor_modules</w:t>
            </w:r>
          </w:p>
        </w:tc>
        <w:tc>
          <w:tcPr>
            <w:tcW w:type="dxa" w:w="2513"/>
            <w:shd w:fill="F4F6F9"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preceptor_assignments</w:t>
            </w:r>
          </w:p>
        </w:tc>
        <w:tc>
          <w:tcPr>
            <w:tcW w:type="dxa" w:w="2514"/>
            <w:shd w:fill="F4F6F9"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preceptor_progress</w:t>
            </w:r>
          </w:p>
        </w:tc>
      </w:tr>
    </w:tbl>
    <w:p>
      <w:pPr>
        <w:spacing w:after="150" w:before="0" w:line="288"/>
      </w:pPr>
      <w:r>
        <w:rPr>
          <w:rFonts w:ascii="Consolas" w:cs="Consolas" w:eastAsia="Consolas" w:hAnsi="Consolas"/>
          <w:b w:val="false"/>
          <w:bCs w:val="false"/>
          <w:i w:val="false"/>
          <w:iCs w:val="false"/>
          <w:color w:val="0D1B35"/>
          <w:sz w:val="19"/>
          <w:szCs w:val="19"/>
        </w:rPr>
        <w:t xml:space="preserve">preceptor_modules</w:t>
      </w:r>
      <w:r>
        <w:rPr>
          <w:rFonts w:ascii="Calibri" w:cs="Calibri" w:eastAsia="Calibri" w:hAnsi="Calibri"/>
          <w:b w:val="false"/>
          <w:bCs w:val="false"/>
          <w:i w:val="false"/>
          <w:iCs w:val="false"/>
          <w:color w:val="2E3B4B"/>
          <w:sz w:val="22"/>
          <w:szCs w:val="22"/>
        </w:rPr>
        <w:t xml:space="preserve">  seeded via migration, read-only reference (SELECT to all authenticated). </w:t>
      </w:r>
      <w:r>
        <w:rPr>
          <w:rFonts w:ascii="Consolas" w:cs="Consolas" w:eastAsia="Consolas" w:hAnsi="Consolas"/>
          <w:b w:val="false"/>
          <w:bCs w:val="false"/>
          <w:i w:val="false"/>
          <w:iCs w:val="false"/>
          <w:color w:val="0D1B35"/>
          <w:sz w:val="19"/>
          <w:szCs w:val="19"/>
        </w:rPr>
        <w:t xml:space="preserve">preceptor_assignments</w:t>
      </w:r>
      <w:r>
        <w:rPr>
          <w:rFonts w:ascii="Calibri" w:cs="Calibri" w:eastAsia="Calibri" w:hAnsi="Calibri"/>
          <w:b w:val="false"/>
          <w:bCs w:val="false"/>
          <w:i w:val="false"/>
          <w:iCs w:val="false"/>
          <w:color w:val="2E3B4B"/>
          <w:sz w:val="22"/>
          <w:szCs w:val="22"/>
        </w:rPr>
        <w:t xml:space="preserve"> and </w:t>
      </w:r>
      <w:r>
        <w:rPr>
          <w:rFonts w:ascii="Consolas" w:cs="Consolas" w:eastAsia="Consolas" w:hAnsi="Consolas"/>
          <w:b w:val="false"/>
          <w:bCs w:val="false"/>
          <w:i w:val="false"/>
          <w:iCs w:val="false"/>
          <w:color w:val="0D1B35"/>
          <w:sz w:val="19"/>
          <w:szCs w:val="19"/>
        </w:rPr>
        <w:t xml:space="preserve">preceptor_progress</w:t>
      </w:r>
      <w:r>
        <w:rPr>
          <w:rFonts w:ascii="Calibri" w:cs="Calibri" w:eastAsia="Calibri" w:hAnsi="Calibri"/>
          <w:b w:val="false"/>
          <w:bCs w:val="false"/>
          <w:i w:val="false"/>
          <w:iCs w:val="false"/>
          <w:color w:val="2E3B4B"/>
          <w:sz w:val="22"/>
          <w:szCs w:val="22"/>
        </w:rPr>
        <w:t xml:space="preserve"> follow the exact SELECT/INSERT/UPDATE/DELETE policy matrix already written for Foundations, with preceptor-specific access rules layered on top (see Section 4).</w:t>
      </w:r>
    </w:p>
    <w:p>
      <w:pPr>
        <w:pStyle w:val="Heading2"/>
        <w:spacing w:after="110" w:before="300"/>
      </w:pPr>
      <w:r>
        <w:rPr>
          <w:rFonts w:ascii="Calibri" w:cs="Calibri" w:eastAsia="Calibri" w:hAnsi="Calibri"/>
          <w:b/>
          <w:bCs/>
          <w:i w:val="false"/>
          <w:iCs w:val="false"/>
          <w:color w:val="1E2761"/>
          <w:sz w:val="26"/>
          <w:szCs w:val="26"/>
        </w:rPr>
        <w:t xml:space="preserve">2.3 Where it lives in the portals</w:t>
      </w:r>
    </w:p>
    <w:p>
      <w:pPr>
        <w:spacing w:after="150" w:before="0" w:line="292"/>
      </w:pPr>
      <w:r>
        <w:rPr>
          <w:rFonts w:ascii="Calibri" w:cs="Calibri" w:eastAsia="Calibri" w:hAnsi="Calibri"/>
          <w:b w:val="false"/>
          <w:bCs w:val="false"/>
          <w:i w:val="false"/>
          <w:iCs w:val="false"/>
          <w:color w:val="2E3B4B"/>
          <w:sz w:val="22"/>
          <w:szCs w:val="22"/>
        </w:rPr>
        <w:t xml:space="preserve">The curriculum surfaces in the same two places the other development content already does, under the Development area of the Staff Portal and the training area of the Hospital Portal, positioned near Position School since that is its conceptual home.</w:t>
      </w:r>
    </w:p>
    <w:p>
      <w:pPr>
        <w:pStyle w:val="ListParagraph"/>
        <w:numPr>
          <w:ilvl w:val="0"/>
          <w:numId w:val="2"/>
        </w:numPr>
        <w:spacing w:after="80" w:line="270"/>
      </w:pPr>
      <w:r>
        <w:rPr>
          <w:rFonts w:ascii="Calibri" w:cs="Calibri" w:eastAsia="Calibri" w:hAnsi="Calibri"/>
          <w:b/>
          <w:bCs/>
          <w:i w:val="false"/>
          <w:iCs w:val="false"/>
          <w:color w:val="0E1726"/>
          <w:sz w:val="22"/>
          <w:szCs w:val="22"/>
        </w:rPr>
        <w:t xml:space="preserve">Staff Portal: </w:t>
      </w:r>
      <w:r>
        <w:rPr>
          <w:rFonts w:ascii="Calibri" w:cs="Calibri" w:eastAsia="Calibri" w:hAnsi="Calibri"/>
          <w:b w:val="false"/>
          <w:bCs w:val="false"/>
          <w:i w:val="false"/>
          <w:iCs w:val="false"/>
          <w:color w:val="2E3B4B"/>
          <w:sz w:val="22"/>
          <w:szCs w:val="22"/>
        </w:rPr>
        <w:t xml:space="preserve">a Development nav item (</w:t>
      </w:r>
      <w:r>
        <w:rPr>
          <w:rFonts w:ascii="Consolas" w:cs="Consolas" w:eastAsia="Consolas" w:hAnsi="Consolas"/>
          <w:b w:val="false"/>
          <w:bCs w:val="false"/>
          <w:i w:val="false"/>
          <w:iCs w:val="false"/>
          <w:color w:val="0D1B35"/>
          <w:sz w:val="19"/>
          <w:szCs w:val="19"/>
        </w:rPr>
        <w:t xml:space="preserve">s-preceptor</w:t>
      </w:r>
      <w:r>
        <w:rPr>
          <w:rFonts w:ascii="Calibri" w:cs="Calibri" w:eastAsia="Calibri" w:hAnsi="Calibri"/>
          <w:b w:val="false"/>
          <w:bCs w:val="false"/>
          <w:i w:val="false"/>
          <w:iCs w:val="false"/>
          <w:color w:val="2E3B4B"/>
          <w:sz w:val="22"/>
          <w:szCs w:val="22"/>
        </w:rPr>
        <w:t xml:space="preserve">), after Foundations and Instruments, near Position School. Shows the enrolled preceptor candidate their own modules, gate progress, and the credential they are working toward.</w:t>
      </w:r>
    </w:p>
    <w:p>
      <w:pPr>
        <w:pStyle w:val="ListParagraph"/>
        <w:numPr>
          <w:ilvl w:val="0"/>
          <w:numId w:val="2"/>
        </w:numPr>
        <w:spacing w:after="80" w:line="270"/>
      </w:pPr>
      <w:r>
        <w:rPr>
          <w:rFonts w:ascii="Calibri" w:cs="Calibri" w:eastAsia="Calibri" w:hAnsi="Calibri"/>
          <w:b/>
          <w:bCs/>
          <w:i w:val="false"/>
          <w:iCs w:val="false"/>
          <w:color w:val="0E1726"/>
          <w:sz w:val="22"/>
          <w:szCs w:val="22"/>
        </w:rPr>
        <w:t xml:space="preserve">Hospital Portal: </w:t>
      </w:r>
      <w:r>
        <w:rPr>
          <w:rFonts w:ascii="Calibri" w:cs="Calibri" w:eastAsia="Calibri" w:hAnsi="Calibri"/>
          <w:b w:val="false"/>
          <w:bCs w:val="false"/>
          <w:i w:val="false"/>
          <w:iCs w:val="false"/>
          <w:color w:val="2E3B4B"/>
          <w:sz w:val="22"/>
          <w:szCs w:val="22"/>
        </w:rPr>
        <w:t xml:space="preserve">a training nav item (</w:t>
      </w:r>
      <w:r>
        <w:rPr>
          <w:rFonts w:ascii="Consolas" w:cs="Consolas" w:eastAsia="Consolas" w:hAnsi="Consolas"/>
          <w:b w:val="false"/>
          <w:bCs w:val="false"/>
          <w:i w:val="false"/>
          <w:iCs w:val="false"/>
          <w:color w:val="0D1B35"/>
          <w:sz w:val="19"/>
          <w:szCs w:val="19"/>
        </w:rPr>
        <w:t xml:space="preserve">h-preceptor</w:t>
      </w:r>
      <w:r>
        <w:rPr>
          <w:rFonts w:ascii="Calibri" w:cs="Calibri" w:eastAsia="Calibri" w:hAnsi="Calibri"/>
          <w:b w:val="false"/>
          <w:bCs w:val="false"/>
          <w:i w:val="false"/>
          <w:iCs w:val="false"/>
          <w:color w:val="2E3B4B"/>
          <w:sz w:val="22"/>
          <w:szCs w:val="22"/>
        </w:rPr>
        <w:t xml:space="preserve">), positioned after Position School. Facility educators and managers see their facility's candidates; assessors and master admin see across facilities, exactly the role-based filtering already built for Foundations.</w:t>
      </w:r>
    </w:p>
    <w:p>
      <w:pPr>
        <w:pStyle w:val="Heading2"/>
        <w:spacing w:after="110" w:before="300"/>
      </w:pPr>
      <w:r>
        <w:rPr>
          <w:rFonts w:ascii="Calibri" w:cs="Calibri" w:eastAsia="Calibri" w:hAnsi="Calibri"/>
          <w:b/>
          <w:bCs/>
          <w:i w:val="false"/>
          <w:iCs w:val="false"/>
          <w:color w:val="1E2761"/>
          <w:sz w:val="26"/>
          <w:szCs w:val="26"/>
        </w:rPr>
        <w:t xml:space="preserve">2.4 How it relates to Study, Practice, and Position School</w:t>
      </w:r>
    </w:p>
    <w:p>
      <w:pPr>
        <w:spacing w:after="150" w:before="0" w:line="292"/>
      </w:pPr>
      <w:r>
        <w:rPr>
          <w:rFonts w:ascii="Calibri" w:cs="Calibri" w:eastAsia="Calibri" w:hAnsi="Calibri"/>
          <w:b w:val="false"/>
          <w:bCs w:val="false"/>
          <w:i w:val="false"/>
          <w:iCs w:val="false"/>
          <w:color w:val="2E3B4B"/>
          <w:sz w:val="22"/>
          <w:szCs w:val="22"/>
        </w:rPr>
        <w:t xml:space="preserve">The relationship to the existing learning surfaces is deliberate and should be preserved in the build.</w:t>
      </w:r>
    </w:p>
    <w:p>
      <w:pPr>
        <w:pStyle w:val="ListParagraph"/>
        <w:numPr>
          <w:ilvl w:val="0"/>
          <w:numId w:val="2"/>
        </w:numPr>
        <w:spacing w:after="80" w:line="270"/>
      </w:pPr>
      <w:r>
        <w:rPr>
          <w:rFonts w:ascii="Calibri" w:cs="Calibri" w:eastAsia="Calibri" w:hAnsi="Calibri"/>
          <w:b/>
          <w:bCs/>
          <w:i w:val="false"/>
          <w:iCs w:val="false"/>
          <w:color w:val="0E1726"/>
          <w:sz w:val="22"/>
          <w:szCs w:val="22"/>
        </w:rPr>
        <w:t xml:space="preserve">Study and Practice </w:t>
      </w:r>
      <w:r>
        <w:rPr>
          <w:rFonts w:ascii="Calibri" w:cs="Calibri" w:eastAsia="Calibri" w:hAnsi="Calibri"/>
          <w:b w:val="false"/>
          <w:bCs w:val="false"/>
          <w:i w:val="false"/>
          <w:iCs w:val="false"/>
          <w:color w:val="2E3B4B"/>
          <w:sz w:val="22"/>
          <w:szCs w:val="22"/>
        </w:rPr>
        <w:t xml:space="preserve">remains the general preparation surface for belt assessments. The preceptor curriculum does not replace it; a preceptor candidate still uses Study and Practice for their own belt work.</w:t>
      </w:r>
    </w:p>
    <w:p>
      <w:pPr>
        <w:pStyle w:val="ListParagraph"/>
        <w:numPr>
          <w:ilvl w:val="0"/>
          <w:numId w:val="2"/>
        </w:numPr>
        <w:spacing w:after="80" w:line="270"/>
      </w:pPr>
      <w:r>
        <w:rPr>
          <w:rFonts w:ascii="Calibri" w:cs="Calibri" w:eastAsia="Calibri" w:hAnsi="Calibri"/>
          <w:b/>
          <w:bCs/>
          <w:i w:val="false"/>
          <w:iCs w:val="false"/>
          <w:color w:val="0E1726"/>
          <w:sz w:val="22"/>
          <w:szCs w:val="22"/>
        </w:rPr>
        <w:t xml:space="preserve">Foundations and Instruments </w:t>
      </w:r>
      <w:r>
        <w:rPr>
          <w:rFonts w:ascii="Calibri" w:cs="Calibri" w:eastAsia="Calibri" w:hAnsi="Calibri"/>
          <w:b w:val="false"/>
          <w:bCs w:val="false"/>
          <w:i w:val="false"/>
          <w:iCs w:val="false"/>
          <w:color w:val="2E3B4B"/>
          <w:sz w:val="22"/>
          <w:szCs w:val="22"/>
        </w:rPr>
        <w:t xml:space="preserve">are the content a preceptor will one day assign and observe. The preceptor learns to develop and verify staff against exactly these modules, so the certification assumes the candidate already knows this material.</w:t>
      </w:r>
    </w:p>
    <w:p>
      <w:pPr>
        <w:pStyle w:val="ListParagraph"/>
        <w:numPr>
          <w:ilvl w:val="0"/>
          <w:numId w:val="2"/>
        </w:numPr>
        <w:spacing w:after="80" w:line="270"/>
      </w:pPr>
      <w:r>
        <w:rPr>
          <w:rFonts w:ascii="Calibri" w:cs="Calibri" w:eastAsia="Calibri" w:hAnsi="Calibri"/>
          <w:b/>
          <w:bCs/>
          <w:i w:val="false"/>
          <w:iCs w:val="false"/>
          <w:color w:val="0E1726"/>
          <w:sz w:val="22"/>
          <w:szCs w:val="22"/>
        </w:rPr>
        <w:t xml:space="preserve">Position School track 02B </w:t>
      </w:r>
      <w:r>
        <w:rPr>
          <w:rFonts w:ascii="Calibri" w:cs="Calibri" w:eastAsia="Calibri" w:hAnsi="Calibri"/>
          <w:b w:val="false"/>
          <w:bCs w:val="false"/>
          <w:i w:val="false"/>
          <w:iCs w:val="false"/>
          <w:color w:val="2E3B4B"/>
          <w:sz w:val="22"/>
          <w:szCs w:val="22"/>
        </w:rPr>
        <w:t xml:space="preserve">is the entry point. Educator/Preceptor School is the Green Belt gateway; the full preceptor certification is the developed pathway that track unlocks, extending through Advanced and Master tiers above it.</w:t>
      </w:r>
    </w:p>
    <w:p>
      <w:r>
        <w:br w:type="page"/>
      </w:r>
    </w:p>
    <w:p>
      <w:pPr>
        <w:pStyle w:val="Heading1"/>
        <w:spacing w:after="150" w:before="340"/>
      </w:pPr>
      <w:r>
        <w:rPr>
          <w:rFonts w:ascii="Georgia" w:cs="Georgia" w:eastAsia="Georgia" w:hAnsi="Georgia"/>
          <w:b/>
          <w:bCs/>
          <w:i w:val="false"/>
          <w:iCs w:val="false"/>
          <w:color w:val="0D1B35"/>
          <w:sz w:val="32"/>
          <w:szCs w:val="32"/>
        </w:rPr>
        <w:t xml:space="preserve">3. How it should be built out</w:t>
      </w:r>
    </w:p>
    <w:p>
      <w:pPr>
        <w:spacing w:after="170" w:before="0" w:line="300"/>
      </w:pPr>
      <w:r>
        <w:rPr>
          <w:rFonts w:ascii="Georgia" w:cs="Georgia" w:eastAsia="Georgia" w:hAnsi="Georgia"/>
          <w:b w:val="false"/>
          <w:bCs w:val="false"/>
          <w:i/>
          <w:iCs/>
          <w:color w:val="1E2761"/>
          <w:sz w:val="23"/>
          <w:szCs w:val="23"/>
        </w:rPr>
        <w:t xml:space="preserve">Build in the same phased pattern already used for Foundations: content and scored gates first, assignment and remediation linking second, enrollment and enforcement last. Do not build enforcement before the content and gates are proven.</w:t>
      </w:r>
    </w:p>
    <w:p>
      <w:pPr>
        <w:pStyle w:val="Heading2"/>
        <w:spacing w:after="110" w:before="300"/>
      </w:pPr>
      <w:r>
        <w:rPr>
          <w:rFonts w:ascii="Calibri" w:cs="Calibri" w:eastAsia="Calibri" w:hAnsi="Calibri"/>
          <w:b/>
          <w:bCs/>
          <w:i w:val="false"/>
          <w:iCs w:val="false"/>
          <w:color w:val="1E2761"/>
          <w:sz w:val="26"/>
          <w:szCs w:val="26"/>
        </w:rPr>
        <w:t xml:space="preserve">3.1 The curriculum structure to encode</w:t>
      </w:r>
    </w:p>
    <w:p>
      <w:pPr>
        <w:spacing w:after="150" w:before="0" w:line="292"/>
      </w:pPr>
      <w:r>
        <w:rPr>
          <w:rFonts w:ascii="Calibri" w:cs="Calibri" w:eastAsia="Calibri" w:hAnsi="Calibri"/>
          <w:b w:val="false"/>
          <w:bCs w:val="false"/>
          <w:i w:val="false"/>
          <w:iCs w:val="false"/>
          <w:color w:val="2E3B4B"/>
          <w:sz w:val="22"/>
          <w:szCs w:val="22"/>
        </w:rPr>
        <w:t xml:space="preserve">The content already exists as fifteen self-paced learner workbooks and six gate documents (assessor and candidate editions for each level). These are the source of truth for the module content, the knowledge-check items, the simulation scenarios, and the observation checklists. The build encodes them into preceptor_modules on the same shape as FOUNDATIONS_MODULES.</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2100"/>
        <w:gridCol w:w="1300"/>
        <w:gridCol w:w="4340"/>
        <w:gridCol w:w="2100"/>
      </w:tblGrid>
      <w:tr>
        <w:trPr>
          <w:tblHeader/>
        </w:trPr>
        <w:tc>
          <w:tcPr>
            <w:tcW w:type="dxa" w:w="2100"/>
            <w:shd w:fill="0D1B35" w:color="auto" w:val="clear"/>
            <w:tcMar>
              <w:top w:type="dxa" w:w="80"/>
              <w:left w:type="dxa" w:w="120"/>
              <w:bottom w:type="dxa" w:w="80"/>
              <w:right w:type="dxa" w:w="120"/>
            </w:tcMar>
          </w:tcPr>
          <w:p>
            <w:r>
              <w:rPr>
                <w:rFonts w:ascii="Calibri" w:cs="Calibri" w:eastAsia="Calibri" w:hAnsi="Calibri"/>
                <w:b/>
                <w:bCs/>
                <w:i w:val="false"/>
                <w:iCs w:val="false"/>
                <w:color w:val="FFFFFF"/>
                <w:sz w:val="18"/>
                <w:szCs w:val="18"/>
              </w:rPr>
              <w:t xml:space="preserve">Level</w:t>
            </w:r>
          </w:p>
        </w:tc>
        <w:tc>
          <w:tcPr>
            <w:tcW w:type="dxa" w:w="1300"/>
            <w:shd w:fill="0D1B35" w:color="auto" w:val="clear"/>
            <w:tcMar>
              <w:top w:type="dxa" w:w="80"/>
              <w:left w:type="dxa" w:w="120"/>
              <w:bottom w:type="dxa" w:w="80"/>
              <w:right w:type="dxa" w:w="120"/>
            </w:tcMar>
          </w:tcPr>
          <w:p>
            <w:r>
              <w:rPr>
                <w:rFonts w:ascii="Calibri" w:cs="Calibri" w:eastAsia="Calibri" w:hAnsi="Calibri"/>
                <w:b/>
                <w:bCs/>
                <w:i w:val="false"/>
                <w:iCs w:val="false"/>
                <w:color w:val="FFFFFF"/>
                <w:sz w:val="18"/>
                <w:szCs w:val="18"/>
              </w:rPr>
              <w:t xml:space="preserve">Modules</w:t>
            </w:r>
          </w:p>
        </w:tc>
        <w:tc>
          <w:tcPr>
            <w:tcW w:type="dxa" w:w="4340"/>
            <w:shd w:fill="0D1B35" w:color="auto" w:val="clear"/>
            <w:tcMar>
              <w:top w:type="dxa" w:w="80"/>
              <w:left w:type="dxa" w:w="120"/>
              <w:bottom w:type="dxa" w:w="80"/>
              <w:right w:type="dxa" w:w="120"/>
            </w:tcMar>
          </w:tcPr>
          <w:p>
            <w:r>
              <w:rPr>
                <w:rFonts w:ascii="Calibri" w:cs="Calibri" w:eastAsia="Calibri" w:hAnsi="Calibri"/>
                <w:b/>
                <w:bCs/>
                <w:i w:val="false"/>
                <w:iCs w:val="false"/>
                <w:color w:val="FFFFFF"/>
                <w:sz w:val="18"/>
                <w:szCs w:val="18"/>
              </w:rPr>
              <w:t xml:space="preserve">Curriculum focus</w:t>
            </w:r>
          </w:p>
        </w:tc>
        <w:tc>
          <w:tcPr>
            <w:tcW w:type="dxa" w:w="2100"/>
            <w:shd w:fill="0D1B35" w:color="auto" w:val="clear"/>
            <w:tcMar>
              <w:top w:type="dxa" w:w="80"/>
              <w:left w:type="dxa" w:w="120"/>
              <w:bottom w:type="dxa" w:w="80"/>
              <w:right w:type="dxa" w:w="120"/>
            </w:tcMar>
          </w:tcPr>
          <w:p>
            <w:r>
              <w:rPr>
                <w:rFonts w:ascii="Calibri" w:cs="Calibri" w:eastAsia="Calibri" w:hAnsi="Calibri"/>
                <w:b/>
                <w:bCs/>
                <w:i w:val="false"/>
                <w:iCs w:val="false"/>
                <w:color w:val="FFFFFF"/>
                <w:sz w:val="18"/>
                <w:szCs w:val="18"/>
              </w:rPr>
              <w:t xml:space="preserve">Gate standard</w:t>
            </w:r>
          </w:p>
        </w:tc>
      </w:tr>
      <w:tr>
        <w:tc>
          <w:tcPr>
            <w:tcW w:type="dxa" w:w="2100"/>
            <w:shd w:fill="F4F6F9" w:color="auto" w:val="clear"/>
            <w:tcMar>
              <w:top w:type="dxa" w:w="80"/>
              <w:left w:type="dxa" w:w="120"/>
              <w:bottom w:type="dxa" w:w="80"/>
              <w:right w:type="dxa" w:w="120"/>
            </w:tcMar>
          </w:tcPr>
          <w:p>
            <w:r>
              <w:rPr>
                <w:rFonts w:ascii="Calibri" w:cs="Calibri" w:eastAsia="Calibri" w:hAnsi="Calibri"/>
                <w:b/>
                <w:bCs/>
                <w:i w:val="false"/>
                <w:iCs w:val="false"/>
                <w:color w:val="0E1726"/>
                <w:sz w:val="19"/>
                <w:szCs w:val="19"/>
              </w:rPr>
              <w:t xml:space="preserve">Level 1 Facilitator</w:t>
            </w:r>
          </w:p>
        </w:tc>
        <w:tc>
          <w:tcPr>
            <w:tcW w:type="dxa" w:w="1300"/>
            <w:shd w:fill="F4F6F9"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1 to 6</w:t>
            </w:r>
          </w:p>
        </w:tc>
        <w:tc>
          <w:tcPr>
            <w:tcW w:type="dxa" w:w="4340"/>
            <w:shd w:fill="F4F6F9"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Philosophy, David OG, belt system, coaching, observation, operational excellence</w:t>
            </w:r>
          </w:p>
        </w:tc>
        <w:tc>
          <w:tcPr>
            <w:tcW w:type="dxa" w:w="2100"/>
            <w:shd w:fill="F4F6F9"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Knowledge 90 / Sim 80 / Obs 85</w:t>
            </w:r>
          </w:p>
        </w:tc>
      </w:tr>
      <w:tr>
        <w:tc>
          <w:tcPr>
            <w:tcW w:type="dxa" w:w="2100"/>
            <w:shd w:fill="FFFFFF" w:color="auto" w:val="clear"/>
            <w:tcMar>
              <w:top w:type="dxa" w:w="80"/>
              <w:left w:type="dxa" w:w="120"/>
              <w:bottom w:type="dxa" w:w="80"/>
              <w:right w:type="dxa" w:w="120"/>
            </w:tcMar>
          </w:tcPr>
          <w:p>
            <w:r>
              <w:rPr>
                <w:rFonts w:ascii="Calibri" w:cs="Calibri" w:eastAsia="Calibri" w:hAnsi="Calibri"/>
                <w:b/>
                <w:bCs/>
                <w:i w:val="false"/>
                <w:iCs w:val="false"/>
                <w:color w:val="0E1726"/>
                <w:sz w:val="19"/>
                <w:szCs w:val="19"/>
              </w:rPr>
              <w:t xml:space="preserve">Level 2 Advanced</w:t>
            </w:r>
          </w:p>
        </w:tc>
        <w:tc>
          <w:tcPr>
            <w:tcW w:type="dxa" w:w="1300"/>
            <w:shd w:fill="FFFFFF"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7 to 10</w:t>
            </w:r>
          </w:p>
        </w:tc>
        <w:tc>
          <w:tcPr>
            <w:tcW w:type="dxa" w:w="4340"/>
            <w:shd w:fill="FFFFFF"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Multi-facility ops, advanced coaching, program design, change management</w:t>
            </w:r>
          </w:p>
        </w:tc>
        <w:tc>
          <w:tcPr>
            <w:tcW w:type="dxa" w:w="2100"/>
            <w:shd w:fill="FFFFFF"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Knowledge 90 / Sim 85 / Obs 90</w:t>
            </w:r>
          </w:p>
        </w:tc>
      </w:tr>
      <w:tr>
        <w:tc>
          <w:tcPr>
            <w:tcW w:type="dxa" w:w="2100"/>
            <w:shd w:fill="F4F6F9" w:color="auto" w:val="clear"/>
            <w:tcMar>
              <w:top w:type="dxa" w:w="80"/>
              <w:left w:type="dxa" w:w="120"/>
              <w:bottom w:type="dxa" w:w="80"/>
              <w:right w:type="dxa" w:w="120"/>
            </w:tcMar>
          </w:tcPr>
          <w:p>
            <w:r>
              <w:rPr>
                <w:rFonts w:ascii="Calibri" w:cs="Calibri" w:eastAsia="Calibri" w:hAnsi="Calibri"/>
                <w:b/>
                <w:bCs/>
                <w:i w:val="false"/>
                <w:iCs w:val="false"/>
                <w:color w:val="0E1726"/>
                <w:sz w:val="19"/>
                <w:szCs w:val="19"/>
              </w:rPr>
              <w:t xml:space="preserve">Level 3 Master</w:t>
            </w:r>
          </w:p>
        </w:tc>
        <w:tc>
          <w:tcPr>
            <w:tcW w:type="dxa" w:w="1300"/>
            <w:shd w:fill="F4F6F9"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11 to 15</w:t>
            </w:r>
          </w:p>
        </w:tc>
        <w:tc>
          <w:tcPr>
            <w:tcW w:type="dxa" w:w="4340"/>
            <w:shd w:fill="F4F6F9"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Pedagogy, curriculum development, system admin, strategic leadership, research</w:t>
            </w:r>
          </w:p>
        </w:tc>
        <w:tc>
          <w:tcPr>
            <w:tcW w:type="dxa" w:w="2100"/>
            <w:shd w:fill="F4F6F9"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Knowledge 95 / Sim 90 / Practicum 95</w:t>
            </w:r>
          </w:p>
        </w:tc>
      </w:tr>
    </w:tbl>
    <w:tbl>
      <w:tblPr>
        <w:tblW w:type="dxa" w:w="9840"/>
        <w:tblBorders>
          <w:top w:val="none"/>
          <w:left w:val="single" w:color="1C5C30" w:sz="22"/>
          <w:bottom w:val="none"/>
          <w:right w:val="none"/>
          <w:insideH w:val="none"/>
          <w:insideV w:val="none"/>
        </w:tblBorders>
      </w:tblPr>
      <w:tblGrid>
        <w:gridCol w:w="9840"/>
      </w:tblGrid>
      <w:tr>
        <w:tc>
          <w:tcPr>
            <w:tcW w:type="dxa" w:w="9840"/>
            <w:shd w:fill="E7F1EC" w:color="auto" w:val="clear"/>
            <w:tcMar>
              <w:top w:type="dxa" w:w="150"/>
              <w:left w:type="dxa" w:w="220"/>
              <w:bottom w:type="dxa" w:w="150"/>
              <w:right w:type="dxa" w:w="220"/>
            </w:tcMar>
          </w:tcPr>
          <w:p>
            <w:pPr>
              <w:spacing w:after="60"/>
            </w:pPr>
            <w:r>
              <w:rPr>
                <w:rFonts w:ascii="Calibri" w:cs="Calibri" w:eastAsia="Calibri" w:hAnsi="Calibri"/>
                <w:b/>
                <w:bCs/>
                <w:i w:val="false"/>
                <w:iCs w:val="false"/>
                <w:color w:val="1C5C30"/>
                <w:spacing w:val="20"/>
                <w:sz w:val="17"/>
                <w:szCs w:val="17"/>
              </w:rPr>
              <w:t xml:space="preserve">BUILD NOTE   </w:t>
            </w:r>
            <w:r>
              <w:rPr>
                <w:rFonts w:ascii="Calibri" w:cs="Calibri" w:eastAsia="Calibri" w:hAnsi="Calibri"/>
                <w:b/>
                <w:bCs/>
                <w:i w:val="false"/>
                <w:iCs w:val="false"/>
                <w:color w:val="0E1726"/>
                <w:sz w:val="22"/>
                <w:szCs w:val="22"/>
              </w:rPr>
              <w:t xml:space="preserve">Numbering is continuous, labeling is dual.</w:t>
            </w:r>
          </w:p>
          <w:p>
            <w:pPr>
              <w:spacing w:after="100" w:before="0" w:line="284"/>
            </w:pPr>
            <w:r>
              <w:rPr>
                <w:rFonts w:ascii="Calibri" w:cs="Calibri" w:eastAsia="Calibri" w:hAnsi="Calibri"/>
                <w:b w:val="false"/>
                <w:bCs w:val="false"/>
                <w:i w:val="false"/>
                <w:iCs w:val="false"/>
                <w:color w:val="2E3B4B"/>
                <w:sz w:val="22"/>
                <w:szCs w:val="22"/>
              </w:rPr>
              <w:t xml:space="preserve">Modules are numbered 1 to 15 continuously across the whole pathway (never restarting per level), but each module is labeled with both its absolute number and its within-level position, for example Module 7 is also Level 2 Module 1 of 4. Encode both so the UI can show a candidate their level position while the system keys off a unique module id. This matches the workbook set exactly.</w:t>
            </w:r>
          </w:p>
        </w:tc>
      </w:tr>
    </w:tbl>
    <w:p>
      <w:pPr>
        <w:pStyle w:val="Heading2"/>
        <w:spacing w:after="110" w:before="300"/>
      </w:pPr>
      <w:r>
        <w:rPr>
          <w:rFonts w:ascii="Calibri" w:cs="Calibri" w:eastAsia="Calibri" w:hAnsi="Calibri"/>
          <w:b/>
          <w:bCs/>
          <w:i w:val="false"/>
          <w:iCs w:val="false"/>
          <w:color w:val="1E2761"/>
          <w:sz w:val="26"/>
          <w:szCs w:val="26"/>
        </w:rPr>
        <w:t xml:space="preserve">3.2 The three build phases</w:t>
      </w:r>
    </w:p>
    <w:p>
      <w:pPr>
        <w:pStyle w:val="ListParagraph"/>
        <w:numPr>
          <w:ilvl w:val="0"/>
          <w:numId w:val="3"/>
        </w:numPr>
        <w:spacing w:after="90" w:line="274"/>
      </w:pPr>
      <w:r>
        <w:rPr>
          <w:rFonts w:ascii="Calibri" w:cs="Calibri" w:eastAsia="Calibri" w:hAnsi="Calibri"/>
          <w:b/>
          <w:bCs/>
          <w:i w:val="false"/>
          <w:iCs w:val="false"/>
          <w:color w:val="0E1726"/>
          <w:sz w:val="22"/>
          <w:szCs w:val="22"/>
        </w:rPr>
        <w:t xml:space="preserve">Phase 1: Content and scored gates. </w:t>
      </w:r>
      <w:r>
        <w:rPr>
          <w:rFonts w:ascii="Calibri" w:cs="Calibri" w:eastAsia="Calibri" w:hAnsi="Calibri"/>
          <w:b w:val="false"/>
          <w:bCs w:val="false"/>
          <w:i w:val="false"/>
          <w:iCs w:val="false"/>
          <w:color w:val="2E3B4B"/>
          <w:sz w:val="22"/>
          <w:szCs w:val="22"/>
        </w:rPr>
        <w:t xml:space="preserve">Encode preceptor_modules from the workbooks. Render the module reader, the Gate 1 knowledge checks, the Gate 2 simulations, and the read-only Gate 3 observation checklists, reusing the Foundations reader and gate UI. Candidates can open assigned modules and pass scored gates. No enrollment gating yet.</w:t>
      </w:r>
    </w:p>
    <w:p>
      <w:pPr>
        <w:pStyle w:val="ListParagraph"/>
        <w:numPr>
          <w:ilvl w:val="0"/>
          <w:numId w:val="3"/>
        </w:numPr>
        <w:spacing w:after="90" w:line="274"/>
      </w:pPr>
      <w:r>
        <w:rPr>
          <w:rFonts w:ascii="Calibri" w:cs="Calibri" w:eastAsia="Calibri" w:hAnsi="Calibri"/>
          <w:b/>
          <w:bCs/>
          <w:i w:val="false"/>
          <w:iCs w:val="false"/>
          <w:color w:val="0E1726"/>
          <w:sz w:val="22"/>
          <w:szCs w:val="22"/>
        </w:rPr>
        <w:t xml:space="preserve">Phase 2: Assignment and remediation linking. </w:t>
      </w:r>
      <w:r>
        <w:rPr>
          <w:rFonts w:ascii="Calibri" w:cs="Calibri" w:eastAsia="Calibri" w:hAnsi="Calibri"/>
          <w:b w:val="false"/>
          <w:bCs w:val="false"/>
          <w:i w:val="false"/>
          <w:iCs w:val="false"/>
          <w:color w:val="2E3B4B"/>
          <w:sz w:val="22"/>
          <w:szCs w:val="22"/>
        </w:rPr>
        <w:t xml:space="preserve">Wire preceptor_assignments so educators, managers, and master admin can assign the pathway to a candidate, and progress rolls up into the facility and system dashboards. Link gate failures to targeted remediation, the same remediation mapping Foundations uses.</w:t>
      </w:r>
    </w:p>
    <w:p>
      <w:pPr>
        <w:pStyle w:val="ListParagraph"/>
        <w:numPr>
          <w:ilvl w:val="0"/>
          <w:numId w:val="3"/>
        </w:numPr>
        <w:spacing w:after="90" w:line="274"/>
      </w:pPr>
      <w:r>
        <w:rPr>
          <w:rFonts w:ascii="Calibri" w:cs="Calibri" w:eastAsia="Calibri" w:hAnsi="Calibri"/>
          <w:b/>
          <w:bCs/>
          <w:i w:val="false"/>
          <w:iCs w:val="false"/>
          <w:color w:val="0E1726"/>
          <w:sz w:val="22"/>
          <w:szCs w:val="22"/>
        </w:rPr>
        <w:t xml:space="preserve">Phase 3: Enrollment, access control, and enforcement. </w:t>
      </w:r>
      <w:r>
        <w:rPr>
          <w:rFonts w:ascii="Calibri" w:cs="Calibri" w:eastAsia="Calibri" w:hAnsi="Calibri"/>
          <w:b w:val="false"/>
          <w:bCs w:val="false"/>
          <w:i w:val="false"/>
          <w:iCs w:val="false"/>
          <w:color w:val="2E3B4B"/>
          <w:sz w:val="22"/>
          <w:szCs w:val="22"/>
        </w:rPr>
        <w:t xml:space="preserve">Add the access-control layer from Section 4: the master admin toggle that grants or revokes curriculum access per user regardless of belt, plus the Level 2 and Level 3 prerequisite enforcement (must hold the lower certification to enroll in the next). This phase is where the toggle-on/toggle-off requirement is delivered.</w:t>
      </w:r>
    </w:p>
    <w:p>
      <w:pPr>
        <w:pStyle w:val="Heading2"/>
        <w:spacing w:after="110" w:before="300"/>
      </w:pPr>
      <w:r>
        <w:rPr>
          <w:rFonts w:ascii="Calibri" w:cs="Calibri" w:eastAsia="Calibri" w:hAnsi="Calibri"/>
          <w:b/>
          <w:bCs/>
          <w:i w:val="false"/>
          <w:iCs w:val="false"/>
          <w:color w:val="1E2761"/>
          <w:sz w:val="26"/>
          <w:szCs w:val="26"/>
        </w:rPr>
        <w:t xml:space="preserve">3.3 Gate 3 confirmation authority</w:t>
      </w:r>
    </w:p>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CRITICAL   </w:t>
            </w:r>
            <w:r>
              <w:rPr>
                <w:rFonts w:ascii="Calibri" w:cs="Calibri" w:eastAsia="Calibri" w:hAnsi="Calibri"/>
                <w:b/>
                <w:bCs/>
                <w:i w:val="false"/>
                <w:iCs w:val="false"/>
                <w:color w:val="0E1726"/>
                <w:sz w:val="22"/>
                <w:szCs w:val="22"/>
              </w:rPr>
              <w:t xml:space="preserve">Only qualified confirmers can confirm a preceptor's Gate 3.</w:t>
            </w:r>
          </w:p>
          <w:p>
            <w:pPr>
              <w:spacing w:after="100" w:before="0" w:line="284"/>
            </w:pPr>
            <w:r>
              <w:rPr>
                <w:rFonts w:ascii="Calibri" w:cs="Calibri" w:eastAsia="Calibri" w:hAnsi="Calibri"/>
                <w:b w:val="false"/>
                <w:bCs w:val="false"/>
                <w:i w:val="false"/>
                <w:iCs w:val="false"/>
                <w:color w:val="2E3B4B"/>
                <w:sz w:val="22"/>
                <w:szCs w:val="22"/>
              </w:rPr>
              <w:t xml:space="preserve">A preceptor candidate's own observation gate cannot be confirmed by just any educator. Level 1 preceptor observations are confirmed by a certified preceptor or above; Level 3 Master observations are confirmed at the SIPS level. The confirm flow already records confirmer identity and date, so the build adds a check that the confirmer holds sufficient standing. Belt confirmation authority stays with SIPS, consistent with the platform-wide rule that facilities administer but do not hold unilateral confirmation authority.</w:t>
            </w:r>
          </w:p>
        </w:tc>
      </w:tr>
    </w:tbl>
    <w:p>
      <w:r>
        <w:br w:type="page"/>
      </w:r>
    </w:p>
    <w:p>
      <w:pPr>
        <w:pStyle w:val="Heading1"/>
        <w:spacing w:after="150" w:before="340"/>
      </w:pPr>
      <w:r>
        <w:rPr>
          <w:rFonts w:ascii="Georgia" w:cs="Georgia" w:eastAsia="Georgia" w:hAnsi="Georgia"/>
          <w:b/>
          <w:bCs/>
          <w:i w:val="false"/>
          <w:iCs w:val="false"/>
          <w:color w:val="0D1B35"/>
          <w:sz w:val="32"/>
          <w:szCs w:val="32"/>
        </w:rPr>
        <w:t xml:space="preserve">4. Master admin access control</w:t>
      </w:r>
    </w:p>
    <w:p>
      <w:pPr>
        <w:spacing w:after="170" w:before="0" w:line="300"/>
      </w:pPr>
      <w:r>
        <w:rPr>
          <w:rFonts w:ascii="Georgia" w:cs="Georgia" w:eastAsia="Georgia" w:hAnsi="Georgia"/>
          <w:b w:val="false"/>
          <w:bCs w:val="false"/>
          <w:i/>
          <w:iCs/>
          <w:color w:val="1E2761"/>
          <w:sz w:val="23"/>
          <w:szCs w:val="23"/>
        </w:rPr>
        <w:t xml:space="preserve">The specific requirement: the master admin must be able to toggle curriculum access on and off for any user, granting or revoking the preceptor certification independent of that user's belt level. This section defines exactly what access the master admin needs and how the toggle behaves.</w:t>
      </w:r>
    </w:p>
    <w:p>
      <w:pPr>
        <w:pStyle w:val="Heading2"/>
        <w:spacing w:after="110" w:before="300"/>
      </w:pPr>
      <w:r>
        <w:rPr>
          <w:rFonts w:ascii="Calibri" w:cs="Calibri" w:eastAsia="Calibri" w:hAnsi="Calibri"/>
          <w:b/>
          <w:bCs/>
          <w:i w:val="false"/>
          <w:iCs w:val="false"/>
          <w:color w:val="1E2761"/>
          <w:sz w:val="26"/>
          <w:szCs w:val="26"/>
        </w:rPr>
        <w:t xml:space="preserve">4.1 The problem this solves</w:t>
      </w:r>
    </w:p>
    <w:p>
      <w:pPr>
        <w:spacing w:after="150" w:before="0" w:line="292"/>
      </w:pPr>
      <w:r>
        <w:rPr>
          <w:rFonts w:ascii="Calibri" w:cs="Calibri" w:eastAsia="Calibri" w:hAnsi="Calibri"/>
          <w:b w:val="false"/>
          <w:bCs w:val="false"/>
          <w:i w:val="false"/>
          <w:iCs w:val="false"/>
          <w:color w:val="2E3B4B"/>
          <w:sz w:val="22"/>
          <w:szCs w:val="22"/>
        </w:rPr>
        <w:t xml:space="preserve">By default, curriculum access could be gated purely by belt: reach Green Belt, unlock Educator/Preceptor School. That is too rigid. In reality, SIPS needs to hand-pick who becomes a preceptor. A talented Green Belt may not be preceptor material; a strategically important person may need early access; a preceptor who drifts may need access revoked immediately without touching their belt. The master admin therefore needs a direct, belt-independent switch over who can enter and continue the preceptor curriculum.</w:t>
      </w:r>
    </w:p>
    <w:p>
      <w:pPr>
        <w:pStyle w:val="Heading2"/>
        <w:spacing w:after="110" w:before="300"/>
      </w:pPr>
      <w:r>
        <w:rPr>
          <w:rFonts w:ascii="Calibri" w:cs="Calibri" w:eastAsia="Calibri" w:hAnsi="Calibri"/>
          <w:b/>
          <w:bCs/>
          <w:i w:val="false"/>
          <w:iCs w:val="false"/>
          <w:color w:val="1E2761"/>
          <w:sz w:val="26"/>
          <w:szCs w:val="26"/>
        </w:rPr>
        <w:t xml:space="preserve">4.2 The access model</w:t>
      </w:r>
    </w:p>
    <w:p>
      <w:pPr>
        <w:spacing w:after="150" w:before="0" w:line="292"/>
      </w:pPr>
      <w:r>
        <w:rPr>
          <w:rFonts w:ascii="Calibri" w:cs="Calibri" w:eastAsia="Calibri" w:hAnsi="Calibri"/>
          <w:b w:val="false"/>
          <w:bCs w:val="false"/>
          <w:i w:val="false"/>
          <w:iCs w:val="false"/>
          <w:color w:val="2E3B4B"/>
          <w:sz w:val="22"/>
          <w:szCs w:val="22"/>
        </w:rPr>
        <w:t xml:space="preserve">Access is governed by an explicit grant record per user, separate from belt state. Belt level can inform a suggested default, but the master admin grant is authoritative and overrides it in both directions.</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2100"/>
        <w:gridCol w:w="4640"/>
        <w:gridCol w:w="3100"/>
      </w:tblGrid>
      <w:tr>
        <w:trPr>
          <w:tblHeader/>
        </w:trPr>
        <w:tc>
          <w:tcPr>
            <w:tcW w:type="dxa" w:w="2100"/>
            <w:shd w:fill="0D1B35" w:color="auto" w:val="clear"/>
            <w:tcMar>
              <w:top w:type="dxa" w:w="80"/>
              <w:left w:type="dxa" w:w="120"/>
              <w:bottom w:type="dxa" w:w="80"/>
              <w:right w:type="dxa" w:w="120"/>
            </w:tcMar>
          </w:tcPr>
          <w:p>
            <w:r>
              <w:rPr>
                <w:rFonts w:ascii="Calibri" w:cs="Calibri" w:eastAsia="Calibri" w:hAnsi="Calibri"/>
                <w:b/>
                <w:bCs/>
                <w:i w:val="false"/>
                <w:iCs w:val="false"/>
                <w:color w:val="FFFFFF"/>
                <w:sz w:val="18"/>
                <w:szCs w:val="18"/>
              </w:rPr>
              <w:t xml:space="preserve">Access state</w:t>
            </w:r>
          </w:p>
        </w:tc>
        <w:tc>
          <w:tcPr>
            <w:tcW w:type="dxa" w:w="4640"/>
            <w:shd w:fill="0D1B35" w:color="auto" w:val="clear"/>
            <w:tcMar>
              <w:top w:type="dxa" w:w="80"/>
              <w:left w:type="dxa" w:w="120"/>
              <w:bottom w:type="dxa" w:w="80"/>
              <w:right w:type="dxa" w:w="120"/>
            </w:tcMar>
          </w:tcPr>
          <w:p>
            <w:r>
              <w:rPr>
                <w:rFonts w:ascii="Calibri" w:cs="Calibri" w:eastAsia="Calibri" w:hAnsi="Calibri"/>
                <w:b/>
                <w:bCs/>
                <w:i w:val="false"/>
                <w:iCs w:val="false"/>
                <w:color w:val="FFFFFF"/>
                <w:sz w:val="18"/>
                <w:szCs w:val="18"/>
              </w:rPr>
              <w:t xml:space="preserve">Meaning</w:t>
            </w:r>
          </w:p>
        </w:tc>
        <w:tc>
          <w:tcPr>
            <w:tcW w:type="dxa" w:w="3100"/>
            <w:shd w:fill="0D1B35" w:color="auto" w:val="clear"/>
            <w:tcMar>
              <w:top w:type="dxa" w:w="80"/>
              <w:left w:type="dxa" w:w="120"/>
              <w:bottom w:type="dxa" w:w="80"/>
              <w:right w:type="dxa" w:w="120"/>
            </w:tcMar>
          </w:tcPr>
          <w:p>
            <w:r>
              <w:rPr>
                <w:rFonts w:ascii="Calibri" w:cs="Calibri" w:eastAsia="Calibri" w:hAnsi="Calibri"/>
                <w:b/>
                <w:bCs/>
                <w:i w:val="false"/>
                <w:iCs w:val="false"/>
                <w:color w:val="FFFFFF"/>
                <w:sz w:val="18"/>
                <w:szCs w:val="18"/>
              </w:rPr>
              <w:t xml:space="preserve">Who can set it</w:t>
            </w:r>
          </w:p>
        </w:tc>
      </w:tr>
      <w:tr>
        <w:tc>
          <w:tcPr>
            <w:tcW w:type="dxa" w:w="2100"/>
            <w:shd w:fill="F4F6F9" w:color="auto" w:val="clear"/>
            <w:tcMar>
              <w:top w:type="dxa" w:w="80"/>
              <w:left w:type="dxa" w:w="120"/>
              <w:bottom w:type="dxa" w:w="80"/>
              <w:right w:type="dxa" w:w="120"/>
            </w:tcMar>
          </w:tcPr>
          <w:p>
            <w:r>
              <w:rPr>
                <w:rFonts w:ascii="Calibri" w:cs="Calibri" w:eastAsia="Calibri" w:hAnsi="Calibri"/>
                <w:b/>
                <w:bCs/>
                <w:i w:val="false"/>
                <w:iCs w:val="false"/>
                <w:color w:val="0E1726"/>
                <w:sz w:val="19"/>
                <w:szCs w:val="19"/>
              </w:rPr>
              <w:t xml:space="preserve">Granted</w:t>
            </w:r>
          </w:p>
        </w:tc>
        <w:tc>
          <w:tcPr>
            <w:tcW w:type="dxa" w:w="4640"/>
            <w:shd w:fill="F4F6F9"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User can enroll in and progress through the preceptor curriculum</w:t>
            </w:r>
          </w:p>
        </w:tc>
        <w:tc>
          <w:tcPr>
            <w:tcW w:type="dxa" w:w="3100"/>
            <w:shd w:fill="F4F6F9"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Master admin (any user, any belt)</w:t>
            </w:r>
          </w:p>
        </w:tc>
      </w:tr>
      <w:tr>
        <w:tc>
          <w:tcPr>
            <w:tcW w:type="dxa" w:w="2100"/>
            <w:shd w:fill="FFFFFF" w:color="auto" w:val="clear"/>
            <w:tcMar>
              <w:top w:type="dxa" w:w="80"/>
              <w:left w:type="dxa" w:w="120"/>
              <w:bottom w:type="dxa" w:w="80"/>
              <w:right w:type="dxa" w:w="120"/>
            </w:tcMar>
          </w:tcPr>
          <w:p>
            <w:r>
              <w:rPr>
                <w:rFonts w:ascii="Calibri" w:cs="Calibri" w:eastAsia="Calibri" w:hAnsi="Calibri"/>
                <w:b/>
                <w:bCs/>
                <w:i w:val="false"/>
                <w:iCs w:val="false"/>
                <w:color w:val="0E1726"/>
                <w:sz w:val="19"/>
                <w:szCs w:val="19"/>
              </w:rPr>
              <w:t xml:space="preserve">Revoked</w:t>
            </w:r>
          </w:p>
        </w:tc>
        <w:tc>
          <w:tcPr>
            <w:tcW w:type="dxa" w:w="4640"/>
            <w:shd w:fill="FFFFFF"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User is blocked from the curriculum; existing progress preserved but locked</w:t>
            </w:r>
          </w:p>
        </w:tc>
        <w:tc>
          <w:tcPr>
            <w:tcW w:type="dxa" w:w="3100"/>
            <w:shd w:fill="FFFFFF"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Master admin (any user, any belt)</w:t>
            </w:r>
          </w:p>
        </w:tc>
      </w:tr>
      <w:tr>
        <w:tc>
          <w:tcPr>
            <w:tcW w:type="dxa" w:w="2100"/>
            <w:shd w:fill="F4F6F9" w:color="auto" w:val="clear"/>
            <w:tcMar>
              <w:top w:type="dxa" w:w="80"/>
              <w:left w:type="dxa" w:w="120"/>
              <w:bottom w:type="dxa" w:w="80"/>
              <w:right w:type="dxa" w:w="120"/>
            </w:tcMar>
          </w:tcPr>
          <w:p>
            <w:r>
              <w:rPr>
                <w:rFonts w:ascii="Calibri" w:cs="Calibri" w:eastAsia="Calibri" w:hAnsi="Calibri"/>
                <w:b/>
                <w:bCs/>
                <w:i w:val="false"/>
                <w:iCs w:val="false"/>
                <w:color w:val="0E1726"/>
                <w:sz w:val="19"/>
                <w:szCs w:val="19"/>
              </w:rPr>
              <w:t xml:space="preserve">Default (belt-based)</w:t>
            </w:r>
          </w:p>
        </w:tc>
        <w:tc>
          <w:tcPr>
            <w:tcW w:type="dxa" w:w="4640"/>
            <w:shd w:fill="F4F6F9"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Falls back to belt eligibility when no explicit grant exists</w:t>
            </w:r>
          </w:p>
        </w:tc>
        <w:tc>
          <w:tcPr>
            <w:tcW w:type="dxa" w:w="3100"/>
            <w:shd w:fill="F4F6F9"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System default, overridable by master admin</w:t>
            </w:r>
          </w:p>
        </w:tc>
      </w:tr>
    </w:tbl>
    <w:tbl>
      <w:tblPr>
        <w:tblW w:type="dxa" w:w="9840"/>
        <w:tblBorders>
          <w:top w:val="none"/>
          <w:left w:val="single" w:color="1C5C30" w:sz="22"/>
          <w:bottom w:val="none"/>
          <w:right w:val="none"/>
          <w:insideH w:val="none"/>
          <w:insideV w:val="none"/>
        </w:tblBorders>
      </w:tblPr>
      <w:tblGrid>
        <w:gridCol w:w="9840"/>
      </w:tblGrid>
      <w:tr>
        <w:tc>
          <w:tcPr>
            <w:tcW w:type="dxa" w:w="9840"/>
            <w:shd w:fill="E7F1EC" w:color="auto" w:val="clear"/>
            <w:tcMar>
              <w:top w:type="dxa" w:w="150"/>
              <w:left w:type="dxa" w:w="220"/>
              <w:bottom w:type="dxa" w:w="150"/>
              <w:right w:type="dxa" w:w="220"/>
            </w:tcMar>
          </w:tcPr>
          <w:p>
            <w:pPr>
              <w:spacing w:after="60"/>
            </w:pPr>
            <w:r>
              <w:rPr>
                <w:rFonts w:ascii="Calibri" w:cs="Calibri" w:eastAsia="Calibri" w:hAnsi="Calibri"/>
                <w:b/>
                <w:bCs/>
                <w:i w:val="false"/>
                <w:iCs w:val="false"/>
                <w:color w:val="1C5C30"/>
                <w:spacing w:val="20"/>
                <w:sz w:val="17"/>
                <w:szCs w:val="17"/>
              </w:rPr>
              <w:t xml:space="preserve">BUILD NOTE   </w:t>
            </w:r>
            <w:r>
              <w:rPr>
                <w:rFonts w:ascii="Calibri" w:cs="Calibri" w:eastAsia="Calibri" w:hAnsi="Calibri"/>
                <w:b/>
                <w:bCs/>
                <w:i w:val="false"/>
                <w:iCs w:val="false"/>
                <w:color w:val="0E1726"/>
                <w:sz w:val="22"/>
                <w:szCs w:val="22"/>
              </w:rPr>
              <w:t xml:space="preserve">Store the grant as an explicit, auditable record.</w:t>
            </w:r>
          </w:p>
          <w:p>
            <w:pPr>
              <w:spacing w:after="100" w:before="0" w:line="284"/>
            </w:pPr>
            <w:r>
              <w:rPr>
                <w:rFonts w:ascii="Calibri" w:cs="Calibri" w:eastAsia="Calibri" w:hAnsi="Calibri"/>
                <w:b w:val="false"/>
                <w:bCs w:val="false"/>
                <w:i w:val="false"/>
                <w:iCs w:val="false"/>
                <w:color w:val="2E3B4B"/>
                <w:sz w:val="22"/>
                <w:szCs w:val="22"/>
              </w:rPr>
              <w:t xml:space="preserve">Add a preceptor_access table (or an access flag on the user record) holding: user id, access state (granted / revoked / default), granted_by, granted_at, and an optional reason. The curriculum entry check reads this record first and belt state second. Because it is a record and not just a computed value, every grant and revocation is auditable, which matters for a control that overrides belt logic.</w:t>
            </w:r>
          </w:p>
        </w:tc>
      </w:tr>
    </w:tbl>
    <w:p>
      <w:pPr>
        <w:pStyle w:val="Heading2"/>
        <w:spacing w:after="110" w:before="300"/>
      </w:pPr>
      <w:r>
        <w:rPr>
          <w:rFonts w:ascii="Calibri" w:cs="Calibri" w:eastAsia="Calibri" w:hAnsi="Calibri"/>
          <w:b/>
          <w:bCs/>
          <w:i w:val="false"/>
          <w:iCs w:val="false"/>
          <w:color w:val="1E2761"/>
          <w:sz w:val="26"/>
          <w:szCs w:val="26"/>
        </w:rPr>
        <w:t xml:space="preserve">4.3 The toggle behavior</w:t>
      </w:r>
    </w:p>
    <w:p>
      <w:pPr>
        <w:spacing w:after="150" w:before="0" w:line="292"/>
      </w:pPr>
      <w:r>
        <w:rPr>
          <w:rFonts w:ascii="Calibri" w:cs="Calibri" w:eastAsia="Calibri" w:hAnsi="Calibri"/>
          <w:b w:val="false"/>
          <w:bCs w:val="false"/>
          <w:i w:val="false"/>
          <w:iCs w:val="false"/>
          <w:color w:val="2E3B4B"/>
          <w:sz w:val="22"/>
          <w:szCs w:val="22"/>
        </w:rPr>
        <w:t xml:space="preserve">The master admin sees a control, on each user, that toggles preceptor curriculum access. Its behavior must be precise so the build is unambiguous.</w:t>
      </w:r>
    </w:p>
    <w:p>
      <w:pPr>
        <w:pStyle w:val="ListParagraph"/>
        <w:numPr>
          <w:ilvl w:val="0"/>
          <w:numId w:val="2"/>
        </w:numPr>
        <w:spacing w:after="80" w:line="270"/>
      </w:pPr>
      <w:r>
        <w:rPr>
          <w:rFonts w:ascii="Calibri" w:cs="Calibri" w:eastAsia="Calibri" w:hAnsi="Calibri"/>
          <w:b/>
          <w:bCs/>
          <w:i w:val="false"/>
          <w:iCs w:val="false"/>
          <w:color w:val="0E1726"/>
          <w:sz w:val="22"/>
          <w:szCs w:val="22"/>
        </w:rPr>
        <w:t xml:space="preserve">Toggle ON (grant): </w:t>
      </w:r>
      <w:r>
        <w:rPr>
          <w:rFonts w:ascii="Calibri" w:cs="Calibri" w:eastAsia="Calibri" w:hAnsi="Calibri"/>
          <w:b w:val="false"/>
          <w:bCs w:val="false"/>
          <w:i w:val="false"/>
          <w:iCs w:val="false"/>
          <w:color w:val="2E3B4B"/>
          <w:sz w:val="22"/>
          <w:szCs w:val="22"/>
        </w:rPr>
        <w:t xml:space="preserve">the user gains access to enroll and progress, regardless of belt level. A White Belt can be granted access if SIPS chooses. The user's nav surfaces the preceptor curriculum and assignment becomes possible.</w:t>
      </w:r>
    </w:p>
    <w:p>
      <w:pPr>
        <w:pStyle w:val="ListParagraph"/>
        <w:numPr>
          <w:ilvl w:val="0"/>
          <w:numId w:val="2"/>
        </w:numPr>
        <w:spacing w:after="80" w:line="270"/>
      </w:pPr>
      <w:r>
        <w:rPr>
          <w:rFonts w:ascii="Calibri" w:cs="Calibri" w:eastAsia="Calibri" w:hAnsi="Calibri"/>
          <w:b/>
          <w:bCs/>
          <w:i w:val="false"/>
          <w:iCs w:val="false"/>
          <w:color w:val="0E1726"/>
          <w:sz w:val="22"/>
          <w:szCs w:val="22"/>
        </w:rPr>
        <w:t xml:space="preserve">Toggle OFF (revoke): </w:t>
      </w:r>
      <w:r>
        <w:rPr>
          <w:rFonts w:ascii="Calibri" w:cs="Calibri" w:eastAsia="Calibri" w:hAnsi="Calibri"/>
          <w:b w:val="false"/>
          <w:bCs w:val="false"/>
          <w:i w:val="false"/>
          <w:iCs w:val="false"/>
          <w:color w:val="2E3B4B"/>
          <w:sz w:val="22"/>
          <w:szCs w:val="22"/>
        </w:rPr>
        <w:t xml:space="preserve">the user is immediately blocked from opening or progressing the curriculum. Existing progress and any earned credential are preserved and locked, not deleted, so a later re-grant restores them intact.</w:t>
      </w:r>
    </w:p>
    <w:p>
      <w:pPr>
        <w:pStyle w:val="ListParagraph"/>
        <w:numPr>
          <w:ilvl w:val="0"/>
          <w:numId w:val="2"/>
        </w:numPr>
        <w:spacing w:after="80" w:line="270"/>
      </w:pPr>
      <w:r>
        <w:rPr>
          <w:rFonts w:ascii="Calibri" w:cs="Calibri" w:eastAsia="Calibri" w:hAnsi="Calibri"/>
          <w:b/>
          <w:bCs/>
          <w:i w:val="false"/>
          <w:iCs w:val="false"/>
          <w:color w:val="0E1726"/>
          <w:sz w:val="22"/>
          <w:szCs w:val="22"/>
        </w:rPr>
        <w:t xml:space="preserve">Belt-independence: </w:t>
      </w:r>
      <w:r>
        <w:rPr>
          <w:rFonts w:ascii="Calibri" w:cs="Calibri" w:eastAsia="Calibri" w:hAnsi="Calibri"/>
          <w:b w:val="false"/>
          <w:bCs w:val="false"/>
          <w:i w:val="false"/>
          <w:iCs w:val="false"/>
          <w:color w:val="2E3B4B"/>
          <w:sz w:val="22"/>
          <w:szCs w:val="22"/>
        </w:rPr>
        <w:t xml:space="preserve">neither state reads or writes belt level. Granting preceptor access never changes a belt; losing a belt never auto-revokes a granted preceptor access. The two systems are deliberately decoupled.</w:t>
      </w:r>
    </w:p>
    <w:p>
      <w:pPr>
        <w:pStyle w:val="ListParagraph"/>
        <w:numPr>
          <w:ilvl w:val="0"/>
          <w:numId w:val="2"/>
        </w:numPr>
        <w:spacing w:after="80" w:line="270"/>
      </w:pPr>
      <w:r>
        <w:rPr>
          <w:rFonts w:ascii="Calibri" w:cs="Calibri" w:eastAsia="Calibri" w:hAnsi="Calibri"/>
          <w:b/>
          <w:bCs/>
          <w:i w:val="false"/>
          <w:iCs w:val="false"/>
          <w:color w:val="0E1726"/>
          <w:sz w:val="22"/>
          <w:szCs w:val="22"/>
        </w:rPr>
        <w:t xml:space="preserve">Scope: </w:t>
      </w:r>
      <w:r>
        <w:rPr>
          <w:rFonts w:ascii="Calibri" w:cs="Calibri" w:eastAsia="Calibri" w:hAnsi="Calibri"/>
          <w:b w:val="false"/>
          <w:bCs w:val="false"/>
          <w:i w:val="false"/>
          <w:iCs w:val="false"/>
          <w:color w:val="2E3B4B"/>
          <w:sz w:val="22"/>
          <w:szCs w:val="22"/>
        </w:rPr>
        <w:t xml:space="preserve">master admin can toggle any user at any facility. Educators and managers cannot; they can assign the curriculum to a user who already has access, but only master admin controls the access grant itself.</w:t>
      </w:r>
    </w:p>
    <w:tbl>
      <w:tblPr>
        <w:tblW w:type="dxa" w:w="9840"/>
        <w:tblBorders>
          <w:top w:val="none"/>
          <w:left w:val="single" w:color="9A342A" w:sz="22"/>
          <w:bottom w:val="none"/>
          <w:right w:val="none"/>
          <w:insideH w:val="none"/>
          <w:insideV w:val="none"/>
        </w:tblBorders>
      </w:tblPr>
      <w:tblGrid>
        <w:gridCol w:w="9840"/>
      </w:tblGrid>
      <w:tr>
        <w:tc>
          <w:tcPr>
            <w:tcW w:type="dxa" w:w="9840"/>
            <w:shd w:fill="FBE9E6" w:color="auto" w:val="clear"/>
            <w:tcMar>
              <w:top w:type="dxa" w:w="150"/>
              <w:left w:type="dxa" w:w="220"/>
              <w:bottom w:type="dxa" w:w="150"/>
              <w:right w:type="dxa" w:w="220"/>
            </w:tcMar>
          </w:tcPr>
          <w:p>
            <w:pPr>
              <w:spacing w:after="60"/>
            </w:pPr>
            <w:r>
              <w:rPr>
                <w:rFonts w:ascii="Calibri" w:cs="Calibri" w:eastAsia="Calibri" w:hAnsi="Calibri"/>
                <w:b/>
                <w:bCs/>
                <w:i w:val="false"/>
                <w:iCs w:val="false"/>
                <w:color w:val="9A342A"/>
                <w:spacing w:val="20"/>
                <w:sz w:val="17"/>
                <w:szCs w:val="17"/>
              </w:rPr>
              <w:t xml:space="preserve">NON-NEGOTIABLE   </w:t>
            </w:r>
            <w:r>
              <w:rPr>
                <w:rFonts w:ascii="Calibri" w:cs="Calibri" w:eastAsia="Calibri" w:hAnsi="Calibri"/>
                <w:b/>
                <w:bCs/>
                <w:i w:val="false"/>
                <w:iCs w:val="false"/>
                <w:color w:val="0E1726"/>
                <w:sz w:val="22"/>
                <w:szCs w:val="22"/>
              </w:rPr>
              <w:t xml:space="preserve">This control belongs to master admin only.</w:t>
            </w:r>
          </w:p>
          <w:p>
            <w:pPr>
              <w:spacing w:after="100" w:before="0" w:line="284"/>
            </w:pPr>
            <w:r>
              <w:rPr>
                <w:rFonts w:ascii="Calibri" w:cs="Calibri" w:eastAsia="Calibri" w:hAnsi="Calibri"/>
                <w:b w:val="false"/>
                <w:bCs w:val="false"/>
                <w:i w:val="false"/>
                <w:iCs w:val="false"/>
                <w:color w:val="2E3B4B"/>
                <w:sz w:val="22"/>
                <w:szCs w:val="22"/>
              </w:rPr>
              <w:t xml:space="preserve">The grant/revoke toggle sits above the facility layer, consistent with the five-tier hierarchy. Hospital managers, facility admins, and even assessors do not get it. Master admin holds sole authority over who enters the preceptor curriculum, exactly as SIPS holds sole belt-confirmation authority. This keeps the gatekeeping for who shapes the standard at the SIPS level, where it must stay.</w:t>
            </w:r>
          </w:p>
        </w:tc>
      </w:tr>
    </w:tbl>
    <w:p>
      <w:pPr>
        <w:pStyle w:val="Heading2"/>
        <w:spacing w:after="110" w:before="300"/>
      </w:pPr>
      <w:r>
        <w:rPr>
          <w:rFonts w:ascii="Calibri" w:cs="Calibri" w:eastAsia="Calibri" w:hAnsi="Calibri"/>
          <w:b/>
          <w:bCs/>
          <w:i w:val="false"/>
          <w:iCs w:val="false"/>
          <w:color w:val="1E2761"/>
          <w:sz w:val="26"/>
          <w:szCs w:val="26"/>
        </w:rPr>
        <w:t xml:space="preserve">4.4 Where it fits the existing access hierarchy</w:t>
      </w:r>
    </w:p>
    <w:p>
      <w:pPr>
        <w:spacing w:after="150" w:before="0" w:line="292"/>
      </w:pPr>
      <w:r>
        <w:rPr>
          <w:rFonts w:ascii="Calibri" w:cs="Calibri" w:eastAsia="Calibri" w:hAnsi="Calibri"/>
          <w:b w:val="false"/>
          <w:bCs w:val="false"/>
          <w:i w:val="false"/>
          <w:iCs w:val="false"/>
          <w:color w:val="2E3B4B"/>
          <w:sz w:val="22"/>
          <w:szCs w:val="22"/>
        </w:rPr>
        <w:t xml:space="preserve">This does not invent a new permission tier. It extends the master admin capabilities already defined in the five-tier hierarchy, master admin already has full read/write across all facilities, all users, and all belt state. The preceptor access toggle is one more thing that global authority governs, sitting alongside facility creation, user management, and assessment processing.</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2540"/>
        <w:gridCol w:w="2500"/>
        <w:gridCol w:w="2400"/>
        <w:gridCol w:w="2400"/>
      </w:tblGrid>
      <w:tr>
        <w:trPr>
          <w:tblHeader/>
        </w:trPr>
        <w:tc>
          <w:tcPr>
            <w:tcW w:type="dxa" w:w="2540"/>
            <w:shd w:fill="0D1B35" w:color="auto" w:val="clear"/>
            <w:tcMar>
              <w:top w:type="dxa" w:w="80"/>
              <w:left w:type="dxa" w:w="120"/>
              <w:bottom w:type="dxa" w:w="80"/>
              <w:right w:type="dxa" w:w="120"/>
            </w:tcMar>
          </w:tcPr>
          <w:p>
            <w:r>
              <w:rPr>
                <w:rFonts w:ascii="Calibri" w:cs="Calibri" w:eastAsia="Calibri" w:hAnsi="Calibri"/>
                <w:b/>
                <w:bCs/>
                <w:i w:val="false"/>
                <w:iCs w:val="false"/>
                <w:color w:val="FFFFFF"/>
                <w:sz w:val="18"/>
                <w:szCs w:val="18"/>
              </w:rPr>
              <w:t xml:space="preserve">Role</w:t>
            </w:r>
          </w:p>
        </w:tc>
        <w:tc>
          <w:tcPr>
            <w:tcW w:type="dxa" w:w="2500"/>
            <w:shd w:fill="0D1B35" w:color="auto" w:val="clear"/>
            <w:tcMar>
              <w:top w:type="dxa" w:w="80"/>
              <w:left w:type="dxa" w:w="120"/>
              <w:bottom w:type="dxa" w:w="80"/>
              <w:right w:type="dxa" w:w="120"/>
            </w:tcMar>
          </w:tcPr>
          <w:p>
            <w:r>
              <w:rPr>
                <w:rFonts w:ascii="Calibri" w:cs="Calibri" w:eastAsia="Calibri" w:hAnsi="Calibri"/>
                <w:b/>
                <w:bCs/>
                <w:i w:val="false"/>
                <w:iCs w:val="false"/>
                <w:color w:val="FFFFFF"/>
                <w:sz w:val="18"/>
                <w:szCs w:val="18"/>
              </w:rPr>
              <w:t xml:space="preserve">Assign curriculum (to access-holders)</w:t>
            </w:r>
          </w:p>
        </w:tc>
        <w:tc>
          <w:tcPr>
            <w:tcW w:type="dxa" w:w="2400"/>
            <w:shd w:fill="0D1B35" w:color="auto" w:val="clear"/>
            <w:tcMar>
              <w:top w:type="dxa" w:w="80"/>
              <w:left w:type="dxa" w:w="120"/>
              <w:bottom w:type="dxa" w:w="80"/>
              <w:right w:type="dxa" w:w="120"/>
            </w:tcMar>
          </w:tcPr>
          <w:p>
            <w:r>
              <w:rPr>
                <w:rFonts w:ascii="Calibri" w:cs="Calibri" w:eastAsia="Calibri" w:hAnsi="Calibri"/>
                <w:b/>
                <w:bCs/>
                <w:i w:val="false"/>
                <w:iCs w:val="false"/>
                <w:color w:val="FFFFFF"/>
                <w:sz w:val="18"/>
                <w:szCs w:val="18"/>
              </w:rPr>
              <w:t xml:space="preserve">Toggle access grant on/off</w:t>
            </w:r>
          </w:p>
        </w:tc>
        <w:tc>
          <w:tcPr>
            <w:tcW w:type="dxa" w:w="2400"/>
            <w:shd w:fill="0D1B35" w:color="auto" w:val="clear"/>
            <w:tcMar>
              <w:top w:type="dxa" w:w="80"/>
              <w:left w:type="dxa" w:w="120"/>
              <w:bottom w:type="dxa" w:w="80"/>
              <w:right w:type="dxa" w:w="120"/>
            </w:tcMar>
          </w:tcPr>
          <w:p>
            <w:r>
              <w:rPr>
                <w:rFonts w:ascii="Calibri" w:cs="Calibri" w:eastAsia="Calibri" w:hAnsi="Calibri"/>
                <w:b/>
                <w:bCs/>
                <w:i w:val="false"/>
                <w:iCs w:val="false"/>
                <w:color w:val="FFFFFF"/>
                <w:sz w:val="18"/>
                <w:szCs w:val="18"/>
              </w:rPr>
              <w:t xml:space="preserve">Confirm preceptor Gate 3</w:t>
            </w:r>
          </w:p>
        </w:tc>
      </w:tr>
      <w:tr>
        <w:tc>
          <w:tcPr>
            <w:tcW w:type="dxa" w:w="2540"/>
            <w:shd w:fill="F4F6F9" w:color="auto" w:val="clear"/>
            <w:tcMar>
              <w:top w:type="dxa" w:w="80"/>
              <w:left w:type="dxa" w:w="120"/>
              <w:bottom w:type="dxa" w:w="80"/>
              <w:right w:type="dxa" w:w="120"/>
            </w:tcMar>
          </w:tcPr>
          <w:p>
            <w:r>
              <w:rPr>
                <w:rFonts w:ascii="Calibri" w:cs="Calibri" w:eastAsia="Calibri" w:hAnsi="Calibri"/>
                <w:b/>
                <w:bCs/>
                <w:i w:val="false"/>
                <w:iCs w:val="false"/>
                <w:color w:val="0E1726"/>
                <w:sz w:val="19"/>
                <w:szCs w:val="19"/>
              </w:rPr>
              <w:t xml:space="preserve">Staff / candidate</w:t>
            </w:r>
          </w:p>
        </w:tc>
        <w:tc>
          <w:tcPr>
            <w:tcW w:type="dxa" w:w="2500"/>
            <w:shd w:fill="F4F6F9"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No</w:t>
            </w:r>
          </w:p>
        </w:tc>
        <w:tc>
          <w:tcPr>
            <w:tcW w:type="dxa" w:w="2400"/>
            <w:shd w:fill="F4F6F9"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No</w:t>
            </w:r>
          </w:p>
        </w:tc>
        <w:tc>
          <w:tcPr>
            <w:tcW w:type="dxa" w:w="2400"/>
            <w:shd w:fill="F4F6F9"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No</w:t>
            </w:r>
          </w:p>
        </w:tc>
      </w:tr>
      <w:tr>
        <w:tc>
          <w:tcPr>
            <w:tcW w:type="dxa" w:w="2540"/>
            <w:shd w:fill="FFFFFF" w:color="auto" w:val="clear"/>
            <w:tcMar>
              <w:top w:type="dxa" w:w="80"/>
              <w:left w:type="dxa" w:w="120"/>
              <w:bottom w:type="dxa" w:w="80"/>
              <w:right w:type="dxa" w:w="120"/>
            </w:tcMar>
          </w:tcPr>
          <w:p>
            <w:r>
              <w:rPr>
                <w:rFonts w:ascii="Calibri" w:cs="Calibri" w:eastAsia="Calibri" w:hAnsi="Calibri"/>
                <w:b/>
                <w:bCs/>
                <w:i w:val="false"/>
                <w:iCs w:val="false"/>
                <w:color w:val="0E1726"/>
                <w:sz w:val="19"/>
                <w:szCs w:val="19"/>
              </w:rPr>
              <w:t xml:space="preserve">Educator</w:t>
            </w:r>
          </w:p>
        </w:tc>
        <w:tc>
          <w:tcPr>
            <w:tcW w:type="dxa" w:w="2500"/>
            <w:shd w:fill="FFFFFF"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Facility only</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No</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Level 1 only, if certified</w:t>
            </w:r>
          </w:p>
        </w:tc>
      </w:tr>
      <w:tr>
        <w:tc>
          <w:tcPr>
            <w:tcW w:type="dxa" w:w="2540"/>
            <w:shd w:fill="F4F6F9" w:color="auto" w:val="clear"/>
            <w:tcMar>
              <w:top w:type="dxa" w:w="80"/>
              <w:left w:type="dxa" w:w="120"/>
              <w:bottom w:type="dxa" w:w="80"/>
              <w:right w:type="dxa" w:w="120"/>
            </w:tcMar>
          </w:tcPr>
          <w:p>
            <w:r>
              <w:rPr>
                <w:rFonts w:ascii="Calibri" w:cs="Calibri" w:eastAsia="Calibri" w:hAnsi="Calibri"/>
                <w:b/>
                <w:bCs/>
                <w:i w:val="false"/>
                <w:iCs w:val="false"/>
                <w:color w:val="0E1726"/>
                <w:sz w:val="19"/>
                <w:szCs w:val="19"/>
              </w:rPr>
              <w:t xml:space="preserve">Hospital / Facility Admin</w:t>
            </w:r>
          </w:p>
        </w:tc>
        <w:tc>
          <w:tcPr>
            <w:tcW w:type="dxa" w:w="2500"/>
            <w:shd w:fill="F4F6F9"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Facility only</w:t>
            </w:r>
          </w:p>
        </w:tc>
        <w:tc>
          <w:tcPr>
            <w:tcW w:type="dxa" w:w="2400"/>
            <w:shd w:fill="F4F6F9"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No</w:t>
            </w:r>
          </w:p>
        </w:tc>
        <w:tc>
          <w:tcPr>
            <w:tcW w:type="dxa" w:w="2400"/>
            <w:shd w:fill="F4F6F9"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No</w:t>
            </w:r>
          </w:p>
        </w:tc>
      </w:tr>
      <w:tr>
        <w:tc>
          <w:tcPr>
            <w:tcW w:type="dxa" w:w="2540"/>
            <w:shd w:fill="FFFFFF" w:color="auto" w:val="clear"/>
            <w:tcMar>
              <w:top w:type="dxa" w:w="80"/>
              <w:left w:type="dxa" w:w="120"/>
              <w:bottom w:type="dxa" w:w="80"/>
              <w:right w:type="dxa" w:w="120"/>
            </w:tcMar>
          </w:tcPr>
          <w:p>
            <w:r>
              <w:rPr>
                <w:rFonts w:ascii="Calibri" w:cs="Calibri" w:eastAsia="Calibri" w:hAnsi="Calibri"/>
                <w:b/>
                <w:bCs/>
                <w:i w:val="false"/>
                <w:iCs w:val="false"/>
                <w:color w:val="0E1726"/>
                <w:sz w:val="19"/>
                <w:szCs w:val="19"/>
              </w:rPr>
              <w:t xml:space="preserve">Assessor</w:t>
            </w:r>
          </w:p>
        </w:tc>
        <w:tc>
          <w:tcPr>
            <w:tcW w:type="dxa" w:w="2500"/>
            <w:shd w:fill="FFFFFF"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No (observe and confirm)</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No</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Per standing</w:t>
            </w:r>
          </w:p>
        </w:tc>
      </w:tr>
      <w:tr>
        <w:tc>
          <w:tcPr>
            <w:tcW w:type="dxa" w:w="2540"/>
            <w:shd w:fill="F4F6F9" w:color="auto" w:val="clear"/>
            <w:tcMar>
              <w:top w:type="dxa" w:w="80"/>
              <w:left w:type="dxa" w:w="120"/>
              <w:bottom w:type="dxa" w:w="80"/>
              <w:right w:type="dxa" w:w="120"/>
            </w:tcMar>
          </w:tcPr>
          <w:p>
            <w:r>
              <w:rPr>
                <w:rFonts w:ascii="Calibri" w:cs="Calibri" w:eastAsia="Calibri" w:hAnsi="Calibri"/>
                <w:b/>
                <w:bCs/>
                <w:i w:val="false"/>
                <w:iCs w:val="false"/>
                <w:color w:val="0E1726"/>
                <w:sz w:val="19"/>
                <w:szCs w:val="19"/>
              </w:rPr>
              <w:t xml:space="preserve">Master Admin</w:t>
            </w:r>
          </w:p>
        </w:tc>
        <w:tc>
          <w:tcPr>
            <w:tcW w:type="dxa" w:w="2500"/>
            <w:shd w:fill="F4F6F9"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All facilities</w:t>
            </w:r>
          </w:p>
        </w:tc>
        <w:tc>
          <w:tcPr>
            <w:tcW w:type="dxa" w:w="2400"/>
            <w:shd w:fill="F4F6F9"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Yes, any user any belt</w:t>
            </w:r>
          </w:p>
        </w:tc>
        <w:tc>
          <w:tcPr>
            <w:tcW w:type="dxa" w:w="2400"/>
            <w:shd w:fill="F4F6F9" w:color="auto" w:val="clear"/>
            <w:tcMar>
              <w:top w:type="dxa" w:w="80"/>
              <w:left w:type="dxa" w:w="120"/>
              <w:bottom w:type="dxa" w:w="80"/>
              <w:right w:type="dxa" w:w="120"/>
            </w:tcMar>
          </w:tcPr>
          <w:p>
            <w:r>
              <w:rPr>
                <w:rFonts w:ascii="Calibri" w:cs="Calibri" w:eastAsia="Calibri" w:hAnsi="Calibri"/>
                <w:b w:val="false"/>
                <w:bCs w:val="false"/>
                <w:i w:val="false"/>
                <w:iCs w:val="false"/>
                <w:color w:val="2E3B4B"/>
                <w:sz w:val="19"/>
                <w:szCs w:val="19"/>
              </w:rPr>
              <w:t xml:space="preserve">All levels</w:t>
            </w:r>
          </w:p>
        </w:tc>
      </w:tr>
    </w:tbl>
    <w:tbl>
      <w:tblPr>
        <w:tblW w:type="dxa" w:w="9840"/>
        <w:tblBorders>
          <w:top w:val="none"/>
          <w:left w:val="single" w:color="1C5C30" w:sz="22"/>
          <w:bottom w:val="none"/>
          <w:right w:val="none"/>
          <w:insideH w:val="none"/>
          <w:insideV w:val="none"/>
        </w:tblBorders>
      </w:tblPr>
      <w:tblGrid>
        <w:gridCol w:w="9840"/>
      </w:tblGrid>
      <w:tr>
        <w:tc>
          <w:tcPr>
            <w:tcW w:type="dxa" w:w="9840"/>
            <w:shd w:fill="E7F1EC" w:color="auto" w:val="clear"/>
            <w:tcMar>
              <w:top w:type="dxa" w:w="150"/>
              <w:left w:type="dxa" w:w="220"/>
              <w:bottom w:type="dxa" w:w="150"/>
              <w:right w:type="dxa" w:w="220"/>
            </w:tcMar>
          </w:tcPr>
          <w:p>
            <w:pPr>
              <w:spacing w:after="60"/>
            </w:pPr>
            <w:r>
              <w:rPr>
                <w:rFonts w:ascii="Calibri" w:cs="Calibri" w:eastAsia="Calibri" w:hAnsi="Calibri"/>
                <w:b/>
                <w:bCs/>
                <w:i w:val="false"/>
                <w:iCs w:val="false"/>
                <w:color w:val="1C5C30"/>
                <w:spacing w:val="20"/>
                <w:sz w:val="17"/>
                <w:szCs w:val="17"/>
              </w:rPr>
              <w:t xml:space="preserve">BUILD NOTE   </w:t>
            </w:r>
            <w:r>
              <w:rPr>
                <w:rFonts w:ascii="Calibri" w:cs="Calibri" w:eastAsia="Calibri" w:hAnsi="Calibri"/>
                <w:b/>
                <w:bCs/>
                <w:i w:val="false"/>
                <w:iCs w:val="false"/>
                <w:color w:val="0E1726"/>
                <w:sz w:val="22"/>
                <w:szCs w:val="22"/>
              </w:rPr>
              <w:t xml:space="preserve">Reuse the existing role-detection and user-management surfaces.</w:t>
            </w:r>
          </w:p>
          <w:p>
            <w:pPr>
              <w:spacing w:after="100" w:before="0" w:line="284"/>
            </w:pPr>
            <w:r>
              <w:rPr>
                <w:rFonts w:ascii="Calibri" w:cs="Calibri" w:eastAsia="Calibri" w:hAnsi="Calibri"/>
                <w:b w:val="false"/>
                <w:bCs w:val="false"/>
                <w:i w:val="false"/>
                <w:iCs w:val="false"/>
                <w:color w:val="2E3B4B"/>
                <w:sz w:val="22"/>
                <w:szCs w:val="22"/>
              </w:rPr>
              <w:t xml:space="preserve">The platform already has a master admin user-management area with per-user actions and the protected-account logic. The access toggle should live there as a per-user action, reading and writing the preceptor_access record. No new portal or new permission model is required, only a new control inside the surface that already governs users.</w:t>
            </w:r>
          </w:p>
        </w:tc>
      </w:tr>
    </w:tbl>
    <w:p>
      <w:r>
        <w:br w:type="page"/>
      </w:r>
    </w:p>
    <w:p>
      <w:pPr>
        <w:pStyle w:val="Heading1"/>
        <w:spacing w:after="150" w:before="340"/>
      </w:pPr>
      <w:r>
        <w:rPr>
          <w:rFonts w:ascii="Georgia" w:cs="Georgia" w:eastAsia="Georgia" w:hAnsi="Georgia"/>
          <w:b/>
          <w:bCs/>
          <w:i w:val="false"/>
          <w:iCs w:val="false"/>
          <w:color w:val="0D1B35"/>
          <w:sz w:val="32"/>
          <w:szCs w:val="32"/>
        </w:rPr>
        <w:t xml:space="preserve">5. Build checklist and handoff</w:t>
      </w:r>
    </w:p>
    <w:p>
      <w:pPr>
        <w:spacing w:after="170" w:before="0" w:line="300"/>
      </w:pPr>
      <w:r>
        <w:rPr>
          <w:rFonts w:ascii="Georgia" w:cs="Georgia" w:eastAsia="Georgia" w:hAnsi="Georgia"/>
          <w:b w:val="false"/>
          <w:bCs w:val="false"/>
          <w:i/>
          <w:iCs/>
          <w:color w:val="1E2761"/>
          <w:sz w:val="23"/>
          <w:szCs w:val="23"/>
        </w:rPr>
        <w:t xml:space="preserve">A compact, ordered checklist the team can work against. It follows the phased pattern and ends with the access-control requirement that motivated this document.</w:t>
      </w:r>
    </w:p>
    <w:p>
      <w:pPr>
        <w:pStyle w:val="Heading3"/>
        <w:spacing w:after="80" w:before="220"/>
      </w:pPr>
      <w:r>
        <w:rPr>
          <w:rFonts w:ascii="Calibri" w:cs="Calibri" w:eastAsia="Calibri" w:hAnsi="Calibri"/>
          <w:b/>
          <w:bCs/>
          <w:i w:val="false"/>
          <w:iCs w:val="false"/>
          <w:color w:val="8A5A2B"/>
          <w:sz w:val="22"/>
          <w:szCs w:val="22"/>
        </w:rPr>
        <w:t xml:space="preserve">Phase 1: Content and gates</w:t>
      </w:r>
    </w:p>
    <w:p>
      <w:pPr>
        <w:pStyle w:val="ListParagraph"/>
        <w:numPr>
          <w:ilvl w:val="0"/>
          <w:numId w:val="2"/>
        </w:numPr>
        <w:spacing w:after="80" w:line="270"/>
      </w:pPr>
      <w:r>
        <w:rPr>
          <w:rFonts w:ascii="Calibri" w:cs="Calibri" w:eastAsia="Calibri" w:hAnsi="Calibri"/>
          <w:b w:val="false"/>
          <w:bCs w:val="false"/>
          <w:i w:val="false"/>
          <w:iCs w:val="false"/>
          <w:color w:val="2E3B4B"/>
          <w:sz w:val="22"/>
          <w:szCs w:val="22"/>
        </w:rPr>
        <w:t xml:space="preserve">Encode preceptor_modules (15 modules, continuous numbering, dual level labels) from the 15 learner workbooks.</w:t>
      </w:r>
    </w:p>
    <w:p>
      <w:pPr>
        <w:pStyle w:val="ListParagraph"/>
        <w:numPr>
          <w:ilvl w:val="0"/>
          <w:numId w:val="2"/>
        </w:numPr>
        <w:spacing w:after="80" w:line="270"/>
      </w:pPr>
      <w:r>
        <w:rPr>
          <w:rFonts w:ascii="Calibri" w:cs="Calibri" w:eastAsia="Calibri" w:hAnsi="Calibri"/>
          <w:b w:val="false"/>
          <w:bCs w:val="false"/>
          <w:i w:val="false"/>
          <w:iCs w:val="false"/>
          <w:color w:val="2E3B4B"/>
          <w:sz w:val="22"/>
          <w:szCs w:val="22"/>
        </w:rPr>
        <w:t xml:space="preserve">Seed knowledge items, simulation scenarios, and observation checklists from the six gate documents.</w:t>
      </w:r>
    </w:p>
    <w:p>
      <w:pPr>
        <w:pStyle w:val="ListParagraph"/>
        <w:numPr>
          <w:ilvl w:val="0"/>
          <w:numId w:val="2"/>
        </w:numPr>
        <w:spacing w:after="80" w:line="270"/>
      </w:pPr>
      <w:r>
        <w:rPr>
          <w:rFonts w:ascii="Calibri" w:cs="Calibri" w:eastAsia="Calibri" w:hAnsi="Calibri"/>
          <w:b w:val="false"/>
          <w:bCs w:val="false"/>
          <w:i w:val="false"/>
          <w:iCs w:val="false"/>
          <w:color w:val="2E3B4B"/>
          <w:sz w:val="22"/>
          <w:szCs w:val="22"/>
        </w:rPr>
        <w:t xml:space="preserve">Add </w:t>
      </w:r>
      <w:r>
        <w:rPr>
          <w:rFonts w:ascii="Consolas" w:cs="Consolas" w:eastAsia="Consolas" w:hAnsi="Consolas"/>
          <w:b w:val="false"/>
          <w:bCs w:val="false"/>
          <w:i w:val="false"/>
          <w:iCs w:val="false"/>
          <w:color w:val="0D1B35"/>
          <w:sz w:val="19"/>
          <w:szCs w:val="19"/>
        </w:rPr>
        <w:t xml:space="preserve">s-preceptor</w:t>
      </w:r>
      <w:r>
        <w:rPr>
          <w:rFonts w:ascii="Calibri" w:cs="Calibri" w:eastAsia="Calibri" w:hAnsi="Calibri"/>
          <w:b w:val="false"/>
          <w:bCs w:val="false"/>
          <w:i w:val="false"/>
          <w:iCs w:val="false"/>
          <w:color w:val="2E3B4B"/>
          <w:sz w:val="22"/>
          <w:szCs w:val="22"/>
        </w:rPr>
        <w:t xml:space="preserve"> and </w:t>
      </w:r>
      <w:r>
        <w:rPr>
          <w:rFonts w:ascii="Consolas" w:cs="Consolas" w:eastAsia="Consolas" w:hAnsi="Consolas"/>
          <w:b w:val="false"/>
          <w:bCs w:val="false"/>
          <w:i w:val="false"/>
          <w:iCs w:val="false"/>
          <w:color w:val="0D1B35"/>
          <w:sz w:val="19"/>
          <w:szCs w:val="19"/>
        </w:rPr>
        <w:t xml:space="preserve">h-preceptor</w:t>
      </w:r>
      <w:r>
        <w:rPr>
          <w:rFonts w:ascii="Calibri" w:cs="Calibri" w:eastAsia="Calibri" w:hAnsi="Calibri"/>
          <w:b w:val="false"/>
          <w:bCs w:val="false"/>
          <w:i w:val="false"/>
          <w:iCs w:val="false"/>
          <w:color w:val="2E3B4B"/>
          <w:sz w:val="22"/>
          <w:szCs w:val="22"/>
        </w:rPr>
        <w:t xml:space="preserve"> nav items and views, reusing the Foundations reader and gate UI.</w:t>
      </w:r>
    </w:p>
    <w:p>
      <w:pPr>
        <w:pStyle w:val="ListParagraph"/>
        <w:numPr>
          <w:ilvl w:val="0"/>
          <w:numId w:val="2"/>
        </w:numPr>
        <w:spacing w:after="80" w:line="270"/>
      </w:pPr>
      <w:r>
        <w:rPr>
          <w:rFonts w:ascii="Calibri" w:cs="Calibri" w:eastAsia="Calibri" w:hAnsi="Calibri"/>
          <w:b w:val="false"/>
          <w:bCs w:val="false"/>
          <w:i w:val="false"/>
          <w:iCs w:val="false"/>
          <w:color w:val="2E3B4B"/>
          <w:sz w:val="22"/>
          <w:szCs w:val="22"/>
        </w:rPr>
        <w:t xml:space="preserve">Reuse </w:t>
      </w:r>
      <w:r>
        <w:rPr>
          <w:rFonts w:ascii="Consolas" w:cs="Consolas" w:eastAsia="Consolas" w:hAnsi="Consolas"/>
          <w:b w:val="false"/>
          <w:bCs w:val="false"/>
          <w:i w:val="false"/>
          <w:iCs w:val="false"/>
          <w:color w:val="0D1B35"/>
          <w:sz w:val="19"/>
          <w:szCs w:val="19"/>
        </w:rPr>
        <w:t xml:space="preserve">fndGateBadge()</w:t>
      </w:r>
      <w:r>
        <w:rPr>
          <w:rFonts w:ascii="Calibri" w:cs="Calibri" w:eastAsia="Calibri" w:hAnsi="Calibri"/>
          <w:b w:val="false"/>
          <w:bCs w:val="false"/>
          <w:i w:val="false"/>
          <w:iCs w:val="false"/>
          <w:color w:val="2E3B4B"/>
          <w:sz w:val="22"/>
          <w:szCs w:val="22"/>
        </w:rPr>
        <w:t xml:space="preserve"> and the shared gate engine; ensure load order places preceptor after the shared helpers.</w:t>
      </w:r>
    </w:p>
    <w:p>
      <w:pPr>
        <w:pStyle w:val="Heading3"/>
        <w:spacing w:after="80" w:before="220"/>
      </w:pPr>
      <w:r>
        <w:rPr>
          <w:rFonts w:ascii="Calibri" w:cs="Calibri" w:eastAsia="Calibri" w:hAnsi="Calibri"/>
          <w:b/>
          <w:bCs/>
          <w:i w:val="false"/>
          <w:iCs w:val="false"/>
          <w:color w:val="8A5A2B"/>
          <w:sz w:val="22"/>
          <w:szCs w:val="22"/>
        </w:rPr>
        <w:t xml:space="preserve">Phase 2: Assignment and remediation</w:t>
      </w:r>
    </w:p>
    <w:p>
      <w:pPr>
        <w:pStyle w:val="ListParagraph"/>
        <w:numPr>
          <w:ilvl w:val="0"/>
          <w:numId w:val="2"/>
        </w:numPr>
        <w:spacing w:after="80" w:line="270"/>
      </w:pPr>
      <w:r>
        <w:rPr>
          <w:rFonts w:ascii="Calibri" w:cs="Calibri" w:eastAsia="Calibri" w:hAnsi="Calibri"/>
          <w:b w:val="false"/>
          <w:bCs w:val="false"/>
          <w:i w:val="false"/>
          <w:iCs w:val="false"/>
          <w:color w:val="2E3B4B"/>
          <w:sz w:val="22"/>
          <w:szCs w:val="22"/>
        </w:rPr>
        <w:t xml:space="preserve">Create </w:t>
      </w:r>
      <w:r>
        <w:rPr>
          <w:rFonts w:ascii="Consolas" w:cs="Consolas" w:eastAsia="Consolas" w:hAnsi="Consolas"/>
          <w:b w:val="false"/>
          <w:bCs w:val="false"/>
          <w:i w:val="false"/>
          <w:iCs w:val="false"/>
          <w:color w:val="0D1B35"/>
          <w:sz w:val="19"/>
          <w:szCs w:val="19"/>
        </w:rPr>
        <w:t xml:space="preserve">preceptor_assignments</w:t>
      </w:r>
      <w:r>
        <w:rPr>
          <w:rFonts w:ascii="Calibri" w:cs="Calibri" w:eastAsia="Calibri" w:hAnsi="Calibri"/>
          <w:b w:val="false"/>
          <w:bCs w:val="false"/>
          <w:i w:val="false"/>
          <w:iCs w:val="false"/>
          <w:color w:val="2E3B4B"/>
          <w:sz w:val="22"/>
          <w:szCs w:val="22"/>
        </w:rPr>
        <w:t xml:space="preserve"> and </w:t>
      </w:r>
      <w:r>
        <w:rPr>
          <w:rFonts w:ascii="Consolas" w:cs="Consolas" w:eastAsia="Consolas" w:hAnsi="Consolas"/>
          <w:b w:val="false"/>
          <w:bCs w:val="false"/>
          <w:i w:val="false"/>
          <w:iCs w:val="false"/>
          <w:color w:val="0D1B35"/>
          <w:sz w:val="19"/>
          <w:szCs w:val="19"/>
        </w:rPr>
        <w:t xml:space="preserve">preceptor_progress</w:t>
      </w:r>
      <w:r>
        <w:rPr>
          <w:rFonts w:ascii="Calibri" w:cs="Calibri" w:eastAsia="Calibri" w:hAnsi="Calibri"/>
          <w:b w:val="false"/>
          <w:bCs w:val="false"/>
          <w:i w:val="false"/>
          <w:iCs w:val="false"/>
          <w:color w:val="2E3B4B"/>
          <w:sz w:val="22"/>
          <w:szCs w:val="22"/>
        </w:rPr>
        <w:t xml:space="preserve"> on the Foundations table pattern, with RLS and explicit GRANTs to anon and authenticated.</w:t>
      </w:r>
    </w:p>
    <w:p>
      <w:pPr>
        <w:pStyle w:val="ListParagraph"/>
        <w:numPr>
          <w:ilvl w:val="0"/>
          <w:numId w:val="2"/>
        </w:numPr>
        <w:spacing w:after="80" w:line="270"/>
      </w:pPr>
      <w:r>
        <w:rPr>
          <w:rFonts w:ascii="Calibri" w:cs="Calibri" w:eastAsia="Calibri" w:hAnsi="Calibri"/>
          <w:b w:val="false"/>
          <w:bCs w:val="false"/>
          <w:i w:val="false"/>
          <w:iCs w:val="false"/>
          <w:color w:val="2E3B4B"/>
          <w:sz w:val="22"/>
          <w:szCs w:val="22"/>
        </w:rPr>
        <w:t xml:space="preserve">Wire facility and system dashboards to roll up preceptor progress, reusing the role-based UI filtering.</w:t>
      </w:r>
    </w:p>
    <w:p>
      <w:pPr>
        <w:pStyle w:val="ListParagraph"/>
        <w:numPr>
          <w:ilvl w:val="0"/>
          <w:numId w:val="2"/>
        </w:numPr>
        <w:spacing w:after="80" w:line="270"/>
      </w:pPr>
      <w:r>
        <w:rPr>
          <w:rFonts w:ascii="Calibri" w:cs="Calibri" w:eastAsia="Calibri" w:hAnsi="Calibri"/>
          <w:b w:val="false"/>
          <w:bCs w:val="false"/>
          <w:i w:val="false"/>
          <w:iCs w:val="false"/>
          <w:color w:val="2E3B4B"/>
          <w:sz w:val="22"/>
          <w:szCs w:val="22"/>
        </w:rPr>
        <w:t xml:space="preserve">Link gate failures to targeted remediation mapping.</w:t>
      </w:r>
    </w:p>
    <w:p>
      <w:pPr>
        <w:pStyle w:val="Heading3"/>
        <w:spacing w:after="80" w:before="220"/>
      </w:pPr>
      <w:r>
        <w:rPr>
          <w:rFonts w:ascii="Calibri" w:cs="Calibri" w:eastAsia="Calibri" w:hAnsi="Calibri"/>
          <w:b/>
          <w:bCs/>
          <w:i w:val="false"/>
          <w:iCs w:val="false"/>
          <w:color w:val="8A5A2B"/>
          <w:sz w:val="22"/>
          <w:szCs w:val="22"/>
        </w:rPr>
        <w:t xml:space="preserve">Phase 3: Access control and enforcement</w:t>
      </w:r>
    </w:p>
    <w:p>
      <w:pPr>
        <w:pStyle w:val="ListParagraph"/>
        <w:numPr>
          <w:ilvl w:val="0"/>
          <w:numId w:val="2"/>
        </w:numPr>
        <w:spacing w:after="80" w:line="270"/>
      </w:pPr>
      <w:r>
        <w:rPr>
          <w:rFonts w:ascii="Calibri" w:cs="Calibri" w:eastAsia="Calibri" w:hAnsi="Calibri"/>
          <w:b w:val="false"/>
          <w:bCs w:val="false"/>
          <w:i w:val="false"/>
          <w:iCs w:val="false"/>
          <w:color w:val="2E3B4B"/>
          <w:sz w:val="22"/>
          <w:szCs w:val="22"/>
        </w:rPr>
        <w:t xml:space="preserve">Add the </w:t>
      </w:r>
      <w:r>
        <w:rPr>
          <w:rFonts w:ascii="Consolas" w:cs="Consolas" w:eastAsia="Consolas" w:hAnsi="Consolas"/>
          <w:b w:val="false"/>
          <w:bCs w:val="false"/>
          <w:i w:val="false"/>
          <w:iCs w:val="false"/>
          <w:color w:val="0D1B35"/>
          <w:sz w:val="19"/>
          <w:szCs w:val="19"/>
        </w:rPr>
        <w:t xml:space="preserve">preceptor_access</w:t>
      </w:r>
      <w:r>
        <w:rPr>
          <w:rFonts w:ascii="Calibri" w:cs="Calibri" w:eastAsia="Calibri" w:hAnsi="Calibri"/>
          <w:b w:val="false"/>
          <w:bCs w:val="false"/>
          <w:i w:val="false"/>
          <w:iCs w:val="false"/>
          <w:color w:val="2E3B4B"/>
          <w:sz w:val="22"/>
          <w:szCs w:val="22"/>
        </w:rPr>
        <w:t xml:space="preserve"> record (user id, state, granted_by, granted_at, reason).</w:t>
      </w:r>
    </w:p>
    <w:p>
      <w:pPr>
        <w:pStyle w:val="ListParagraph"/>
        <w:numPr>
          <w:ilvl w:val="0"/>
          <w:numId w:val="2"/>
        </w:numPr>
        <w:spacing w:after="80" w:line="270"/>
      </w:pPr>
      <w:r>
        <w:rPr>
          <w:rFonts w:ascii="Calibri" w:cs="Calibri" w:eastAsia="Calibri" w:hAnsi="Calibri"/>
          <w:b w:val="false"/>
          <w:bCs w:val="false"/>
          <w:i w:val="false"/>
          <w:iCs w:val="false"/>
          <w:color w:val="2E3B4B"/>
          <w:sz w:val="22"/>
          <w:szCs w:val="22"/>
        </w:rPr>
        <w:t xml:space="preserve">Build the master-admin-only toggle in the user-management surface: grant / revoke / default, any user any belt.</w:t>
      </w:r>
    </w:p>
    <w:p>
      <w:pPr>
        <w:pStyle w:val="ListParagraph"/>
        <w:numPr>
          <w:ilvl w:val="0"/>
          <w:numId w:val="2"/>
        </w:numPr>
        <w:spacing w:after="80" w:line="270"/>
      </w:pPr>
      <w:r>
        <w:rPr>
          <w:rFonts w:ascii="Calibri" w:cs="Calibri" w:eastAsia="Calibri" w:hAnsi="Calibri"/>
          <w:b w:val="false"/>
          <w:bCs w:val="false"/>
          <w:i w:val="false"/>
          <w:iCs w:val="false"/>
          <w:color w:val="2E3B4B"/>
          <w:sz w:val="22"/>
          <w:szCs w:val="22"/>
        </w:rPr>
        <w:t xml:space="preserve">Make curriculum entry read the access record first, belt second; preserve and lock progress on revoke.</w:t>
      </w:r>
    </w:p>
    <w:p>
      <w:pPr>
        <w:pStyle w:val="ListParagraph"/>
        <w:numPr>
          <w:ilvl w:val="0"/>
          <w:numId w:val="2"/>
        </w:numPr>
        <w:spacing w:after="80" w:line="270"/>
      </w:pPr>
      <w:r>
        <w:rPr>
          <w:rFonts w:ascii="Calibri" w:cs="Calibri" w:eastAsia="Calibri" w:hAnsi="Calibri"/>
          <w:b w:val="false"/>
          <w:bCs w:val="false"/>
          <w:i w:val="false"/>
          <w:iCs w:val="false"/>
          <w:color w:val="2E3B4B"/>
          <w:sz w:val="22"/>
          <w:szCs w:val="22"/>
        </w:rPr>
        <w:t xml:space="preserve">Enforce Level 2 and Level 3 prerequisites (hold the lower certification to enroll in the next).</w:t>
      </w:r>
    </w:p>
    <w:p>
      <w:pPr>
        <w:pStyle w:val="ListParagraph"/>
        <w:numPr>
          <w:ilvl w:val="0"/>
          <w:numId w:val="2"/>
        </w:numPr>
        <w:spacing w:after="80" w:line="270"/>
      </w:pPr>
      <w:r>
        <w:rPr>
          <w:rFonts w:ascii="Calibri" w:cs="Calibri" w:eastAsia="Calibri" w:hAnsi="Calibri"/>
          <w:b w:val="false"/>
          <w:bCs w:val="false"/>
          <w:i w:val="false"/>
          <w:iCs w:val="false"/>
          <w:color w:val="2E3B4B"/>
          <w:sz w:val="22"/>
          <w:szCs w:val="22"/>
        </w:rPr>
        <w:t xml:space="preserve">Restrict Gate 3 confirmation to qualified confirmers; keep belt-confirmation authority at SIPS.</w:t>
      </w:r>
    </w:p>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POINT   </w:t>
            </w:r>
            <w:r>
              <w:rPr>
                <w:rFonts w:ascii="Calibri" w:cs="Calibri" w:eastAsia="Calibri" w:hAnsi="Calibri"/>
                <w:b/>
                <w:bCs/>
                <w:i w:val="false"/>
                <w:iCs w:val="false"/>
                <w:color w:val="0E1726"/>
                <w:sz w:val="22"/>
                <w:szCs w:val="22"/>
              </w:rPr>
              <w:t xml:space="preserve">One-line summary for the standup.</w:t>
            </w:r>
          </w:p>
          <w:p>
            <w:pPr>
              <w:spacing w:after="100" w:before="0" w:line="284"/>
            </w:pPr>
            <w:r>
              <w:rPr>
                <w:rFonts w:ascii="Calibri" w:cs="Calibri" w:eastAsia="Calibri" w:hAnsi="Calibri"/>
                <w:b w:val="false"/>
                <w:bCs w:val="false"/>
                <w:i w:val="false"/>
                <w:iCs w:val="false"/>
                <w:color w:val="2E3B4B"/>
                <w:sz w:val="22"/>
                <w:szCs w:val="22"/>
              </w:rPr>
              <w:t xml:space="preserve">Build the preceptor certification as a fourth curriculum on the existing Foundations rails, three-gate engine, assignment and progress tables, portal placement near Position School, and add a master-admin-only, belt-independent access toggle that decides who is allowed into it and can revoke that access at any time without touching anyone's belt.</w:t>
            </w:r>
          </w:p>
        </w:tc>
      </w:tr>
    </w:tbl>
    <w:p>
      <w:pPr>
        <w:spacing w:before="220"/>
      </w:pPr>
      <w:r>
        <w:rPr>
          <w:rFonts w:ascii="Georgia" w:cs="Georgia" w:eastAsia="Georgia" w:hAnsi="Georgia"/>
          <w:b w:val="false"/>
          <w:bCs w:val="false"/>
          <w:i/>
          <w:iCs/>
          <w:color w:val="1E2761"/>
          <w:sz w:val="21"/>
          <w:szCs w:val="21"/>
        </w:rPr>
        <w:t xml:space="preserve">Companion materials: the 15 self-paced learner workbooks (Levels 1 to 3) and the 6 certification gate documents (assessor and candidate editions per level) are the content source of truth for this build. They are delivered alongside this synopsis.</w:t>
      </w:r>
    </w:p>
    <w:p>
      <w:pPr>
        <w:pBdr>
          <w:top w:val="single" w:color="D8DEE6" w:sz="6" w:space="8"/>
        </w:pBdr>
        <w:spacing w:before="260"/>
      </w:pPr>
      <w:r>
        <w:rPr>
          <w:rFonts w:ascii="Calibri" w:cs="Calibri" w:eastAsia="Calibri" w:hAnsi="Calibri"/>
          <w:b w:val="false"/>
          <w:bCs w:val="false"/>
          <w:i/>
          <w:iCs/>
          <w:color w:val="6B7B8C"/>
          <w:sz w:val="15"/>
          <w:szCs w:val="15"/>
        </w:rPr>
        <w:t xml:space="preserve">SBD Preceptor Certification · Developer Build Synopsis and Access-Control Specification · Prepared by Dr. Jake Tayler Jacobs, DBA, MBA, B.Ed. for SIPS Healthcare Solutions</w:t>
      </w:r>
    </w:p>
    <w:sectPr>
      <w:headerReference w:type="default" r:id="rId7"/>
      <w:footerReference w:type="default" r:id="rId8"/>
      <w:pgSz w:w="12240" w:h="15840"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6" w:space="6"/>
      </w:pBdr>
      <w:jc w:val="center"/>
    </w:pPr>
    <w:r>
      <w:rPr>
        <w:rFonts w:ascii="Calibri" w:cs="Calibri" w:eastAsia="Calibri" w:hAnsi="Calibri"/>
        <w:b w:val="false"/>
        <w:bCs w:val="false"/>
        <w:i w:val="false"/>
        <w:iCs w:val="false"/>
        <w:color w:val="6B7B8C"/>
        <w:sz w:val="14"/>
        <w:szCs w:val="14"/>
      </w:rPr>
      <w:t xml:space="preserve">Confidential · For the SBD development team · SIPS Healthcare Solutions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6" w:space="6"/>
      </w:pBdr>
    </w:pPr>
    <w:r>
      <w:rPr>
        <w:rFonts w:ascii="Calibri" w:cs="Calibri" w:eastAsia="Calibri" w:hAnsi="Calibri"/>
        <w:b w:val="false"/>
        <w:bCs w:val="false"/>
        <w:i w:val="false"/>
        <w:iCs w:val="false"/>
        <w:color w:val="6B7B8C"/>
        <w:spacing w:val="14"/>
        <w:sz w:val="15"/>
        <w:szCs w:val="15"/>
      </w:rPr>
      <w:t xml:space="preserve">SIPS Healthcare Solutions · SBD Preceptor Certification · Developer Build Synopsis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C49A20"/>
      </w:rPr>
    </w:lvl>
  </w:abstractNum>
  <w:abstractNum w:abstractNumId="3" w15:restartNumberingAfterBreak="0">
    <w:multiLevelType w:val="hybridMultilevel"/>
    <w:lvl w:ilvl="0" w15:tentative="1">
      <w:start w:val="1"/>
      <w:numFmt w:val="decimal"/>
      <w:lvlText w:val="%1."/>
      <w:lvlJc w:val="left"/>
      <w:pPr>
        <w:ind w:left="420" w:hanging="260"/>
      </w:pPr>
      <w:rPr>
        <w:b/>
        <w:bCs/>
        <w:color w:val="C49A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3B4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0D1B35"/>
      <w:sz w:val="32"/>
      <w:szCs w:val="32"/>
    </w:rPr>
  </w:style>
  <w:style w:type="paragraph" w:styleId="Heading2">
    <w:name w:val="Heading 2"/>
    <w:basedOn w:val="Normal"/>
    <w:next w:val="Normal"/>
    <w:qFormat/>
    <w:rPr>
      <w:rFonts w:ascii="Calibri" w:cs="Calibri" w:eastAsia="Calibri" w:hAnsi="Calibri"/>
      <w:b/>
      <w:bCs/>
      <w:color w:val="1E276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SBD Preceptor Certification — Developer Build Synopsis and Access-Control Specification</dc:title>
  <dc:creator>Dr. Jake Tayler Jacobs, DBA, MBA, B.Ed.</dc:creator>
  <cp:lastModifiedBy>Un-named</cp:lastModifiedBy>
  <cp:revision>1</cp:revision>
  <dcterms:created xsi:type="dcterms:W3CDTF">2026-07-13T15:30:42.747Z</dcterms:created>
  <dcterms:modified xsi:type="dcterms:W3CDTF">2026-07-13T15:30:42.748Z</dcterms:modified>
</cp:coreProperties>
</file>

<file path=docProps/custom.xml><?xml version="1.0" encoding="utf-8"?>
<Properties xmlns="http://schemas.openxmlformats.org/officeDocument/2006/custom-properties" xmlns:vt="http://schemas.openxmlformats.org/officeDocument/2006/docPropsVTypes"/>
</file>