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2C0E" w:rsidRDefault="00EF582A" w:rsidP="006453BA">
      <w:pPr>
        <w:spacing w:before="1200" w:after="80"/>
        <w:jc w:val="center"/>
      </w:pPr>
      <w:r>
        <w:rPr>
          <w:b/>
          <w:bCs/>
          <w:color w:val="2E86AB"/>
          <w:sz w:val="26"/>
          <w:szCs w:val="26"/>
        </w:rPr>
        <w:t>DISTIL</w:t>
      </w:r>
    </w:p>
    <w:p w:rsidR="00B92C0E" w:rsidRDefault="00EF582A" w:rsidP="006453BA">
      <w:pPr>
        <w:spacing w:after="200"/>
        <w:jc w:val="center"/>
      </w:pPr>
      <w:r>
        <w:rPr>
          <w:b/>
          <w:bCs/>
          <w:color w:val="17324A"/>
          <w:sz w:val="40"/>
          <w:szCs w:val="40"/>
        </w:rPr>
        <w:t>Engineering Change Request — Five Feature &amp; Accounting Fixes</w:t>
      </w:r>
    </w:p>
    <w:p w:rsidR="00B92C0E" w:rsidRDefault="00EF582A" w:rsidP="006453BA">
      <w:pPr>
        <w:spacing w:after="500"/>
        <w:jc w:val="center"/>
      </w:pPr>
      <w:r>
        <w:rPr>
          <w:i/>
          <w:iCs/>
          <w:color w:val="6B7785"/>
          <w:sz w:val="20"/>
          <w:szCs w:val="20"/>
        </w:rPr>
        <w:t>Prepared for the development team / build AI — September 2026</w:t>
      </w:r>
    </w:p>
    <w:p w:rsidR="00B92C0E" w:rsidRDefault="00EF582A" w:rsidP="006453BA">
      <w:pPr>
        <w:shd w:val="clear" w:color="auto" w:fill="EEF2F6"/>
        <w:jc w:val="center"/>
      </w:pPr>
      <w:r>
        <w:rPr>
          <w:color w:val="2B3A47"/>
          <w:sz w:val="20"/>
          <w:szCs w:val="20"/>
        </w:rPr>
        <w:t>This document specifies five changes to be implemented in Distil: a new Stock/Inventory Health Analysis module, weekly (not just monthly) financial reporting, a correction to how returnable empties are accounted for, a specific classification rule for ca</w:t>
      </w:r>
      <w:r>
        <w:rPr>
          <w:color w:val="2B3A47"/>
          <w:sz w:val="20"/>
          <w:szCs w:val="20"/>
        </w:rPr>
        <w:t>rriage outwards, and a move to batch-level (FIFO) cost tracking to handle volatile purchase costs. Each section states the problem, the required logic, and the data it depends on, so it can be implemented without further clarification.</w:t>
      </w:r>
    </w:p>
    <w:p w:rsidR="00B92C0E" w:rsidRDefault="00EF582A">
      <w:r>
        <w:br w:type="page"/>
      </w:r>
    </w:p>
    <w:p w:rsidR="00B92C0E" w:rsidRDefault="00EF582A">
      <w:pPr>
        <w:pStyle w:val="Heading1"/>
        <w:pBdr>
          <w:bottom w:val="single" w:sz="6" w:space="4" w:color="2E86AB"/>
        </w:pBdr>
        <w:spacing w:before="400" w:after="160"/>
      </w:pPr>
      <w:r>
        <w:rPr>
          <w:b/>
          <w:bCs/>
          <w:color w:val="17324A"/>
          <w:sz w:val="30"/>
          <w:szCs w:val="30"/>
        </w:rPr>
        <w:lastRenderedPageBreak/>
        <w:t>1. New Feature: St</w:t>
      </w:r>
      <w:r>
        <w:rPr>
          <w:b/>
          <w:bCs/>
          <w:color w:val="17324A"/>
          <w:sz w:val="30"/>
          <w:szCs w:val="30"/>
        </w:rPr>
        <w:t>ock / Inventory Health Analysis</w:t>
      </w:r>
      <w:r w:rsidR="00D41777">
        <w:rPr>
          <w:b/>
          <w:bCs/>
          <w:color w:val="17324A"/>
          <w:sz w:val="30"/>
          <w:szCs w:val="30"/>
        </w:rPr>
        <w:t xml:space="preserve"> (PHASE 1&amp;2)</w:t>
      </w:r>
    </w:p>
    <w:p w:rsidR="00B92C0E" w:rsidRDefault="00EF582A">
      <w:pPr>
        <w:spacing w:after="140"/>
      </w:pPr>
      <w:r>
        <w:rPr>
          <w:color w:val="2B3A47"/>
        </w:rPr>
        <w:t>A new module that turns a current stock position (from an uploaded Inventory Summary extract) plus recent sales history into an actionable view of what to reorder, what's overstocked, and what's dead.</w:t>
      </w:r>
    </w:p>
    <w:p w:rsidR="00B92C0E" w:rsidRDefault="00EF582A">
      <w:pPr>
        <w:pStyle w:val="Heading2"/>
        <w:spacing w:before="260" w:after="120"/>
      </w:pPr>
      <w:r>
        <w:rPr>
          <w:b/>
          <w:bCs/>
          <w:color w:val="2E86AB"/>
          <w:sz w:val="23"/>
          <w:szCs w:val="23"/>
        </w:rPr>
        <w:t>1.1 Data Inputs</w:t>
      </w:r>
    </w:p>
    <w:p w:rsidR="00B92C0E" w:rsidRDefault="00EF582A">
      <w:pPr>
        <w:pStyle w:val="ListParagraph"/>
        <w:numPr>
          <w:ilvl w:val="0"/>
          <w:numId w:val="2"/>
        </w:numPr>
        <w:spacing w:after="80"/>
      </w:pPr>
      <w:r>
        <w:rPr>
          <w:color w:val="2B3A47"/>
        </w:rPr>
        <w:t>Current</w:t>
      </w:r>
      <w:r>
        <w:rPr>
          <w:color w:val="2B3A47"/>
        </w:rPr>
        <w:t xml:space="preserve"> stock position: an uploaded Inventory Summary Excel extract (same sheet-classification pattern already used elsewhere — Product, Units/Stock, UOM, Cost </w:t>
      </w:r>
      <w:proofErr w:type="gramStart"/>
      <w:r>
        <w:rPr>
          <w:color w:val="2B3A47"/>
        </w:rPr>
        <w:t>Per</w:t>
      </w:r>
      <w:proofErr w:type="gramEnd"/>
      <w:r>
        <w:rPr>
          <w:color w:val="2B3A47"/>
        </w:rPr>
        <w:t xml:space="preserve"> Unit). This gives current on-hand quantity per product as of the upload date.</w:t>
      </w:r>
    </w:p>
    <w:p w:rsidR="00B92C0E" w:rsidRDefault="00EF582A">
      <w:pPr>
        <w:pStyle w:val="ListParagraph"/>
        <w:numPr>
          <w:ilvl w:val="0"/>
          <w:numId w:val="2"/>
        </w:numPr>
        <w:spacing w:after="80"/>
      </w:pPr>
      <w:r>
        <w:rPr>
          <w:color w:val="2B3A47"/>
        </w:rPr>
        <w:t>Sales history: the ex</w:t>
      </w:r>
      <w:r>
        <w:rPr>
          <w:color w:val="2B3A47"/>
        </w:rPr>
        <w:t>isting Sales Register data, for the trailing window defined in 1.2 below.</w:t>
      </w:r>
    </w:p>
    <w:p w:rsidR="00B92C0E" w:rsidRDefault="00EF582A">
      <w:pPr>
        <w:pStyle w:val="Heading2"/>
        <w:spacing w:before="260" w:after="120"/>
      </w:pPr>
      <w:r>
        <w:rPr>
          <w:b/>
          <w:bCs/>
          <w:color w:val="2E86AB"/>
          <w:sz w:val="23"/>
          <w:szCs w:val="23"/>
        </w:rPr>
        <w:t>1.2 Sales Velocity</w:t>
      </w:r>
    </w:p>
    <w:p w:rsidR="00B92C0E" w:rsidRDefault="00EF582A">
      <w:pPr>
        <w:spacing w:after="140"/>
      </w:pPr>
      <w:r>
        <w:rPr>
          <w:color w:val="2B3A47"/>
        </w:rPr>
        <w:t>Default observation window: trailing 30 days of sales, ending on the inventory extract's “as of” date.</w:t>
      </w:r>
    </w:p>
    <w:p w:rsidR="00B92C0E" w:rsidRDefault="00EF582A">
      <w:pPr>
        <w:pStyle w:val="ListParagraph"/>
        <w:numPr>
          <w:ilvl w:val="0"/>
          <w:numId w:val="3"/>
        </w:numPr>
        <w:spacing w:after="100"/>
      </w:pPr>
      <w:r>
        <w:rPr>
          <w:color w:val="2B3A47"/>
        </w:rPr>
        <w:t>If a product has fewer than 10 sales transactions in the tra</w:t>
      </w:r>
      <w:r>
        <w:rPr>
          <w:color w:val="2B3A47"/>
        </w:rPr>
        <w:t>iling 30 days, extend the window to 45 days for that product only, to avoid a velocity estimate built on too little data.</w:t>
      </w:r>
    </w:p>
    <w:p w:rsidR="00B92C0E" w:rsidRDefault="00EF582A">
      <w:pPr>
        <w:pStyle w:val="ListParagraph"/>
        <w:numPr>
          <w:ilvl w:val="0"/>
          <w:numId w:val="3"/>
        </w:numPr>
        <w:spacing w:after="100"/>
      </w:pPr>
      <w:r>
        <w:rPr>
          <w:color w:val="2B3A47"/>
        </w:rPr>
        <w:t>Sales Velocity (units/day) = total units sold (excluding empties lines) in the observation window ÷ number of calendar days in that wi</w:t>
      </w:r>
      <w:r>
        <w:rPr>
          <w:color w:val="2B3A47"/>
        </w:rPr>
        <w:t>ndow.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92C0E">
        <w:tblPrEx>
          <w:tblCellMar>
            <w:top w:w="0" w:type="dxa"/>
            <w:bottom w:w="0" w:type="dxa"/>
          </w:tblCellMar>
        </w:tblPrEx>
        <w:tc>
          <w:tcPr>
            <w:tcW w:w="9350" w:type="dxa"/>
            <w:tcBorders>
              <w:top w:val="single" w:sz="2" w:space="0" w:color="1D3D57"/>
              <w:left w:val="single" w:sz="2" w:space="0" w:color="1D3D57"/>
              <w:bottom w:val="single" w:sz="2" w:space="0" w:color="1D3D57"/>
              <w:right w:val="single" w:sz="2" w:space="0" w:color="1D3D57"/>
            </w:tcBorders>
            <w:shd w:val="clear" w:color="auto" w:fill="1D3D57"/>
            <w:tcMar>
              <w:top w:w="160" w:type="dxa"/>
              <w:left w:w="200" w:type="dxa"/>
              <w:bottom w:w="160" w:type="dxa"/>
              <w:right w:w="200" w:type="dxa"/>
            </w:tcMar>
          </w:tcPr>
          <w:p w:rsidR="00B92C0E" w:rsidRDefault="00EF582A">
            <w:pPr>
              <w:spacing w:after="90"/>
            </w:pPr>
            <w:r>
              <w:rPr>
                <w:rFonts w:ascii="Consolas" w:eastAsia="Consolas" w:hAnsi="Consolas" w:cs="Consolas"/>
                <w:color w:val="FFFFFF"/>
                <w:sz w:val="20"/>
                <w:szCs w:val="20"/>
              </w:rPr>
              <w:t>WINDOW = 30 days (default), extended to 45 days per-product if &lt;10 transactions in 30</w:t>
            </w:r>
          </w:p>
          <w:p w:rsidR="00B92C0E" w:rsidRDefault="00EF582A">
            <w:r>
              <w:rPr>
                <w:rFonts w:ascii="Consolas" w:eastAsia="Consolas" w:hAnsi="Consolas" w:cs="Consolas"/>
                <w:color w:val="FFFFFF"/>
                <w:sz w:val="20"/>
                <w:szCs w:val="20"/>
              </w:rPr>
              <w:t>DAILY_VELOCITY[product] = SUM(</w:t>
            </w:r>
            <w:proofErr w:type="spellStart"/>
            <w:r>
              <w:rPr>
                <w:rFonts w:ascii="Consolas" w:eastAsia="Consolas" w:hAnsi="Consolas" w:cs="Consolas"/>
                <w:color w:val="FFFFFF"/>
                <w:sz w:val="20"/>
                <w:szCs w:val="20"/>
              </w:rPr>
              <w:t>qty</w:t>
            </w:r>
            <w:proofErr w:type="spellEnd"/>
            <w:r>
              <w:rPr>
                <w:rFonts w:ascii="Consolas" w:eastAsia="Consolas" w:hAnsi="Consolas" w:cs="Consolas"/>
                <w:color w:val="FFFFFF"/>
                <w:sz w:val="20"/>
                <w:szCs w:val="20"/>
              </w:rPr>
              <w:t xml:space="preserve"> sold, product, window, excl. empties) / </w:t>
            </w:r>
            <w:proofErr w:type="spellStart"/>
            <w:r>
              <w:rPr>
                <w:rFonts w:ascii="Consolas" w:eastAsia="Consolas" w:hAnsi="Consolas" w:cs="Consolas"/>
                <w:color w:val="FFFFFF"/>
                <w:sz w:val="20"/>
                <w:szCs w:val="20"/>
              </w:rPr>
              <w:t>window_days</w:t>
            </w:r>
            <w:proofErr w:type="spellEnd"/>
          </w:p>
        </w:tc>
      </w:tr>
    </w:tbl>
    <w:p w:rsidR="00B92C0E" w:rsidRDefault="00EF582A">
      <w:pPr>
        <w:pStyle w:val="Heading2"/>
        <w:spacing w:before="260" w:after="120"/>
      </w:pPr>
      <w:r>
        <w:rPr>
          <w:b/>
          <w:bCs/>
          <w:color w:val="2E86AB"/>
          <w:sz w:val="23"/>
          <w:szCs w:val="23"/>
        </w:rPr>
        <w:t>1.3 Lead Time, Safety Stock, and Reorder Point</w:t>
      </w:r>
    </w:p>
    <w:p w:rsidR="00B92C0E" w:rsidRDefault="00EF582A">
      <w:pPr>
        <w:pStyle w:val="ListParagraph"/>
        <w:numPr>
          <w:ilvl w:val="0"/>
          <w:numId w:val="2"/>
        </w:numPr>
        <w:spacing w:after="80"/>
      </w:pPr>
      <w:r>
        <w:rPr>
          <w:color w:val="2B3A47"/>
        </w:rPr>
        <w:t>Supplier lead time: fixed at 10 days (system-wide default; make this a configurable setting per product/depot for future use, but 10 days is the value to ship with).</w:t>
      </w:r>
    </w:p>
    <w:p w:rsidR="00B92C0E" w:rsidRDefault="00EF582A">
      <w:pPr>
        <w:pStyle w:val="ListParagraph"/>
        <w:numPr>
          <w:ilvl w:val="0"/>
          <w:numId w:val="2"/>
        </w:numPr>
        <w:spacing w:after="80"/>
      </w:pPr>
      <w:r>
        <w:rPr>
          <w:color w:val="2B3A47"/>
        </w:rPr>
        <w:t xml:space="preserve">Safety stock: 10 days’ worth of average daily sales — i.e. equal in size to the lead-time </w:t>
      </w:r>
      <w:r>
        <w:rPr>
          <w:color w:val="2B3A47"/>
        </w:rPr>
        <w:t>demand itself, giving a deliberately conservative buffer.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92C0E">
        <w:tblPrEx>
          <w:tblCellMar>
            <w:top w:w="0" w:type="dxa"/>
            <w:bottom w:w="0" w:type="dxa"/>
          </w:tblCellMar>
        </w:tblPrEx>
        <w:tc>
          <w:tcPr>
            <w:tcW w:w="9350" w:type="dxa"/>
            <w:tcBorders>
              <w:top w:val="single" w:sz="2" w:space="0" w:color="1D3D57"/>
              <w:left w:val="single" w:sz="2" w:space="0" w:color="1D3D57"/>
              <w:bottom w:val="single" w:sz="2" w:space="0" w:color="1D3D57"/>
              <w:right w:val="single" w:sz="2" w:space="0" w:color="1D3D57"/>
            </w:tcBorders>
            <w:shd w:val="clear" w:color="auto" w:fill="1D3D57"/>
            <w:tcMar>
              <w:top w:w="160" w:type="dxa"/>
              <w:left w:w="200" w:type="dxa"/>
              <w:bottom w:w="160" w:type="dxa"/>
              <w:right w:w="200" w:type="dxa"/>
            </w:tcMar>
          </w:tcPr>
          <w:p w:rsidR="00B92C0E" w:rsidRDefault="00EF582A">
            <w:pPr>
              <w:spacing w:after="90"/>
            </w:pPr>
            <w:r>
              <w:rPr>
                <w:rFonts w:ascii="Consolas" w:eastAsia="Consolas" w:hAnsi="Consolas" w:cs="Consolas"/>
                <w:color w:val="FFFFFF"/>
                <w:sz w:val="20"/>
                <w:szCs w:val="20"/>
              </w:rPr>
              <w:t>SAFETY_STOCK[product]   = DAILY_VELOCITY[product] × 10</w:t>
            </w:r>
          </w:p>
          <w:p w:rsidR="00B92C0E" w:rsidRDefault="00EF582A">
            <w:pPr>
              <w:spacing w:after="90"/>
            </w:pPr>
            <w:r>
              <w:rPr>
                <w:rFonts w:ascii="Consolas" w:eastAsia="Consolas" w:hAnsi="Consolas" w:cs="Consolas"/>
                <w:color w:val="FFFFFF"/>
                <w:sz w:val="20"/>
                <w:szCs w:val="20"/>
              </w:rPr>
              <w:t>REORDER_POINT[product]  = (DAILY_VELOCITY[product] × 10) + SAFETY_STOCK[product]</w:t>
            </w:r>
          </w:p>
          <w:p w:rsidR="00B92C0E" w:rsidRDefault="00EF582A">
            <w:pPr>
              <w:spacing w:after="90"/>
            </w:pPr>
            <w:r>
              <w:rPr>
                <w:rFonts w:ascii="Consolas" w:eastAsia="Consolas" w:hAnsi="Consolas" w:cs="Consolas"/>
                <w:color w:val="FFFFFF"/>
                <w:sz w:val="20"/>
                <w:szCs w:val="20"/>
              </w:rPr>
              <w:t xml:space="preserve">                        = DAILY_VELOCITY[product] × 20</w:t>
            </w:r>
          </w:p>
          <w:p w:rsidR="00B92C0E" w:rsidRDefault="00EF582A">
            <w:r>
              <w:rPr>
                <w:rFonts w:ascii="Consolas" w:eastAsia="Consolas" w:hAnsi="Consolas" w:cs="Consolas"/>
                <w:color w:val="FFFFFF"/>
                <w:sz w:val="20"/>
                <w:szCs w:val="20"/>
              </w:rPr>
              <w:t>SUGGEST</w:t>
            </w:r>
            <w:r>
              <w:rPr>
                <w:rFonts w:ascii="Consolas" w:eastAsia="Consolas" w:hAnsi="Consolas" w:cs="Consolas"/>
                <w:color w:val="FFFFFF"/>
                <w:sz w:val="20"/>
                <w:szCs w:val="20"/>
              </w:rPr>
              <w:t>ED_REORDER_QTY[product] = MAX(0, REORDER_POINT[product] − CURRENT_STOCK[product])</w:t>
            </w:r>
          </w:p>
        </w:tc>
      </w:tr>
    </w:tbl>
    <w:p w:rsidR="00B92C0E" w:rsidRDefault="00EF582A">
      <w:pPr>
        <w:pStyle w:val="Heading2"/>
        <w:spacing w:before="260" w:after="120"/>
      </w:pPr>
      <w:r>
        <w:rPr>
          <w:b/>
          <w:bCs/>
          <w:color w:val="2E86AB"/>
          <w:sz w:val="23"/>
          <w:szCs w:val="23"/>
        </w:rPr>
        <w:t>1.4 Stock Cover and Health Classification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50"/>
      </w:tblGrid>
      <w:tr w:rsidR="00B92C0E">
        <w:tblPrEx>
          <w:tblCellMar>
            <w:top w:w="0" w:type="dxa"/>
            <w:bottom w:w="0" w:type="dxa"/>
          </w:tblCellMar>
        </w:tblPrEx>
        <w:tc>
          <w:tcPr>
            <w:tcW w:w="9350" w:type="dxa"/>
            <w:gridSpan w:val="2"/>
            <w:tcBorders>
              <w:top w:val="single" w:sz="2" w:space="0" w:color="1D3D57"/>
              <w:left w:val="single" w:sz="2" w:space="0" w:color="1D3D57"/>
              <w:bottom w:val="single" w:sz="2" w:space="0" w:color="1D3D57"/>
              <w:right w:val="single" w:sz="2" w:space="0" w:color="1D3D57"/>
            </w:tcBorders>
            <w:shd w:val="clear" w:color="auto" w:fill="1D3D57"/>
            <w:tcMar>
              <w:top w:w="160" w:type="dxa"/>
              <w:left w:w="200" w:type="dxa"/>
              <w:bottom w:w="160" w:type="dxa"/>
              <w:right w:w="200" w:type="dxa"/>
            </w:tcMar>
          </w:tcPr>
          <w:p w:rsidR="00B92C0E" w:rsidRDefault="00EF582A">
            <w:pPr>
              <w:spacing w:after="90"/>
            </w:pPr>
            <w:r>
              <w:rPr>
                <w:rFonts w:ascii="Consolas" w:eastAsia="Consolas" w:hAnsi="Consolas" w:cs="Consolas"/>
                <w:color w:val="FFFFFF"/>
                <w:sz w:val="20"/>
                <w:szCs w:val="20"/>
              </w:rPr>
              <w:t>STOCK_COVER_DAYS[product]  = CURRENT_STOCK[product] / DAILY_VELOCITY[product]</w:t>
            </w:r>
          </w:p>
          <w:p w:rsidR="00B92C0E" w:rsidRDefault="00EF582A">
            <w:r>
              <w:rPr>
                <w:rFonts w:ascii="Consolas" w:eastAsia="Consolas" w:hAnsi="Consolas" w:cs="Consolas"/>
                <w:color w:val="FFFFFF"/>
                <w:sz w:val="20"/>
                <w:szCs w:val="20"/>
              </w:rPr>
              <w:t>STOCK_COVER_WEEKS[product] = STOCK_COVER_DAYS[product</w:t>
            </w:r>
            <w:r>
              <w:rPr>
                <w:rFonts w:ascii="Consolas" w:eastAsia="Consolas" w:hAnsi="Consolas" w:cs="Consolas"/>
                <w:color w:val="FFFFFF"/>
                <w:sz w:val="20"/>
                <w:szCs w:val="20"/>
              </w:rPr>
              <w:t>] / 7</w:t>
            </w:r>
          </w:p>
        </w:tc>
      </w:tr>
      <w:tr w:rsidR="00B92C0E">
        <w:tblPrEx>
          <w:tblCellMar>
            <w:top w:w="0" w:type="dxa"/>
            <w:bottom w:w="0" w:type="dxa"/>
          </w:tblCellMar>
        </w:tblPrEx>
        <w:trPr>
          <w:tblHeader/>
        </w:trPr>
        <w:tc>
          <w:tcPr>
            <w:tcW w:w="5200" w:type="dxa"/>
            <w:shd w:val="clear" w:color="auto" w:fill="17324A"/>
            <w:tcMar>
              <w:top w:w="100" w:type="dxa"/>
              <w:left w:w="120" w:type="dxa"/>
              <w:bottom w:w="100" w:type="dxa"/>
              <w:right w:w="120" w:type="dxa"/>
            </w:tcMar>
          </w:tcPr>
          <w:p w:rsidR="00B92C0E" w:rsidRDefault="00EF582A">
            <w:r>
              <w:rPr>
                <w:b/>
                <w:bCs/>
                <w:color w:val="FFFFFF"/>
                <w:sz w:val="18"/>
                <w:szCs w:val="18"/>
              </w:rPr>
              <w:t>Condition</w:t>
            </w:r>
          </w:p>
        </w:tc>
        <w:tc>
          <w:tcPr>
            <w:tcW w:w="4150" w:type="dxa"/>
            <w:shd w:val="clear" w:color="auto" w:fill="17324A"/>
            <w:tcMar>
              <w:top w:w="100" w:type="dxa"/>
              <w:left w:w="120" w:type="dxa"/>
              <w:bottom w:w="100" w:type="dxa"/>
              <w:right w:w="120" w:type="dxa"/>
            </w:tcMar>
          </w:tcPr>
          <w:p w:rsidR="00B92C0E" w:rsidRDefault="00EF582A">
            <w:r>
              <w:rPr>
                <w:b/>
                <w:bCs/>
                <w:color w:val="FFFFFF"/>
                <w:sz w:val="18"/>
                <w:szCs w:val="18"/>
              </w:rPr>
              <w:t>Status</w:t>
            </w:r>
          </w:p>
        </w:tc>
      </w:tr>
      <w:tr w:rsidR="00B92C0E">
        <w:tblPrEx>
          <w:tblCellMar>
            <w:top w:w="0" w:type="dxa"/>
            <w:bottom w:w="0" w:type="dxa"/>
          </w:tblCellMar>
        </w:tblPrEx>
        <w:tc>
          <w:tcPr>
            <w:tcW w:w="5200" w:type="dxa"/>
            <w:shd w:val="clear" w:color="auto" w:fill="FFFFFF"/>
            <w:tcMar>
              <w:top w:w="90" w:type="dxa"/>
              <w:left w:w="120" w:type="dxa"/>
              <w:bottom w:w="90" w:type="dxa"/>
              <w:right w:w="120" w:type="dxa"/>
            </w:tcMar>
          </w:tcPr>
          <w:p w:rsidR="00B92C0E" w:rsidRDefault="00EF582A">
            <w:r>
              <w:rPr>
                <w:color w:val="2B3A47"/>
                <w:sz w:val="18"/>
                <w:szCs w:val="18"/>
              </w:rPr>
              <w:t>Units sold in window = 0 AND current stock &gt; 0</w:t>
            </w:r>
          </w:p>
        </w:tc>
        <w:tc>
          <w:tcPr>
            <w:tcW w:w="4150" w:type="dxa"/>
            <w:shd w:val="clear" w:color="auto" w:fill="FFFFFF"/>
            <w:tcMar>
              <w:top w:w="90" w:type="dxa"/>
              <w:left w:w="120" w:type="dxa"/>
              <w:bottom w:w="90" w:type="dxa"/>
              <w:right w:w="120" w:type="dxa"/>
            </w:tcMar>
          </w:tcPr>
          <w:p w:rsidR="00B92C0E" w:rsidRDefault="00EF582A">
            <w:r>
              <w:rPr>
                <w:color w:val="2B3A47"/>
                <w:sz w:val="18"/>
                <w:szCs w:val="18"/>
              </w:rPr>
              <w:t>Dead Stock</w:t>
            </w:r>
          </w:p>
        </w:tc>
      </w:tr>
      <w:tr w:rsidR="00B92C0E">
        <w:tblPrEx>
          <w:tblCellMar>
            <w:top w:w="0" w:type="dxa"/>
            <w:bottom w:w="0" w:type="dxa"/>
          </w:tblCellMar>
        </w:tblPrEx>
        <w:tc>
          <w:tcPr>
            <w:tcW w:w="5200" w:type="dxa"/>
            <w:shd w:val="clear" w:color="auto" w:fill="F5F8FA"/>
            <w:tcMar>
              <w:top w:w="90" w:type="dxa"/>
              <w:left w:w="120" w:type="dxa"/>
              <w:bottom w:w="90" w:type="dxa"/>
              <w:right w:w="120" w:type="dxa"/>
            </w:tcMar>
          </w:tcPr>
          <w:p w:rsidR="00B92C0E" w:rsidRDefault="00EF582A">
            <w:r>
              <w:rPr>
                <w:color w:val="2B3A47"/>
                <w:sz w:val="18"/>
                <w:szCs w:val="18"/>
              </w:rPr>
              <w:t>Units sold in window = 0 AND current stock = 0</w:t>
            </w:r>
          </w:p>
        </w:tc>
        <w:tc>
          <w:tcPr>
            <w:tcW w:w="4150" w:type="dxa"/>
            <w:shd w:val="clear" w:color="auto" w:fill="F5F8FA"/>
            <w:tcMar>
              <w:top w:w="90" w:type="dxa"/>
              <w:left w:w="120" w:type="dxa"/>
              <w:bottom w:w="90" w:type="dxa"/>
              <w:right w:w="120" w:type="dxa"/>
            </w:tcMar>
          </w:tcPr>
          <w:p w:rsidR="00B92C0E" w:rsidRDefault="00EF582A">
            <w:r>
              <w:rPr>
                <w:color w:val="2B3A47"/>
                <w:sz w:val="18"/>
                <w:szCs w:val="18"/>
              </w:rPr>
              <w:t>No Stock / No Sales (exclude from active lists)</w:t>
            </w:r>
          </w:p>
        </w:tc>
      </w:tr>
      <w:tr w:rsidR="00B92C0E">
        <w:tblPrEx>
          <w:tblCellMar>
            <w:top w:w="0" w:type="dxa"/>
            <w:bottom w:w="0" w:type="dxa"/>
          </w:tblCellMar>
        </w:tblPrEx>
        <w:tc>
          <w:tcPr>
            <w:tcW w:w="5200" w:type="dxa"/>
            <w:shd w:val="clear" w:color="auto" w:fill="FFFFFF"/>
            <w:tcMar>
              <w:top w:w="90" w:type="dxa"/>
              <w:left w:w="120" w:type="dxa"/>
              <w:bottom w:w="90" w:type="dxa"/>
              <w:right w:w="120" w:type="dxa"/>
            </w:tcMar>
          </w:tcPr>
          <w:p w:rsidR="00B92C0E" w:rsidRDefault="00EF582A">
            <w:r>
              <w:rPr>
                <w:color w:val="2B3A47"/>
                <w:sz w:val="18"/>
                <w:szCs w:val="18"/>
              </w:rPr>
              <w:t>Stock cover &lt; 1 week</w:t>
            </w:r>
          </w:p>
        </w:tc>
        <w:tc>
          <w:tcPr>
            <w:tcW w:w="4150" w:type="dxa"/>
            <w:shd w:val="clear" w:color="auto" w:fill="FFFFFF"/>
            <w:tcMar>
              <w:top w:w="90" w:type="dxa"/>
              <w:left w:w="120" w:type="dxa"/>
              <w:bottom w:w="90" w:type="dxa"/>
              <w:right w:w="120" w:type="dxa"/>
            </w:tcMar>
          </w:tcPr>
          <w:p w:rsidR="00B92C0E" w:rsidRDefault="00EF582A">
            <w:r>
              <w:rPr>
                <w:color w:val="2B3A47"/>
                <w:sz w:val="18"/>
                <w:szCs w:val="18"/>
              </w:rPr>
              <w:t>Critical (stock-out risk)</w:t>
            </w:r>
          </w:p>
        </w:tc>
      </w:tr>
      <w:tr w:rsidR="00B92C0E">
        <w:tblPrEx>
          <w:tblCellMar>
            <w:top w:w="0" w:type="dxa"/>
            <w:bottom w:w="0" w:type="dxa"/>
          </w:tblCellMar>
        </w:tblPrEx>
        <w:tc>
          <w:tcPr>
            <w:tcW w:w="5200" w:type="dxa"/>
            <w:shd w:val="clear" w:color="auto" w:fill="F5F8FA"/>
            <w:tcMar>
              <w:top w:w="90" w:type="dxa"/>
              <w:left w:w="120" w:type="dxa"/>
              <w:bottom w:w="90" w:type="dxa"/>
              <w:right w:w="120" w:type="dxa"/>
            </w:tcMar>
          </w:tcPr>
          <w:p w:rsidR="00B92C0E" w:rsidRDefault="00EF582A">
            <w:r>
              <w:rPr>
                <w:color w:val="2B3A47"/>
                <w:sz w:val="18"/>
                <w:szCs w:val="18"/>
              </w:rPr>
              <w:t>Stock cover 1–2 weeks</w:t>
            </w:r>
          </w:p>
        </w:tc>
        <w:tc>
          <w:tcPr>
            <w:tcW w:w="4150" w:type="dxa"/>
            <w:shd w:val="clear" w:color="auto" w:fill="F5F8FA"/>
            <w:tcMar>
              <w:top w:w="90" w:type="dxa"/>
              <w:left w:w="120" w:type="dxa"/>
              <w:bottom w:w="90" w:type="dxa"/>
              <w:right w:w="120" w:type="dxa"/>
            </w:tcMar>
          </w:tcPr>
          <w:p w:rsidR="00B92C0E" w:rsidRDefault="00EF582A">
            <w:r>
              <w:rPr>
                <w:color w:val="2B3A47"/>
                <w:sz w:val="18"/>
                <w:szCs w:val="18"/>
              </w:rPr>
              <w:t>Low</w:t>
            </w:r>
          </w:p>
        </w:tc>
      </w:tr>
      <w:tr w:rsidR="00B92C0E">
        <w:tblPrEx>
          <w:tblCellMar>
            <w:top w:w="0" w:type="dxa"/>
            <w:bottom w:w="0" w:type="dxa"/>
          </w:tblCellMar>
        </w:tblPrEx>
        <w:tc>
          <w:tcPr>
            <w:tcW w:w="5200" w:type="dxa"/>
            <w:shd w:val="clear" w:color="auto" w:fill="FFFFFF"/>
            <w:tcMar>
              <w:top w:w="90" w:type="dxa"/>
              <w:left w:w="120" w:type="dxa"/>
              <w:bottom w:w="90" w:type="dxa"/>
              <w:right w:w="120" w:type="dxa"/>
            </w:tcMar>
          </w:tcPr>
          <w:p w:rsidR="00B92C0E" w:rsidRDefault="00EF582A">
            <w:r>
              <w:rPr>
                <w:color w:val="2B3A47"/>
                <w:sz w:val="18"/>
                <w:szCs w:val="18"/>
              </w:rPr>
              <w:t>Stock cover 2–4 weeks</w:t>
            </w:r>
          </w:p>
        </w:tc>
        <w:tc>
          <w:tcPr>
            <w:tcW w:w="4150" w:type="dxa"/>
            <w:shd w:val="clear" w:color="auto" w:fill="FFFFFF"/>
            <w:tcMar>
              <w:top w:w="90" w:type="dxa"/>
              <w:left w:w="120" w:type="dxa"/>
              <w:bottom w:w="90" w:type="dxa"/>
              <w:right w:w="120" w:type="dxa"/>
            </w:tcMar>
          </w:tcPr>
          <w:p w:rsidR="00B92C0E" w:rsidRDefault="00EF582A">
            <w:r>
              <w:rPr>
                <w:color w:val="2B3A47"/>
                <w:sz w:val="18"/>
                <w:szCs w:val="18"/>
              </w:rPr>
              <w:t>Healthy</w:t>
            </w:r>
          </w:p>
        </w:tc>
      </w:tr>
      <w:tr w:rsidR="00B92C0E">
        <w:tblPrEx>
          <w:tblCellMar>
            <w:top w:w="0" w:type="dxa"/>
            <w:bottom w:w="0" w:type="dxa"/>
          </w:tblCellMar>
        </w:tblPrEx>
        <w:tc>
          <w:tcPr>
            <w:tcW w:w="5200" w:type="dxa"/>
            <w:shd w:val="clear" w:color="auto" w:fill="F5F8FA"/>
            <w:tcMar>
              <w:top w:w="90" w:type="dxa"/>
              <w:left w:w="120" w:type="dxa"/>
              <w:bottom w:w="90" w:type="dxa"/>
              <w:right w:w="120" w:type="dxa"/>
            </w:tcMar>
          </w:tcPr>
          <w:p w:rsidR="00B92C0E" w:rsidRDefault="00EF582A">
            <w:r>
              <w:rPr>
                <w:color w:val="2B3A47"/>
                <w:sz w:val="18"/>
                <w:szCs w:val="18"/>
              </w:rPr>
              <w:lastRenderedPageBreak/>
              <w:t>Stock cover 4–6 weeks</w:t>
            </w:r>
          </w:p>
        </w:tc>
        <w:tc>
          <w:tcPr>
            <w:tcW w:w="4150" w:type="dxa"/>
            <w:shd w:val="clear" w:color="auto" w:fill="F5F8FA"/>
            <w:tcMar>
              <w:top w:w="90" w:type="dxa"/>
              <w:left w:w="120" w:type="dxa"/>
              <w:bottom w:w="90" w:type="dxa"/>
              <w:right w:w="120" w:type="dxa"/>
            </w:tcMar>
          </w:tcPr>
          <w:p w:rsidR="00B92C0E" w:rsidRDefault="00EF582A">
            <w:r>
              <w:rPr>
                <w:color w:val="2B3A47"/>
                <w:sz w:val="18"/>
                <w:szCs w:val="18"/>
              </w:rPr>
              <w:t>High / Monitor</w:t>
            </w:r>
          </w:p>
        </w:tc>
      </w:tr>
      <w:tr w:rsidR="00B92C0E">
        <w:tblPrEx>
          <w:tblCellMar>
            <w:top w:w="0" w:type="dxa"/>
            <w:bottom w:w="0" w:type="dxa"/>
          </w:tblCellMar>
        </w:tblPrEx>
        <w:tc>
          <w:tcPr>
            <w:tcW w:w="5200" w:type="dxa"/>
            <w:shd w:val="clear" w:color="auto" w:fill="FFFFFF"/>
            <w:tcMar>
              <w:top w:w="90" w:type="dxa"/>
              <w:left w:w="120" w:type="dxa"/>
              <w:bottom w:w="90" w:type="dxa"/>
              <w:right w:w="120" w:type="dxa"/>
            </w:tcMar>
          </w:tcPr>
          <w:p w:rsidR="00B92C0E" w:rsidRDefault="00EF582A">
            <w:r>
              <w:rPr>
                <w:color w:val="2B3A47"/>
                <w:sz w:val="18"/>
                <w:szCs w:val="18"/>
              </w:rPr>
              <w:t>Stock cover &gt; 6 weeks</w:t>
            </w:r>
          </w:p>
        </w:tc>
        <w:tc>
          <w:tcPr>
            <w:tcW w:w="4150" w:type="dxa"/>
            <w:shd w:val="clear" w:color="auto" w:fill="FFFFFF"/>
            <w:tcMar>
              <w:top w:w="90" w:type="dxa"/>
              <w:left w:w="120" w:type="dxa"/>
              <w:bottom w:w="90" w:type="dxa"/>
              <w:right w:w="120" w:type="dxa"/>
            </w:tcMar>
          </w:tcPr>
          <w:p w:rsidR="00B92C0E" w:rsidRDefault="00EF582A">
            <w:r>
              <w:rPr>
                <w:color w:val="2B3A47"/>
                <w:sz w:val="18"/>
                <w:szCs w:val="18"/>
              </w:rPr>
              <w:t>Excess (capital tied up)</w:t>
            </w:r>
          </w:p>
        </w:tc>
      </w:tr>
    </w:tbl>
    <w:p w:rsidR="00B92C0E" w:rsidRDefault="00EF582A">
      <w:pPr>
        <w:pStyle w:val="Heading2"/>
        <w:spacing w:before="260" w:after="120"/>
      </w:pPr>
      <w:r>
        <w:rPr>
          <w:b/>
          <w:bCs/>
          <w:color w:val="2E86AB"/>
          <w:sz w:val="23"/>
          <w:szCs w:val="23"/>
        </w:rPr>
        <w:t>1.5 Required Views</w:t>
      </w:r>
    </w:p>
    <w:p w:rsidR="00B92C0E" w:rsidRDefault="00EF582A">
      <w:pPr>
        <w:pStyle w:val="ListParagraph"/>
        <w:numPr>
          <w:ilvl w:val="0"/>
          <w:numId w:val="2"/>
        </w:numPr>
        <w:spacing w:after="80"/>
      </w:pPr>
      <w:r>
        <w:rPr>
          <w:color w:val="2B3A47"/>
        </w:rPr>
        <w:t>Stock Cover Health — all products classified per 1.4, with a summary count/value per status band.</w:t>
      </w:r>
    </w:p>
    <w:p w:rsidR="00B92C0E" w:rsidRDefault="00EF582A">
      <w:pPr>
        <w:pStyle w:val="ListParagraph"/>
        <w:numPr>
          <w:ilvl w:val="0"/>
          <w:numId w:val="2"/>
        </w:numPr>
        <w:spacing w:after="80"/>
      </w:pPr>
      <w:r>
        <w:rPr>
          <w:color w:val="2B3A47"/>
        </w:rPr>
        <w:t>Top Stock-Out Risk — products in “Critical”, ranked by daily velocity (highest-velocity stock-outs first, since these hurt revenue fastest).</w:t>
      </w:r>
    </w:p>
    <w:p w:rsidR="00B92C0E" w:rsidRDefault="00EF582A">
      <w:pPr>
        <w:pStyle w:val="ListParagraph"/>
        <w:numPr>
          <w:ilvl w:val="0"/>
          <w:numId w:val="2"/>
        </w:numPr>
        <w:spacing w:after="80"/>
      </w:pPr>
      <w:r>
        <w:rPr>
          <w:color w:val="2B3A47"/>
        </w:rPr>
        <w:t>Slow-Moving Stock — products in “High/Monitor” or “Excess”, ranked by inventory value (naira tied up), not just cov</w:t>
      </w:r>
      <w:r>
        <w:rPr>
          <w:color w:val="2B3A47"/>
        </w:rPr>
        <w:t>er weeks — the point is to surface where capital is stuck.</w:t>
      </w:r>
    </w:p>
    <w:p w:rsidR="00B92C0E" w:rsidRDefault="00EF582A">
      <w:pPr>
        <w:pStyle w:val="ListParagraph"/>
        <w:numPr>
          <w:ilvl w:val="0"/>
          <w:numId w:val="2"/>
        </w:numPr>
        <w:spacing w:after="80"/>
      </w:pPr>
      <w:r>
        <w:rPr>
          <w:color w:val="2B3A47"/>
        </w:rPr>
        <w:t>Dead Stock — products with zero sales in the observation window but stock on hand, ranked by value.</w:t>
      </w:r>
    </w:p>
    <w:p w:rsidR="00B92C0E" w:rsidRDefault="00EF582A">
      <w:pPr>
        <w:pStyle w:val="ListParagraph"/>
        <w:numPr>
          <w:ilvl w:val="0"/>
          <w:numId w:val="2"/>
        </w:numPr>
        <w:spacing w:after="80"/>
      </w:pPr>
      <w:r>
        <w:rPr>
          <w:color w:val="2B3A47"/>
        </w:rPr>
        <w:t>Suggested Reorder Quantity — per product, per 1.3, shown only for products at or below their reorder point.</w:t>
      </w:r>
    </w:p>
    <w:p w:rsidR="00B92C0E" w:rsidRDefault="00EF582A">
      <w:pPr>
        <w:pStyle w:val="ListParagraph"/>
        <w:numPr>
          <w:ilvl w:val="0"/>
          <w:numId w:val="2"/>
        </w:numPr>
        <w:spacing w:after="80"/>
      </w:pPr>
      <w:r>
        <w:rPr>
          <w:color w:val="2B3A47"/>
        </w:rPr>
        <w:t>Actions to Take — an auto-generated one-line recommendation per product based on its status (e.g. “Reorder now — X units needed” for Critical; “Hold</w:t>
      </w:r>
      <w:r>
        <w:rPr>
          <w:color w:val="2B3A47"/>
        </w:rPr>
        <w:t xml:space="preserve"> purchases, review pricing” for Excess; “Confirm still active or write off” for Dead Stock).</w:t>
      </w:r>
    </w:p>
    <w:p w:rsidR="00B92C0E" w:rsidRDefault="00EF582A">
      <w:pPr>
        <w:pStyle w:val="Heading2"/>
        <w:spacing w:before="260" w:after="120"/>
      </w:pPr>
      <w:r>
        <w:rPr>
          <w:b/>
          <w:bCs/>
          <w:color w:val="2E86AB"/>
          <w:sz w:val="23"/>
          <w:szCs w:val="23"/>
        </w:rPr>
        <w:t>1.6 Peak-Period Guesstimates (e.g. December)</w:t>
      </w:r>
    </w:p>
    <w:p w:rsidR="00B92C0E" w:rsidRDefault="00EF582A">
      <w:pPr>
        <w:spacing w:after="140"/>
      </w:pPr>
      <w:r>
        <w:rPr>
          <w:color w:val="2B3A47"/>
        </w:rPr>
        <w:t>Historical velocity alone will under-predict demand in known peak periods. Add a manual seasonal adjustment rather tha</w:t>
      </w:r>
      <w:r>
        <w:rPr>
          <w:color w:val="2B3A47"/>
        </w:rPr>
        <w:t>n trying to auto-detect seasonality from limited history:</w:t>
      </w:r>
    </w:p>
    <w:p w:rsidR="00B92C0E" w:rsidRDefault="00EF582A">
      <w:pPr>
        <w:pStyle w:val="ListParagraph"/>
        <w:numPr>
          <w:ilvl w:val="0"/>
          <w:numId w:val="2"/>
        </w:numPr>
        <w:spacing w:after="80"/>
      </w:pPr>
      <w:r>
        <w:rPr>
          <w:color w:val="2B3A47"/>
        </w:rPr>
        <w:t>Allow an admin to flag specific upcoming date ranges as “peak periods” (e.g. 1–31 December) and attach a seasonal multiplier per product or product category (e.g. ×1.5, ×2).</w:t>
      </w:r>
    </w:p>
    <w:p w:rsidR="00B92C0E" w:rsidRDefault="00EF582A">
      <w:pPr>
        <w:pStyle w:val="ListParagraph"/>
        <w:numPr>
          <w:ilvl w:val="0"/>
          <w:numId w:val="2"/>
        </w:numPr>
        <w:spacing w:after="80"/>
      </w:pPr>
      <w:r>
        <w:rPr>
          <w:color w:val="2B3A47"/>
        </w:rPr>
        <w:t>When a peak period is ac</w:t>
      </w:r>
      <w:r>
        <w:rPr>
          <w:color w:val="2B3A47"/>
        </w:rPr>
        <w:t xml:space="preserve">tive or upcoming within the current lead time window, apply: PEAK_ADJUSTED_VELOCITY = DAILY_VELOCITY × </w:t>
      </w:r>
      <w:proofErr w:type="spellStart"/>
      <w:r>
        <w:rPr>
          <w:color w:val="2B3A47"/>
        </w:rPr>
        <w:t>seasonal_multiplier</w:t>
      </w:r>
      <w:proofErr w:type="spellEnd"/>
      <w:r>
        <w:rPr>
          <w:color w:val="2B3A47"/>
        </w:rPr>
        <w:t xml:space="preserve">, and </w:t>
      </w:r>
      <w:proofErr w:type="spellStart"/>
      <w:r>
        <w:rPr>
          <w:color w:val="2B3A47"/>
        </w:rPr>
        <w:t>recompute</w:t>
      </w:r>
      <w:proofErr w:type="spellEnd"/>
      <w:r>
        <w:rPr>
          <w:color w:val="2B3A47"/>
        </w:rPr>
        <w:t xml:space="preserve"> reorder point/suggested quantity from that adjusted figure.</w:t>
      </w:r>
    </w:p>
    <w:p w:rsidR="00B92C0E" w:rsidRDefault="00EF582A">
      <w:pPr>
        <w:pStyle w:val="ListParagraph"/>
        <w:numPr>
          <w:ilvl w:val="0"/>
          <w:numId w:val="2"/>
        </w:numPr>
        <w:spacing w:after="80"/>
      </w:pPr>
      <w:r>
        <w:rPr>
          <w:color w:val="2B3A47"/>
        </w:rPr>
        <w:t>Always show both the base (historical) and peak-adjusted n</w:t>
      </w:r>
      <w:r>
        <w:rPr>
          <w:color w:val="2B3A47"/>
        </w:rPr>
        <w:t>umbers side by side — never silently replace one with the other, since the multiplier is a guesstimate, not measured data.</w:t>
      </w:r>
    </w:p>
    <w:p w:rsidR="00B92C0E" w:rsidRDefault="00EF582A">
      <w:r>
        <w:br w:type="page"/>
      </w:r>
    </w:p>
    <w:p w:rsidR="00B92C0E" w:rsidRDefault="00EF582A">
      <w:pPr>
        <w:pStyle w:val="Heading1"/>
        <w:pBdr>
          <w:bottom w:val="single" w:sz="6" w:space="4" w:color="2E86AB"/>
        </w:pBdr>
        <w:spacing w:before="400" w:after="160"/>
      </w:pPr>
      <w:r>
        <w:rPr>
          <w:b/>
          <w:bCs/>
          <w:color w:val="17324A"/>
          <w:sz w:val="30"/>
          <w:szCs w:val="30"/>
        </w:rPr>
        <w:lastRenderedPageBreak/>
        <w:t>2. New Feature: Weekly Financial Reporting</w:t>
      </w:r>
      <w:r w:rsidR="00D41777">
        <w:rPr>
          <w:b/>
          <w:bCs/>
          <w:color w:val="17324A"/>
          <w:sz w:val="30"/>
          <w:szCs w:val="30"/>
        </w:rPr>
        <w:t xml:space="preserve"> </w:t>
      </w:r>
      <w:r w:rsidR="00D41777">
        <w:rPr>
          <w:b/>
          <w:bCs/>
          <w:color w:val="17324A"/>
          <w:sz w:val="30"/>
          <w:szCs w:val="30"/>
        </w:rPr>
        <w:t>(PHASE 1&amp;2)</w:t>
      </w:r>
    </w:p>
    <w:p w:rsidR="00B92C0E" w:rsidRDefault="00EF582A">
      <w:pPr>
        <w:spacing w:after="140"/>
      </w:pPr>
      <w:r>
        <w:rPr>
          <w:color w:val="2B3A47"/>
        </w:rPr>
        <w:t>Distil currently produces monthly sales, gross profit, and net profit analysis. Accounta</w:t>
      </w:r>
      <w:r>
        <w:rPr>
          <w:color w:val="2B3A47"/>
        </w:rPr>
        <w:t>nts need the same analysis available weekly, not only monthly.</w:t>
      </w:r>
    </w:p>
    <w:p w:rsidR="00B92C0E" w:rsidRDefault="00EF582A">
      <w:pPr>
        <w:pStyle w:val="Heading2"/>
        <w:spacing w:before="260" w:after="120"/>
      </w:pPr>
      <w:r>
        <w:rPr>
          <w:b/>
          <w:bCs/>
          <w:color w:val="2E86AB"/>
          <w:sz w:val="23"/>
          <w:szCs w:val="23"/>
        </w:rPr>
        <w:t>2.1 Requirement</w:t>
      </w:r>
    </w:p>
    <w:p w:rsidR="00B92C0E" w:rsidRDefault="00EF582A">
      <w:pPr>
        <w:pStyle w:val="ListParagraph"/>
        <w:numPr>
          <w:ilvl w:val="0"/>
          <w:numId w:val="2"/>
        </w:numPr>
        <w:spacing w:after="80"/>
      </w:pPr>
      <w:r>
        <w:rPr>
          <w:color w:val="2B3A47"/>
        </w:rPr>
        <w:t>Apply the exact same P&amp;L calculation chain already defined for the monthly view (</w:t>
      </w:r>
      <w:r>
        <w:rPr>
          <w:color w:val="2B3A47"/>
        </w:rPr>
        <w:t xml:space="preserve">to a weekly window instead of a </w:t>
      </w:r>
      <w:r>
        <w:rPr>
          <w:color w:val="2B3A47"/>
        </w:rPr>
        <w:t>calendar month.</w:t>
      </w:r>
    </w:p>
    <w:p w:rsidR="00B92C0E" w:rsidRDefault="00EF582A">
      <w:pPr>
        <w:pStyle w:val="ListParagraph"/>
        <w:numPr>
          <w:ilvl w:val="0"/>
          <w:numId w:val="2"/>
        </w:numPr>
        <w:spacing w:after="80"/>
      </w:pPr>
      <w:r>
        <w:rPr>
          <w:color w:val="2B3A47"/>
        </w:rPr>
        <w:t xml:space="preserve">Weeks should be selectable both as calendar weeks (Mon–Sun) and as the </w:t>
      </w:r>
      <w:proofErr w:type="gramStart"/>
      <w:r>
        <w:rPr>
          <w:color w:val="2B3A47"/>
        </w:rPr>
        <w:t>depot's</w:t>
      </w:r>
      <w:proofErr w:type="gramEnd"/>
      <w:r>
        <w:rPr>
          <w:color w:val="2B3A47"/>
        </w:rPr>
        <w:t xml:space="preserve"> own defined trading week, if different — confirm which with the depot, default to Mon–Sun if unspecified.</w:t>
      </w:r>
    </w:p>
    <w:p w:rsidR="00B92C0E" w:rsidRDefault="00EF582A">
      <w:pPr>
        <w:pStyle w:val="ListParagraph"/>
        <w:numPr>
          <w:ilvl w:val="0"/>
          <w:numId w:val="2"/>
        </w:numPr>
        <w:spacing w:after="80"/>
      </w:pPr>
      <w:r>
        <w:rPr>
          <w:color w:val="2B3A47"/>
        </w:rPr>
        <w:t>Provide the same supporting breakdowns at weekly granul</w:t>
      </w:r>
      <w:r>
        <w:rPr>
          <w:color w:val="2B3A47"/>
        </w:rPr>
        <w:t>arity as exist monthly: daily audit rows within the week, top products/customers for the week, returns for the week, and expenses for the week.</w:t>
      </w:r>
    </w:p>
    <w:p w:rsidR="00B92C0E" w:rsidRDefault="00EF582A">
      <w:pPr>
        <w:pStyle w:val="ListParagraph"/>
        <w:numPr>
          <w:ilvl w:val="0"/>
          <w:numId w:val="2"/>
        </w:numPr>
        <w:spacing w:after="80"/>
      </w:pPr>
      <w:r>
        <w:rPr>
          <w:color w:val="2B3A47"/>
        </w:rPr>
        <w:t>Add week-over-week comparison (this week vs. last week) alongside the existing month-over-month comparison, usin</w:t>
      </w:r>
      <w:r>
        <w:rPr>
          <w:color w:val="2B3A47"/>
        </w:rPr>
        <w:t>g the same variance/delta presentation already used for monthly comparatives.</w:t>
      </w:r>
    </w:p>
    <w:p w:rsidR="00B92C0E" w:rsidRDefault="00EF582A">
      <w:pPr>
        <w:pStyle w:val="ListParagraph"/>
        <w:numPr>
          <w:ilvl w:val="0"/>
          <w:numId w:val="2"/>
        </w:numPr>
        <w:spacing w:after="80"/>
      </w:pPr>
      <w:r>
        <w:rPr>
          <w:color w:val="2B3A47"/>
        </w:rPr>
        <w:t>Suggestions/insights generation (the narrative “what this means” text already produced for monthly reports) should run at weekly granularity too, not just monthly — an accountant</w:t>
      </w:r>
      <w:r>
        <w:rPr>
          <w:color w:val="2B3A47"/>
        </w:rPr>
        <w:t xml:space="preserve"> pulling a weekly report should get the same quality of commentary, scaled to a week's data.</w:t>
      </w:r>
    </w:p>
    <w:p w:rsidR="00B92C0E" w:rsidRDefault="00EF582A">
      <w:pPr>
        <w:pBdr>
          <w:left w:val="single" w:sz="18" w:space="6" w:color="2E86AB"/>
        </w:pBdr>
        <w:shd w:val="clear" w:color="auto" w:fill="EEF2F6"/>
        <w:spacing w:after="160"/>
        <w:ind w:left="120"/>
      </w:pPr>
      <w:r>
        <w:rPr>
          <w:b/>
          <w:bCs/>
          <w:color w:val="17324A"/>
          <w:sz w:val="20"/>
          <w:szCs w:val="20"/>
        </w:rPr>
        <w:t xml:space="preserve">NOTE: </w:t>
      </w:r>
      <w:r>
        <w:rPr>
          <w:color w:val="2B3A47"/>
          <w:sz w:val="20"/>
          <w:szCs w:val="20"/>
        </w:rPr>
        <w:t>This is additive: the monthly view is not being replaced. Add a Weekly/Monthly toggle wherever this reporting currently lives, defaulting to whichever the us</w:t>
      </w:r>
      <w:r>
        <w:rPr>
          <w:color w:val="2B3A47"/>
          <w:sz w:val="20"/>
          <w:szCs w:val="20"/>
        </w:rPr>
        <w:t>er last selected.</w:t>
      </w:r>
    </w:p>
    <w:p w:rsidR="00B92C0E" w:rsidRDefault="00EF582A">
      <w:r>
        <w:br w:type="page"/>
      </w:r>
    </w:p>
    <w:p w:rsidR="00B92C0E" w:rsidRDefault="00EF582A">
      <w:pPr>
        <w:pStyle w:val="Heading1"/>
        <w:pBdr>
          <w:bottom w:val="single" w:sz="6" w:space="4" w:color="2E86AB"/>
        </w:pBdr>
        <w:spacing w:before="400" w:after="160"/>
      </w:pPr>
      <w:r>
        <w:rPr>
          <w:b/>
          <w:bCs/>
          <w:color w:val="17324A"/>
          <w:sz w:val="30"/>
          <w:szCs w:val="30"/>
        </w:rPr>
        <w:lastRenderedPageBreak/>
        <w:t>3. Fix: Empties Accounting Treatment</w:t>
      </w:r>
      <w:r w:rsidR="00D41777">
        <w:rPr>
          <w:b/>
          <w:bCs/>
          <w:color w:val="17324A"/>
          <w:sz w:val="30"/>
          <w:szCs w:val="30"/>
        </w:rPr>
        <w:t xml:space="preserve"> (FOR PHASE 3)</w:t>
      </w:r>
    </w:p>
    <w:p w:rsidR="00B92C0E" w:rsidRDefault="00EF582A">
      <w:pPr>
        <w:pStyle w:val="Heading2"/>
        <w:spacing w:before="260" w:after="120"/>
      </w:pPr>
      <w:r>
        <w:rPr>
          <w:b/>
          <w:bCs/>
          <w:color w:val="2E86AB"/>
          <w:sz w:val="23"/>
          <w:szCs w:val="23"/>
        </w:rPr>
        <w:t>3.1 The Problem</w:t>
      </w:r>
    </w:p>
    <w:p w:rsidR="00B92C0E" w:rsidRDefault="00EF582A">
      <w:pPr>
        <w:spacing w:after="140"/>
      </w:pPr>
      <w:r>
        <w:rPr>
          <w:color w:val="2B3A47"/>
        </w:rPr>
        <w:t>Empties (returnable bottles/crates) are currently treated inconsistently: sometimes cost is recorded lower than selling price, which shows a “profit” on empties that shouldn'</w:t>
      </w:r>
      <w:r>
        <w:rPr>
          <w:color w:val="2B3A47"/>
        </w:rPr>
        <w:t xml:space="preserve">t exist. Operationally, empties value is bundled into the selling price of a product, and when a customer returns empties they either receive cash back or the value is deducted from their next order — i.e. empties already function as a refundable deposit, </w:t>
      </w:r>
      <w:r>
        <w:rPr>
          <w:color w:val="2B3A47"/>
        </w:rPr>
        <w:t>just without deposit-style accounting behind them.</w:t>
      </w:r>
    </w:p>
    <w:p w:rsidR="00B92C0E" w:rsidRDefault="00EF582A">
      <w:pPr>
        <w:pStyle w:val="Heading2"/>
        <w:spacing w:before="260" w:after="120"/>
      </w:pPr>
      <w:r>
        <w:rPr>
          <w:b/>
          <w:bCs/>
          <w:color w:val="2E86AB"/>
          <w:sz w:val="23"/>
          <w:szCs w:val="23"/>
        </w:rPr>
        <w:t>3.2 Standard Accounting Treatment: Refundable Deposit Liability</w:t>
      </w:r>
    </w:p>
    <w:p w:rsidR="00B92C0E" w:rsidRDefault="00EF582A">
      <w:pPr>
        <w:spacing w:after="140"/>
      </w:pPr>
      <w:r>
        <w:rPr>
          <w:color w:val="2B3A47"/>
        </w:rPr>
        <w:t>The standard treatment for returnable/refundable containers is to record them as a deposit liability, not as a sale with a cost and margin. T</w:t>
      </w:r>
      <w:r>
        <w:rPr>
          <w:color w:val="2B3A47"/>
        </w:rPr>
        <w:t>his is the same principle used for bottle-deposit schemes generally: the company holds a liability (an obligation to refund or credit the deposit) rather than revenue, because it does not truly own that value — it's on loan from the customer until the cont</w:t>
      </w:r>
      <w:r>
        <w:rPr>
          <w:color w:val="2B3A47"/>
        </w:rPr>
        <w:t>ainer is returned.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92C0E">
        <w:tblPrEx>
          <w:tblCellMar>
            <w:top w:w="0" w:type="dxa"/>
            <w:bottom w:w="0" w:type="dxa"/>
          </w:tblCellMar>
        </w:tblPrEx>
        <w:tc>
          <w:tcPr>
            <w:tcW w:w="9350" w:type="dxa"/>
            <w:tcBorders>
              <w:top w:val="single" w:sz="2" w:space="0" w:color="1D3D57"/>
              <w:left w:val="single" w:sz="2" w:space="0" w:color="1D3D57"/>
              <w:bottom w:val="single" w:sz="2" w:space="0" w:color="1D3D57"/>
              <w:right w:val="single" w:sz="2" w:space="0" w:color="1D3D57"/>
            </w:tcBorders>
            <w:shd w:val="clear" w:color="auto" w:fill="1D3D57"/>
            <w:tcMar>
              <w:top w:w="160" w:type="dxa"/>
              <w:left w:w="200" w:type="dxa"/>
              <w:bottom w:w="160" w:type="dxa"/>
              <w:right w:w="200" w:type="dxa"/>
            </w:tcMar>
          </w:tcPr>
          <w:p w:rsidR="00B92C0E" w:rsidRDefault="00EF582A">
            <w:pPr>
              <w:spacing w:after="90"/>
            </w:pPr>
            <w:r>
              <w:rPr>
                <w:rFonts w:ascii="Consolas" w:eastAsia="Consolas" w:hAnsi="Consolas" w:cs="Consolas"/>
                <w:color w:val="FFFFFF"/>
                <w:sz w:val="20"/>
                <w:szCs w:val="20"/>
              </w:rPr>
              <w:t>ON SALE (empties portion of an invoice):</w:t>
            </w:r>
          </w:p>
          <w:p w:rsidR="00B92C0E" w:rsidRDefault="00EF582A">
            <w:pPr>
              <w:spacing w:after="90"/>
            </w:pPr>
            <w:r>
              <w:rPr>
                <w:rFonts w:ascii="Consolas" w:eastAsia="Consolas" w:hAnsi="Consolas" w:cs="Consolas"/>
                <w:color w:val="FFFFFF"/>
                <w:sz w:val="20"/>
                <w:szCs w:val="20"/>
              </w:rPr>
              <w:t xml:space="preserve">  Empties Deposit Liability  += deposit amount charged</w:t>
            </w:r>
          </w:p>
          <w:p w:rsidR="00B92C0E" w:rsidRDefault="00EF582A">
            <w:pPr>
              <w:spacing w:after="90"/>
            </w:pPr>
            <w:r>
              <w:rPr>
                <w:rFonts w:ascii="Consolas" w:eastAsia="Consolas" w:hAnsi="Consolas" w:cs="Consolas"/>
                <w:color w:val="FFFFFF"/>
                <w:sz w:val="20"/>
                <w:szCs w:val="20"/>
              </w:rPr>
              <w:t xml:space="preserve">  (NOT posted to Sales Revenue)</w:t>
            </w:r>
          </w:p>
          <w:p w:rsidR="00B92C0E" w:rsidRDefault="00B92C0E">
            <w:pPr>
              <w:spacing w:after="90"/>
            </w:pPr>
          </w:p>
          <w:p w:rsidR="00B92C0E" w:rsidRDefault="00EF582A">
            <w:pPr>
              <w:spacing w:after="90"/>
            </w:pPr>
            <w:r>
              <w:rPr>
                <w:rFonts w:ascii="Consolas" w:eastAsia="Consolas" w:hAnsi="Consolas" w:cs="Consolas"/>
                <w:color w:val="FFFFFF"/>
                <w:sz w:val="20"/>
                <w:szCs w:val="20"/>
              </w:rPr>
              <w:t>ON RETURN (customer gets cash back, OR value is netted off a new order):</w:t>
            </w:r>
          </w:p>
          <w:p w:rsidR="00B92C0E" w:rsidRDefault="00EF582A">
            <w:pPr>
              <w:spacing w:after="90"/>
            </w:pPr>
            <w:r>
              <w:rPr>
                <w:rFonts w:ascii="Consolas" w:eastAsia="Consolas" w:hAnsi="Consolas" w:cs="Consolas"/>
                <w:color w:val="FFFFFF"/>
                <w:sz w:val="20"/>
                <w:szCs w:val="20"/>
              </w:rPr>
              <w:t xml:space="preserve">  Empties Deposit Liability  -= deposit amount refunded/credited</w:t>
            </w:r>
          </w:p>
          <w:p w:rsidR="00B92C0E" w:rsidRDefault="00EF582A">
            <w:r>
              <w:rPr>
                <w:rFonts w:ascii="Consolas" w:eastAsia="Consolas" w:hAnsi="Consolas" w:cs="Consolas"/>
                <w:color w:val="FFFFFF"/>
                <w:sz w:val="20"/>
                <w:szCs w:val="20"/>
              </w:rPr>
              <w:t xml:space="preserve">  (NOT posted to Sales Returns or to any expense account)</w:t>
            </w:r>
          </w:p>
        </w:tc>
      </w:tr>
    </w:tbl>
    <w:p w:rsidR="00B92C0E" w:rsidRDefault="00EF582A">
      <w:pPr>
        <w:pStyle w:val="ListParagraph"/>
        <w:numPr>
          <w:ilvl w:val="0"/>
          <w:numId w:val="2"/>
        </w:numPr>
        <w:spacing w:after="80"/>
      </w:pPr>
      <w:r>
        <w:rPr>
          <w:color w:val="2B3A47"/>
        </w:rPr>
        <w:t>Force cost = selling price on every empties line, by definition, regardless of what any cost-lookup table says. This guarantees zero margin on empties structurally, rather than relying on the two figures happening to match.</w:t>
      </w:r>
    </w:p>
    <w:p w:rsidR="00B92C0E" w:rsidRDefault="00EF582A">
      <w:pPr>
        <w:pStyle w:val="ListParagraph"/>
        <w:numPr>
          <w:ilvl w:val="0"/>
          <w:numId w:val="2"/>
        </w:numPr>
        <w:spacing w:after="80"/>
      </w:pPr>
      <w:r>
        <w:rPr>
          <w:color w:val="2B3A47"/>
        </w:rPr>
        <w:t>Strip empties out of Gross Sales</w:t>
      </w:r>
      <w:r>
        <w:rPr>
          <w:color w:val="2B3A47"/>
        </w:rPr>
        <w:t xml:space="preserve"> Revenue, Net Sales, COGS, and Gross Profit entirely. These headline P&amp;L figures should reflect product sales only.</w:t>
      </w:r>
    </w:p>
    <w:p w:rsidR="00B92C0E" w:rsidRDefault="00EF582A">
      <w:pPr>
        <w:pStyle w:val="ListParagraph"/>
        <w:numPr>
          <w:ilvl w:val="0"/>
          <w:numId w:val="2"/>
        </w:numPr>
        <w:spacing w:after="80"/>
      </w:pPr>
      <w:r>
        <w:rPr>
          <w:color w:val="2B3A47"/>
        </w:rPr>
        <w:t>Show “Empties Deposits Movement” as its own reconciling line, separate from the P&amp;L: deposits collected, deposits refunded, and the resultin</w:t>
      </w:r>
      <w:r>
        <w:rPr>
          <w:color w:val="2B3A47"/>
        </w:rPr>
        <w:t>g outstanding Empties Deposit Liability balance (a running total of how much is currently “owed back” to customers).</w:t>
      </w:r>
    </w:p>
    <w:p w:rsidR="00B92C0E" w:rsidRDefault="00EF582A">
      <w:pPr>
        <w:pStyle w:val="ListParagraph"/>
        <w:numPr>
          <w:ilvl w:val="0"/>
          <w:numId w:val="2"/>
        </w:numPr>
        <w:spacing w:after="80"/>
      </w:pPr>
      <w:r>
        <w:rPr>
          <w:color w:val="2B3A47"/>
        </w:rPr>
        <w:t>If a customer never returns empties and the deposit is formally forfeited, recognize that forfeited amount as Other Income at the point it'</w:t>
      </w:r>
      <w:r>
        <w:rPr>
          <w:color w:val="2B3A47"/>
        </w:rPr>
        <w:t>s forfeited — not at the original point of sale.</w:t>
      </w:r>
    </w:p>
    <w:p w:rsidR="00B92C0E" w:rsidRDefault="00EF582A">
      <w:pPr>
        <w:pBdr>
          <w:left w:val="single" w:sz="18" w:space="6" w:color="2E86AB"/>
        </w:pBdr>
        <w:shd w:val="clear" w:color="auto" w:fill="EEF2F6"/>
        <w:spacing w:after="160"/>
        <w:ind w:left="120"/>
      </w:pPr>
      <w:r>
        <w:rPr>
          <w:b/>
          <w:bCs/>
          <w:color w:val="17324A"/>
          <w:sz w:val="20"/>
          <w:szCs w:val="20"/>
        </w:rPr>
        <w:t xml:space="preserve">NOTE: </w:t>
      </w:r>
      <w:r>
        <w:rPr>
          <w:color w:val="2B3A47"/>
          <w:sz w:val="20"/>
          <w:szCs w:val="20"/>
        </w:rPr>
        <w:t>This changes the existing rule that “empties are included in Total Sales.” Under this fix, empties cash movement still shows (customers do pay it and get it back), but it no longer contributes to Total</w:t>
      </w:r>
      <w:r>
        <w:rPr>
          <w:color w:val="2B3A47"/>
          <w:sz w:val="20"/>
          <w:szCs w:val="20"/>
        </w:rPr>
        <w:t xml:space="preserve"> Sales, COGS, or Gross Profit — it moves to its own deposit-liability tracking, consistent with there being no real margin on empties by design.</w:t>
      </w:r>
    </w:p>
    <w:p w:rsidR="00B92C0E" w:rsidRDefault="00EF582A">
      <w:r>
        <w:br w:type="page"/>
      </w:r>
    </w:p>
    <w:p w:rsidR="00B92C0E" w:rsidRDefault="00D41777">
      <w:pPr>
        <w:pStyle w:val="Heading1"/>
        <w:pBdr>
          <w:bottom w:val="single" w:sz="6" w:space="4" w:color="2E86AB"/>
        </w:pBdr>
        <w:spacing w:before="400" w:after="160"/>
      </w:pPr>
      <w:r>
        <w:rPr>
          <w:b/>
          <w:bCs/>
          <w:color w:val="17324A"/>
          <w:sz w:val="30"/>
          <w:szCs w:val="30"/>
        </w:rPr>
        <w:lastRenderedPageBreak/>
        <w:t>4</w:t>
      </w:r>
      <w:r w:rsidR="00EF582A">
        <w:rPr>
          <w:b/>
          <w:bCs/>
          <w:color w:val="17324A"/>
          <w:sz w:val="30"/>
          <w:szCs w:val="30"/>
        </w:rPr>
        <w:t>. Fix: Batch-Level Cost Tracking (Volatile Purchase Costs</w:t>
      </w:r>
      <w:proofErr w:type="gramStart"/>
      <w:r w:rsidR="00EF582A">
        <w:rPr>
          <w:b/>
          <w:bCs/>
          <w:color w:val="17324A"/>
          <w:sz w:val="30"/>
          <w:szCs w:val="30"/>
        </w:rPr>
        <w:t>)</w:t>
      </w:r>
      <w:r>
        <w:rPr>
          <w:b/>
          <w:bCs/>
          <w:color w:val="17324A"/>
          <w:sz w:val="30"/>
          <w:szCs w:val="30"/>
        </w:rPr>
        <w:t xml:space="preserve">  </w:t>
      </w:r>
      <w:r>
        <w:rPr>
          <w:b/>
          <w:bCs/>
          <w:color w:val="17324A"/>
          <w:sz w:val="30"/>
          <w:szCs w:val="30"/>
        </w:rPr>
        <w:t>(</w:t>
      </w:r>
      <w:proofErr w:type="gramEnd"/>
      <w:r>
        <w:rPr>
          <w:b/>
          <w:bCs/>
          <w:color w:val="17324A"/>
          <w:sz w:val="30"/>
          <w:szCs w:val="30"/>
        </w:rPr>
        <w:t>FOR PHASE 3)</w:t>
      </w:r>
    </w:p>
    <w:p w:rsidR="00B92C0E" w:rsidRDefault="00EF582A">
      <w:pPr>
        <w:pStyle w:val="Heading2"/>
        <w:spacing w:before="260" w:after="120"/>
      </w:pPr>
      <w:r>
        <w:rPr>
          <w:b/>
          <w:bCs/>
          <w:color w:val="2E86AB"/>
          <w:sz w:val="23"/>
          <w:szCs w:val="23"/>
        </w:rPr>
        <w:t>5.1 The Problem</w:t>
      </w:r>
    </w:p>
    <w:p w:rsidR="00B92C0E" w:rsidRDefault="00EF582A">
      <w:pPr>
        <w:spacing w:after="140"/>
      </w:pPr>
      <w:r>
        <w:rPr>
          <w:color w:val="2B3A47"/>
        </w:rPr>
        <w:t xml:space="preserve">Purchase cost per unit is not constant — promotions and supplier pricing changes mean the same product can be bought at different unit costs in different weeks. Example: 10 cans of </w:t>
      </w:r>
      <w:proofErr w:type="spellStart"/>
      <w:r>
        <w:rPr>
          <w:color w:val="2B3A47"/>
        </w:rPr>
        <w:t>Maltina</w:t>
      </w:r>
      <w:proofErr w:type="spellEnd"/>
      <w:r>
        <w:rPr>
          <w:color w:val="2B3A47"/>
        </w:rPr>
        <w:t xml:space="preserve"> bought at ₦6,000/can one week, then 10 more cans bought at ₦6,200/c</w:t>
      </w:r>
      <w:r>
        <w:rPr>
          <w:color w:val="2B3A47"/>
        </w:rPr>
        <w:t>an the next week — same selling price throughout, but two different true costs. The system needs to calculate profit per unit sold against the cost that unit actually cost, not one blended “current” rate applied to everything.</w:t>
      </w:r>
    </w:p>
    <w:p w:rsidR="00B92C0E" w:rsidRDefault="00EF582A">
      <w:pPr>
        <w:pStyle w:val="Heading2"/>
        <w:spacing w:before="260" w:after="120"/>
      </w:pPr>
      <w:r>
        <w:rPr>
          <w:b/>
          <w:bCs/>
          <w:color w:val="2E86AB"/>
          <w:sz w:val="23"/>
          <w:szCs w:val="23"/>
        </w:rPr>
        <w:t>5.2 Required Method: FIFO (Fi</w:t>
      </w:r>
      <w:r>
        <w:rPr>
          <w:b/>
          <w:bCs/>
          <w:color w:val="2E86AB"/>
          <w:sz w:val="23"/>
          <w:szCs w:val="23"/>
        </w:rPr>
        <w:t>rst-In, First-Out) Costing</w:t>
      </w:r>
    </w:p>
    <w:p w:rsidR="00B92C0E" w:rsidRDefault="00EF582A">
      <w:pPr>
        <w:spacing w:after="140"/>
      </w:pPr>
      <w:r>
        <w:rPr>
          <w:color w:val="2B3A47"/>
        </w:rPr>
        <w:t>Recommended method: FIFO. This is the standard costing method that keeps purchase batches distinct and matches each sale against the cost of the oldest unsold stock first — which is exactly the “calculate profit on each can separ</w:t>
      </w:r>
      <w:r>
        <w:rPr>
          <w:color w:val="2B3A47"/>
        </w:rPr>
        <w:t>ately” behavior being asked for. (Weighted-average costing was considered and rejected here: it would blend the ₦6,000 and ₦6,200 batches into one moving average, which is simpler but loses the separation this requirement explicitly wants.)</w:t>
      </w:r>
    </w:p>
    <w:p w:rsidR="00B92C0E" w:rsidRDefault="00EF582A">
      <w:pPr>
        <w:pStyle w:val="ListParagraph"/>
        <w:numPr>
          <w:ilvl w:val="0"/>
          <w:numId w:val="4"/>
        </w:numPr>
        <w:spacing w:after="100"/>
      </w:pPr>
      <w:r>
        <w:rPr>
          <w:color w:val="2B3A47"/>
        </w:rPr>
        <w:t>Maintain a per-</w:t>
      </w:r>
      <w:r>
        <w:rPr>
          <w:color w:val="2B3A47"/>
        </w:rPr>
        <w:t xml:space="preserve">product inventory ledger as a queue of “cost lots”: each lot = {purchase date, quantity, </w:t>
      </w:r>
      <w:proofErr w:type="gramStart"/>
      <w:r>
        <w:rPr>
          <w:color w:val="2B3A47"/>
        </w:rPr>
        <w:t>unit</w:t>
      </w:r>
      <w:proofErr w:type="gramEnd"/>
      <w:r>
        <w:rPr>
          <w:color w:val="2B3A47"/>
        </w:rPr>
        <w:t xml:space="preserve"> cost}, created every time a Purchases record is processed.</w:t>
      </w:r>
    </w:p>
    <w:p w:rsidR="00B92C0E" w:rsidRDefault="00EF582A">
      <w:pPr>
        <w:pStyle w:val="ListParagraph"/>
        <w:numPr>
          <w:ilvl w:val="0"/>
          <w:numId w:val="4"/>
        </w:numPr>
        <w:spacing w:after="100"/>
      </w:pPr>
      <w:r>
        <w:rPr>
          <w:color w:val="2B3A47"/>
        </w:rPr>
        <w:t>When a sale is recorded, draw the sold quantity from the oldest lot(s) first. If a single sale's quanti</w:t>
      </w:r>
      <w:r>
        <w:rPr>
          <w:color w:val="2B3A47"/>
        </w:rPr>
        <w:t>ty exceeds what remains in the oldest lot, split it: consume the rest of that lot, then continue drawing from the next-oldest lot, and so on.</w:t>
      </w:r>
    </w:p>
    <w:p w:rsidR="00B92C0E" w:rsidRDefault="00EF582A">
      <w:pPr>
        <w:pStyle w:val="ListParagraph"/>
        <w:numPr>
          <w:ilvl w:val="0"/>
          <w:numId w:val="4"/>
        </w:numPr>
        <w:spacing w:after="100"/>
      </w:pPr>
      <w:r>
        <w:rPr>
          <w:color w:val="2B3A47"/>
        </w:rPr>
        <w:t>COGS for that sale line = SUM across every lot drawn from, of (quantity drawn from that lot × that lot's unit cost</w:t>
      </w:r>
      <w:r>
        <w:rPr>
          <w:color w:val="2B3A47"/>
        </w:rPr>
        <w:t>).</w:t>
      </w:r>
    </w:p>
    <w:p w:rsidR="00B92C0E" w:rsidRDefault="00EF582A">
      <w:pPr>
        <w:pStyle w:val="ListParagraph"/>
        <w:numPr>
          <w:ilvl w:val="0"/>
          <w:numId w:val="4"/>
        </w:numPr>
        <w:spacing w:after="100"/>
      </w:pPr>
      <w:r>
        <w:rPr>
          <w:color w:val="2B3A47"/>
        </w:rPr>
        <w:t>Gross profit for that sale line = (quantity sold × selling price) − COGS calculated in the previous step.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92C0E">
        <w:tblPrEx>
          <w:tblCellMar>
            <w:top w:w="0" w:type="dxa"/>
            <w:bottom w:w="0" w:type="dxa"/>
          </w:tblCellMar>
        </w:tblPrEx>
        <w:tc>
          <w:tcPr>
            <w:tcW w:w="9350" w:type="dxa"/>
            <w:tcBorders>
              <w:top w:val="single" w:sz="2" w:space="0" w:color="1D3D57"/>
              <w:left w:val="single" w:sz="2" w:space="0" w:color="1D3D57"/>
              <w:bottom w:val="single" w:sz="2" w:space="0" w:color="1D3D57"/>
              <w:right w:val="single" w:sz="2" w:space="0" w:color="1D3D57"/>
            </w:tcBorders>
            <w:shd w:val="clear" w:color="auto" w:fill="1D3D57"/>
            <w:tcMar>
              <w:top w:w="160" w:type="dxa"/>
              <w:left w:w="200" w:type="dxa"/>
              <w:bottom w:w="160" w:type="dxa"/>
              <w:right w:w="200" w:type="dxa"/>
            </w:tcMar>
          </w:tcPr>
          <w:p w:rsidR="00B92C0E" w:rsidRDefault="00EF582A">
            <w:pPr>
              <w:spacing w:after="90"/>
            </w:pPr>
            <w:r>
              <w:rPr>
                <w:rFonts w:ascii="Consolas" w:eastAsia="Consolas" w:hAnsi="Consolas" w:cs="Consolas"/>
                <w:color w:val="FFFFFF"/>
                <w:sz w:val="20"/>
                <w:szCs w:val="20"/>
              </w:rPr>
              <w:t>EXAMPLE:</w:t>
            </w:r>
          </w:p>
          <w:p w:rsidR="00B92C0E" w:rsidRDefault="00EF582A">
            <w:pPr>
              <w:spacing w:after="90"/>
            </w:pPr>
            <w:r>
              <w:rPr>
                <w:rFonts w:ascii="Consolas" w:eastAsia="Consolas" w:hAnsi="Consolas" w:cs="Consolas"/>
                <w:color w:val="FFFFFF"/>
                <w:sz w:val="20"/>
                <w:szCs w:val="20"/>
              </w:rPr>
              <w:t xml:space="preserve">  Lot A: purchased 10 units @ ₦6,000  (available: 10)</w:t>
            </w:r>
          </w:p>
          <w:p w:rsidR="00B92C0E" w:rsidRDefault="00EF582A">
            <w:pPr>
              <w:spacing w:after="90"/>
            </w:pPr>
            <w:r>
              <w:rPr>
                <w:rFonts w:ascii="Consolas" w:eastAsia="Consolas" w:hAnsi="Consolas" w:cs="Consolas"/>
                <w:color w:val="FFFFFF"/>
                <w:sz w:val="20"/>
                <w:szCs w:val="20"/>
              </w:rPr>
              <w:t xml:space="preserve">  Lot B: purchased 10 units @ ₦6,200  (available: 10)</w:t>
            </w:r>
          </w:p>
          <w:p w:rsidR="00B92C0E" w:rsidRDefault="00B92C0E">
            <w:pPr>
              <w:spacing w:after="90"/>
            </w:pPr>
          </w:p>
          <w:p w:rsidR="00B92C0E" w:rsidRDefault="00EF582A">
            <w:pPr>
              <w:spacing w:after="90"/>
            </w:pPr>
            <w:r>
              <w:rPr>
                <w:rFonts w:ascii="Consolas" w:eastAsia="Consolas" w:hAnsi="Consolas" w:cs="Consolas"/>
                <w:color w:val="FFFFFF"/>
                <w:sz w:val="20"/>
                <w:szCs w:val="20"/>
              </w:rPr>
              <w:t xml:space="preserve">  Sale of 12 units @ ₦7,500 s</w:t>
            </w:r>
            <w:r>
              <w:rPr>
                <w:rFonts w:ascii="Consolas" w:eastAsia="Consolas" w:hAnsi="Consolas" w:cs="Consolas"/>
                <w:color w:val="FFFFFF"/>
                <w:sz w:val="20"/>
                <w:szCs w:val="20"/>
              </w:rPr>
              <w:t>elling price each:</w:t>
            </w:r>
          </w:p>
          <w:p w:rsidR="00B92C0E" w:rsidRDefault="00EF582A">
            <w:pPr>
              <w:spacing w:after="90"/>
            </w:pPr>
            <w:r>
              <w:rPr>
                <w:rFonts w:ascii="Consolas" w:eastAsia="Consolas" w:hAnsi="Consolas" w:cs="Consolas"/>
                <w:color w:val="FFFFFF"/>
                <w:sz w:val="20"/>
                <w:szCs w:val="20"/>
              </w:rPr>
              <w:t xml:space="preserve">    Draw 10 from Lot A @ ₦6,000  -&gt; cost = 60,000   (Lot A now empty)</w:t>
            </w:r>
          </w:p>
          <w:p w:rsidR="00B92C0E" w:rsidRDefault="00EF582A">
            <w:pPr>
              <w:spacing w:after="90"/>
            </w:pPr>
            <w:r>
              <w:rPr>
                <w:rFonts w:ascii="Consolas" w:eastAsia="Consolas" w:hAnsi="Consolas" w:cs="Consolas"/>
                <w:color w:val="FFFFFF"/>
                <w:sz w:val="20"/>
                <w:szCs w:val="20"/>
              </w:rPr>
              <w:t xml:space="preserve">    Draw  2 from Lot B @ ₦6,200  -&gt; cost = 12,400   (Lot B now has 8 left)</w:t>
            </w:r>
          </w:p>
          <w:p w:rsidR="00B92C0E" w:rsidRDefault="00EF582A">
            <w:pPr>
              <w:spacing w:after="90"/>
            </w:pPr>
            <w:r>
              <w:rPr>
                <w:rFonts w:ascii="Consolas" w:eastAsia="Consolas" w:hAnsi="Consolas" w:cs="Consolas"/>
                <w:color w:val="FFFFFF"/>
                <w:sz w:val="20"/>
                <w:szCs w:val="20"/>
              </w:rPr>
              <w:t xml:space="preserve">    Total COGS for this sale = 60,000 + 12,400 = 72,400</w:t>
            </w:r>
          </w:p>
          <w:p w:rsidR="00B92C0E" w:rsidRDefault="00EF582A">
            <w:pPr>
              <w:spacing w:after="90"/>
            </w:pPr>
            <w:r>
              <w:rPr>
                <w:rFonts w:ascii="Consolas" w:eastAsia="Consolas" w:hAnsi="Consolas" w:cs="Consolas"/>
                <w:color w:val="FFFFFF"/>
                <w:sz w:val="20"/>
                <w:szCs w:val="20"/>
              </w:rPr>
              <w:t xml:space="preserve">    Revenue = 12 × 7,500 = 90,000</w:t>
            </w:r>
          </w:p>
          <w:p w:rsidR="00B92C0E" w:rsidRDefault="00EF582A">
            <w:r>
              <w:rPr>
                <w:rFonts w:ascii="Consolas" w:eastAsia="Consolas" w:hAnsi="Consolas" w:cs="Consolas"/>
                <w:color w:val="FFFFFF"/>
                <w:sz w:val="20"/>
                <w:szCs w:val="20"/>
              </w:rPr>
              <w:t xml:space="preserve">  </w:t>
            </w:r>
            <w:r>
              <w:rPr>
                <w:rFonts w:ascii="Consolas" w:eastAsia="Consolas" w:hAnsi="Consolas" w:cs="Consolas"/>
                <w:color w:val="FFFFFF"/>
                <w:sz w:val="20"/>
                <w:szCs w:val="20"/>
              </w:rPr>
              <w:t xml:space="preserve">  Gross Profit = 90,000 − 72,400 = 17,600</w:t>
            </w:r>
          </w:p>
        </w:tc>
      </w:tr>
    </w:tbl>
    <w:p w:rsidR="00B92C0E" w:rsidRDefault="00EF582A">
      <w:pPr>
        <w:pStyle w:val="Heading2"/>
        <w:spacing w:before="260" w:after="120"/>
      </w:pPr>
      <w:r>
        <w:rPr>
          <w:b/>
          <w:bCs/>
          <w:color w:val="2E86AB"/>
          <w:sz w:val="23"/>
          <w:szCs w:val="23"/>
        </w:rPr>
        <w:t>5.3 Relationship to the Existing Cost Rule</w:t>
      </w:r>
    </w:p>
    <w:p w:rsidR="00B92C0E" w:rsidRDefault="00EF582A">
      <w:pPr>
        <w:spacing w:after="140"/>
      </w:pPr>
      <w:r>
        <w:rPr>
          <w:color w:val="2B3A47"/>
        </w:rPr>
        <w:t>This supersedes the earlier rule that Total Cost is computed from the Inventory Summary sheet's “cost per unit” as the primary source. Under FIFO batch costing:</w:t>
      </w:r>
    </w:p>
    <w:p w:rsidR="00B92C0E" w:rsidRDefault="00EF582A">
      <w:pPr>
        <w:pStyle w:val="ListParagraph"/>
        <w:numPr>
          <w:ilvl w:val="0"/>
          <w:numId w:val="2"/>
        </w:numPr>
        <w:spacing w:after="80"/>
      </w:pPr>
      <w:r>
        <w:rPr>
          <w:color w:val="2B3A47"/>
        </w:rPr>
        <w:t>The Purchases ledger (with lot-level date, quantity, and unit cost) becomes the true source of cost, going forward from whenever this is implemented.</w:t>
      </w:r>
    </w:p>
    <w:p w:rsidR="00B92C0E" w:rsidRDefault="00EF582A">
      <w:pPr>
        <w:pStyle w:val="ListParagraph"/>
        <w:numPr>
          <w:ilvl w:val="0"/>
          <w:numId w:val="2"/>
        </w:numPr>
        <w:spacing w:after="80"/>
      </w:pPr>
      <w:r>
        <w:rPr>
          <w:color w:val="2B3A47"/>
        </w:rPr>
        <w:t>The Inventory Summary sheet's “rate per unit” becomes a fallback only — used solely when no purchase-lot h</w:t>
      </w:r>
      <w:r>
        <w:rPr>
          <w:color w:val="2B3A47"/>
        </w:rPr>
        <w:t>istory exists for a product (e.g. opening stock carried over from before FIFO tracking started, or a product with no recorded purchases yet), exactly as the existing Inventory-Summary-then-Sales-Register fallback chain already works elsewhere in the system</w:t>
      </w:r>
      <w:r>
        <w:rPr>
          <w:color w:val="2B3A47"/>
        </w:rPr>
        <w:t>.</w:t>
      </w:r>
    </w:p>
    <w:p w:rsidR="00B92C0E" w:rsidRDefault="00EF582A">
      <w:pPr>
        <w:pStyle w:val="ListParagraph"/>
        <w:numPr>
          <w:ilvl w:val="0"/>
          <w:numId w:val="2"/>
        </w:numPr>
        <w:spacing w:after="80"/>
      </w:pPr>
      <w:r>
        <w:rPr>
          <w:color w:val="2B3A47"/>
        </w:rPr>
        <w:lastRenderedPageBreak/>
        <w:t>Opening stock at the point FIFO tracking begins should be entered as a single opening lot per product, using the best available cost figure (Inventory Summary rate, most likely), so the queue has a valid starting point.</w:t>
      </w:r>
    </w:p>
    <w:p w:rsidR="00B92C0E" w:rsidRDefault="00EF582A">
      <w:pPr>
        <w:pBdr>
          <w:left w:val="single" w:sz="18" w:space="6" w:color="2E86AB"/>
        </w:pBdr>
        <w:shd w:val="clear" w:color="auto" w:fill="EEF2F6"/>
        <w:spacing w:after="160"/>
        <w:ind w:left="120"/>
      </w:pPr>
      <w:r>
        <w:rPr>
          <w:b/>
          <w:bCs/>
          <w:color w:val="17324A"/>
          <w:sz w:val="20"/>
          <w:szCs w:val="20"/>
        </w:rPr>
        <w:t xml:space="preserve">NOTE: </w:t>
      </w:r>
      <w:r>
        <w:rPr>
          <w:color w:val="2B3A47"/>
          <w:sz w:val="20"/>
          <w:szCs w:val="20"/>
        </w:rPr>
        <w:t>This is a genuine architectu</w:t>
      </w:r>
      <w:r>
        <w:rPr>
          <w:color w:val="2B3A47"/>
          <w:sz w:val="20"/>
          <w:szCs w:val="20"/>
        </w:rPr>
        <w:t>re change to how COGS is calculated, not a small tweak — it requires the Purchases data to be reliably captured at lot level (date, quantity, unit cost) for every product going forward. Flag to the team that historical accuracy before this point depends on</w:t>
      </w:r>
      <w:r>
        <w:rPr>
          <w:color w:val="2B3A47"/>
          <w:sz w:val="20"/>
          <w:szCs w:val="20"/>
        </w:rPr>
        <w:t xml:space="preserve"> how complete the existing Purchases records are.</w:t>
      </w:r>
    </w:p>
    <w:p w:rsidR="00B92C0E" w:rsidRDefault="00EF582A" w:rsidP="00EF582A">
      <w:bookmarkStart w:id="0" w:name="_GoBack"/>
      <w:bookmarkEnd w:id="0"/>
      <w:r>
        <w:rPr>
          <w:b/>
          <w:bCs/>
          <w:color w:val="17324A"/>
          <w:sz w:val="30"/>
          <w:szCs w:val="30"/>
        </w:rPr>
        <w:t>Summary of Changes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900"/>
        <w:gridCol w:w="1750"/>
      </w:tblGrid>
      <w:tr w:rsidR="00B92C0E">
        <w:tblPrEx>
          <w:tblCellMar>
            <w:top w:w="0" w:type="dxa"/>
            <w:bottom w:w="0" w:type="dxa"/>
          </w:tblCellMar>
        </w:tblPrEx>
        <w:trPr>
          <w:tblHeader/>
        </w:trPr>
        <w:tc>
          <w:tcPr>
            <w:tcW w:w="700" w:type="dxa"/>
            <w:shd w:val="clear" w:color="auto" w:fill="17324A"/>
            <w:tcMar>
              <w:top w:w="100" w:type="dxa"/>
              <w:left w:w="120" w:type="dxa"/>
              <w:bottom w:w="100" w:type="dxa"/>
              <w:right w:w="120" w:type="dxa"/>
            </w:tcMar>
          </w:tcPr>
          <w:p w:rsidR="00B92C0E" w:rsidRDefault="00EF582A">
            <w:r>
              <w:rPr>
                <w:b/>
                <w:bCs/>
                <w:color w:val="FFFFFF"/>
                <w:sz w:val="18"/>
                <w:szCs w:val="18"/>
              </w:rPr>
              <w:t>#</w:t>
            </w:r>
          </w:p>
        </w:tc>
        <w:tc>
          <w:tcPr>
            <w:tcW w:w="6900" w:type="dxa"/>
            <w:shd w:val="clear" w:color="auto" w:fill="17324A"/>
            <w:tcMar>
              <w:top w:w="100" w:type="dxa"/>
              <w:left w:w="120" w:type="dxa"/>
              <w:bottom w:w="100" w:type="dxa"/>
              <w:right w:w="120" w:type="dxa"/>
            </w:tcMar>
          </w:tcPr>
          <w:p w:rsidR="00B92C0E" w:rsidRDefault="00EF582A">
            <w:r>
              <w:rPr>
                <w:b/>
                <w:bCs/>
                <w:color w:val="FFFFFF"/>
                <w:sz w:val="18"/>
                <w:szCs w:val="18"/>
              </w:rPr>
              <w:t>Change</w:t>
            </w:r>
          </w:p>
        </w:tc>
        <w:tc>
          <w:tcPr>
            <w:tcW w:w="1750" w:type="dxa"/>
            <w:shd w:val="clear" w:color="auto" w:fill="17324A"/>
            <w:tcMar>
              <w:top w:w="100" w:type="dxa"/>
              <w:left w:w="120" w:type="dxa"/>
              <w:bottom w:w="100" w:type="dxa"/>
              <w:right w:w="120" w:type="dxa"/>
            </w:tcMar>
          </w:tcPr>
          <w:p w:rsidR="00B92C0E" w:rsidRDefault="00EF582A">
            <w:r>
              <w:rPr>
                <w:b/>
                <w:bCs/>
                <w:color w:val="FFFFFF"/>
                <w:sz w:val="18"/>
                <w:szCs w:val="18"/>
              </w:rPr>
              <w:t>Type</w:t>
            </w:r>
          </w:p>
        </w:tc>
      </w:tr>
      <w:tr w:rsidR="00B92C0E">
        <w:tblPrEx>
          <w:tblCellMar>
            <w:top w:w="0" w:type="dxa"/>
            <w:bottom w:w="0" w:type="dxa"/>
          </w:tblCellMar>
        </w:tblPrEx>
        <w:tc>
          <w:tcPr>
            <w:tcW w:w="700" w:type="dxa"/>
            <w:shd w:val="clear" w:color="auto" w:fill="FFFFFF"/>
            <w:tcMar>
              <w:top w:w="90" w:type="dxa"/>
              <w:left w:w="120" w:type="dxa"/>
              <w:bottom w:w="90" w:type="dxa"/>
              <w:right w:w="120" w:type="dxa"/>
            </w:tcMar>
          </w:tcPr>
          <w:p w:rsidR="00B92C0E" w:rsidRDefault="00EF582A">
            <w:r>
              <w:rPr>
                <w:color w:val="2B3A47"/>
                <w:sz w:val="18"/>
                <w:szCs w:val="18"/>
              </w:rPr>
              <w:t>1</w:t>
            </w:r>
          </w:p>
        </w:tc>
        <w:tc>
          <w:tcPr>
            <w:tcW w:w="6900" w:type="dxa"/>
            <w:shd w:val="clear" w:color="auto" w:fill="FFFFFF"/>
            <w:tcMar>
              <w:top w:w="90" w:type="dxa"/>
              <w:left w:w="120" w:type="dxa"/>
              <w:bottom w:w="90" w:type="dxa"/>
              <w:right w:w="120" w:type="dxa"/>
            </w:tcMar>
          </w:tcPr>
          <w:p w:rsidR="00B92C0E" w:rsidRDefault="00EF582A">
            <w:r>
              <w:rPr>
                <w:color w:val="2B3A47"/>
                <w:sz w:val="18"/>
                <w:szCs w:val="18"/>
              </w:rPr>
              <w:t>Stock/Inventory Health module: velocity, cover, reorder point, stock-out risk, slow-moving, dead stock, actions, peak-period multiplier</w:t>
            </w:r>
          </w:p>
        </w:tc>
        <w:tc>
          <w:tcPr>
            <w:tcW w:w="1750" w:type="dxa"/>
            <w:shd w:val="clear" w:color="auto" w:fill="FFFFFF"/>
            <w:tcMar>
              <w:top w:w="90" w:type="dxa"/>
              <w:left w:w="120" w:type="dxa"/>
              <w:bottom w:w="90" w:type="dxa"/>
              <w:right w:w="120" w:type="dxa"/>
            </w:tcMar>
          </w:tcPr>
          <w:p w:rsidR="00B92C0E" w:rsidRDefault="00EF582A">
            <w:r>
              <w:rPr>
                <w:color w:val="2B3A47"/>
                <w:sz w:val="18"/>
                <w:szCs w:val="18"/>
              </w:rPr>
              <w:t>New feature</w:t>
            </w:r>
          </w:p>
        </w:tc>
      </w:tr>
      <w:tr w:rsidR="00B92C0E">
        <w:tblPrEx>
          <w:tblCellMar>
            <w:top w:w="0" w:type="dxa"/>
            <w:bottom w:w="0" w:type="dxa"/>
          </w:tblCellMar>
        </w:tblPrEx>
        <w:tc>
          <w:tcPr>
            <w:tcW w:w="700" w:type="dxa"/>
            <w:shd w:val="clear" w:color="auto" w:fill="F5F8FA"/>
            <w:tcMar>
              <w:top w:w="90" w:type="dxa"/>
              <w:left w:w="120" w:type="dxa"/>
              <w:bottom w:w="90" w:type="dxa"/>
              <w:right w:w="120" w:type="dxa"/>
            </w:tcMar>
          </w:tcPr>
          <w:p w:rsidR="00B92C0E" w:rsidRDefault="00EF582A">
            <w:r>
              <w:rPr>
                <w:color w:val="2B3A47"/>
                <w:sz w:val="18"/>
                <w:szCs w:val="18"/>
              </w:rPr>
              <w:t>2</w:t>
            </w:r>
          </w:p>
        </w:tc>
        <w:tc>
          <w:tcPr>
            <w:tcW w:w="6900" w:type="dxa"/>
            <w:shd w:val="clear" w:color="auto" w:fill="F5F8FA"/>
            <w:tcMar>
              <w:top w:w="90" w:type="dxa"/>
              <w:left w:w="120" w:type="dxa"/>
              <w:bottom w:w="90" w:type="dxa"/>
              <w:right w:w="120" w:type="dxa"/>
            </w:tcMar>
          </w:tcPr>
          <w:p w:rsidR="00B92C0E" w:rsidRDefault="00EF582A">
            <w:r>
              <w:rPr>
                <w:color w:val="2B3A47"/>
                <w:sz w:val="18"/>
                <w:szCs w:val="18"/>
              </w:rPr>
              <w:t>Weekly sales/GP/NP reporting alongside existing monthly reporting</w:t>
            </w:r>
          </w:p>
        </w:tc>
        <w:tc>
          <w:tcPr>
            <w:tcW w:w="1750" w:type="dxa"/>
            <w:shd w:val="clear" w:color="auto" w:fill="F5F8FA"/>
            <w:tcMar>
              <w:top w:w="90" w:type="dxa"/>
              <w:left w:w="120" w:type="dxa"/>
              <w:bottom w:w="90" w:type="dxa"/>
              <w:right w:w="120" w:type="dxa"/>
            </w:tcMar>
          </w:tcPr>
          <w:p w:rsidR="00B92C0E" w:rsidRDefault="00EF582A">
            <w:r>
              <w:rPr>
                <w:color w:val="2B3A47"/>
                <w:sz w:val="18"/>
                <w:szCs w:val="18"/>
              </w:rPr>
              <w:t>New feature</w:t>
            </w:r>
          </w:p>
        </w:tc>
      </w:tr>
      <w:tr w:rsidR="00B92C0E">
        <w:tblPrEx>
          <w:tblCellMar>
            <w:top w:w="0" w:type="dxa"/>
            <w:bottom w:w="0" w:type="dxa"/>
          </w:tblCellMar>
        </w:tblPrEx>
        <w:tc>
          <w:tcPr>
            <w:tcW w:w="700" w:type="dxa"/>
            <w:shd w:val="clear" w:color="auto" w:fill="FFFFFF"/>
            <w:tcMar>
              <w:top w:w="90" w:type="dxa"/>
              <w:left w:w="120" w:type="dxa"/>
              <w:bottom w:w="90" w:type="dxa"/>
              <w:right w:w="120" w:type="dxa"/>
            </w:tcMar>
          </w:tcPr>
          <w:p w:rsidR="00B92C0E" w:rsidRDefault="00EF582A">
            <w:r>
              <w:rPr>
                <w:color w:val="2B3A47"/>
                <w:sz w:val="18"/>
                <w:szCs w:val="18"/>
              </w:rPr>
              <w:t>3</w:t>
            </w:r>
          </w:p>
        </w:tc>
        <w:tc>
          <w:tcPr>
            <w:tcW w:w="6900" w:type="dxa"/>
            <w:shd w:val="clear" w:color="auto" w:fill="FFFFFF"/>
            <w:tcMar>
              <w:top w:w="90" w:type="dxa"/>
              <w:left w:w="120" w:type="dxa"/>
              <w:bottom w:w="90" w:type="dxa"/>
              <w:right w:w="120" w:type="dxa"/>
            </w:tcMar>
          </w:tcPr>
          <w:p w:rsidR="00B92C0E" w:rsidRDefault="00EF582A">
            <w:r>
              <w:rPr>
                <w:color w:val="2B3A47"/>
                <w:sz w:val="18"/>
                <w:szCs w:val="18"/>
              </w:rPr>
              <w:t>Empties recorded as a deposit liability, not revenue/COGS; zero margin by design</w:t>
            </w:r>
          </w:p>
        </w:tc>
        <w:tc>
          <w:tcPr>
            <w:tcW w:w="1750" w:type="dxa"/>
            <w:shd w:val="clear" w:color="auto" w:fill="FFFFFF"/>
            <w:tcMar>
              <w:top w:w="90" w:type="dxa"/>
              <w:left w:w="120" w:type="dxa"/>
              <w:bottom w:w="90" w:type="dxa"/>
              <w:right w:w="120" w:type="dxa"/>
            </w:tcMar>
          </w:tcPr>
          <w:p w:rsidR="00B92C0E" w:rsidRDefault="00EF582A">
            <w:r>
              <w:rPr>
                <w:color w:val="2B3A47"/>
                <w:sz w:val="18"/>
                <w:szCs w:val="18"/>
              </w:rPr>
              <w:t>Accounting fix</w:t>
            </w:r>
          </w:p>
        </w:tc>
      </w:tr>
      <w:tr w:rsidR="00B92C0E">
        <w:tblPrEx>
          <w:tblCellMar>
            <w:top w:w="0" w:type="dxa"/>
            <w:bottom w:w="0" w:type="dxa"/>
          </w:tblCellMar>
        </w:tblPrEx>
        <w:tc>
          <w:tcPr>
            <w:tcW w:w="700" w:type="dxa"/>
            <w:shd w:val="clear" w:color="auto" w:fill="FFFFFF"/>
            <w:tcMar>
              <w:top w:w="90" w:type="dxa"/>
              <w:left w:w="120" w:type="dxa"/>
              <w:bottom w:w="90" w:type="dxa"/>
              <w:right w:w="120" w:type="dxa"/>
            </w:tcMar>
          </w:tcPr>
          <w:p w:rsidR="00B92C0E" w:rsidRDefault="00D41777">
            <w:r>
              <w:rPr>
                <w:color w:val="2B3A47"/>
                <w:sz w:val="18"/>
                <w:szCs w:val="18"/>
              </w:rPr>
              <w:t>4</w:t>
            </w:r>
          </w:p>
        </w:tc>
        <w:tc>
          <w:tcPr>
            <w:tcW w:w="6900" w:type="dxa"/>
            <w:shd w:val="clear" w:color="auto" w:fill="FFFFFF"/>
            <w:tcMar>
              <w:top w:w="90" w:type="dxa"/>
              <w:left w:w="120" w:type="dxa"/>
              <w:bottom w:w="90" w:type="dxa"/>
              <w:right w:w="120" w:type="dxa"/>
            </w:tcMar>
          </w:tcPr>
          <w:p w:rsidR="00B92C0E" w:rsidRDefault="00EF582A">
            <w:r>
              <w:rPr>
                <w:color w:val="2B3A47"/>
                <w:sz w:val="18"/>
                <w:szCs w:val="18"/>
              </w:rPr>
              <w:t>FIFO batch-level cost tracking to replace blended cost-per-unit for volatile purchase costs</w:t>
            </w:r>
          </w:p>
        </w:tc>
        <w:tc>
          <w:tcPr>
            <w:tcW w:w="1750" w:type="dxa"/>
            <w:shd w:val="clear" w:color="auto" w:fill="FFFFFF"/>
            <w:tcMar>
              <w:top w:w="90" w:type="dxa"/>
              <w:left w:w="120" w:type="dxa"/>
              <w:bottom w:w="90" w:type="dxa"/>
              <w:right w:w="120" w:type="dxa"/>
            </w:tcMar>
          </w:tcPr>
          <w:p w:rsidR="00B92C0E" w:rsidRDefault="00EF582A">
            <w:r>
              <w:rPr>
                <w:color w:val="2B3A47"/>
                <w:sz w:val="18"/>
                <w:szCs w:val="18"/>
              </w:rPr>
              <w:t>Architecture change</w:t>
            </w:r>
          </w:p>
        </w:tc>
      </w:tr>
    </w:tbl>
    <w:p w:rsidR="00B92C0E" w:rsidRDefault="00B92C0E">
      <w:pPr>
        <w:spacing w:after="200"/>
      </w:pPr>
    </w:p>
    <w:p w:rsidR="00B92C0E" w:rsidRDefault="00EF582A">
      <w:pPr>
        <w:spacing w:after="140"/>
      </w:pPr>
      <w:r>
        <w:rPr>
          <w:i/>
          <w:iCs/>
          <w:color w:val="2B3A47"/>
        </w:rPr>
        <w:t>End of specification.</w:t>
      </w:r>
    </w:p>
    <w:sectPr w:rsidR="00B92C0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0F3A5B"/>
    <w:multiLevelType w:val="hybridMultilevel"/>
    <w:tmpl w:val="F140D11C"/>
    <w:lvl w:ilvl="0" w:tplc="DECE3AA0">
      <w:start w:val="1"/>
      <w:numFmt w:val="bullet"/>
      <w:lvlText w:val="●"/>
      <w:lvlJc w:val="left"/>
      <w:pPr>
        <w:ind w:left="720" w:hanging="360"/>
      </w:pPr>
    </w:lvl>
    <w:lvl w:ilvl="1" w:tplc="810C11EC">
      <w:start w:val="1"/>
      <w:numFmt w:val="bullet"/>
      <w:lvlText w:val="○"/>
      <w:lvlJc w:val="left"/>
      <w:pPr>
        <w:ind w:left="1440" w:hanging="360"/>
      </w:pPr>
    </w:lvl>
    <w:lvl w:ilvl="2" w:tplc="FA508ABA">
      <w:start w:val="1"/>
      <w:numFmt w:val="bullet"/>
      <w:lvlText w:val="■"/>
      <w:lvlJc w:val="left"/>
      <w:pPr>
        <w:ind w:left="2160" w:hanging="360"/>
      </w:pPr>
    </w:lvl>
    <w:lvl w:ilvl="3" w:tplc="948C575A">
      <w:start w:val="1"/>
      <w:numFmt w:val="bullet"/>
      <w:lvlText w:val="●"/>
      <w:lvlJc w:val="left"/>
      <w:pPr>
        <w:ind w:left="2880" w:hanging="360"/>
      </w:pPr>
    </w:lvl>
    <w:lvl w:ilvl="4" w:tplc="AF0031E8">
      <w:start w:val="1"/>
      <w:numFmt w:val="bullet"/>
      <w:lvlText w:val="○"/>
      <w:lvlJc w:val="left"/>
      <w:pPr>
        <w:ind w:left="3600" w:hanging="360"/>
      </w:pPr>
    </w:lvl>
    <w:lvl w:ilvl="5" w:tplc="FAE48776">
      <w:start w:val="1"/>
      <w:numFmt w:val="bullet"/>
      <w:lvlText w:val="■"/>
      <w:lvlJc w:val="left"/>
      <w:pPr>
        <w:ind w:left="4320" w:hanging="360"/>
      </w:pPr>
    </w:lvl>
    <w:lvl w:ilvl="6" w:tplc="4DE00232">
      <w:start w:val="1"/>
      <w:numFmt w:val="bullet"/>
      <w:lvlText w:val="●"/>
      <w:lvlJc w:val="left"/>
      <w:pPr>
        <w:ind w:left="5040" w:hanging="360"/>
      </w:pPr>
    </w:lvl>
    <w:lvl w:ilvl="7" w:tplc="7B5C17AC">
      <w:start w:val="1"/>
      <w:numFmt w:val="bullet"/>
      <w:lvlText w:val="●"/>
      <w:lvlJc w:val="left"/>
      <w:pPr>
        <w:ind w:left="5760" w:hanging="360"/>
      </w:pPr>
    </w:lvl>
    <w:lvl w:ilvl="8" w:tplc="8F88DF20">
      <w:start w:val="1"/>
      <w:numFmt w:val="bullet"/>
      <w:lvlText w:val="●"/>
      <w:lvlJc w:val="left"/>
      <w:pPr>
        <w:ind w:left="6480" w:hanging="360"/>
      </w:pPr>
    </w:lvl>
  </w:abstractNum>
  <w:abstractNum w:abstractNumId="1" w15:restartNumberingAfterBreak="0">
    <w:nsid w:val="44CA48F1"/>
    <w:multiLevelType w:val="hybridMultilevel"/>
    <w:tmpl w:val="26E6C810"/>
    <w:lvl w:ilvl="0" w:tplc="C93CB5E6">
      <w:start w:val="1"/>
      <w:numFmt w:val="bullet"/>
      <w:lvlText w:val="•"/>
      <w:lvlJc w:val="left"/>
      <w:pPr>
        <w:ind w:left="360" w:hanging="260"/>
      </w:pPr>
    </w:lvl>
    <w:lvl w:ilvl="1" w:tplc="E6C6BBA4">
      <w:start w:val="1"/>
      <w:numFmt w:val="bullet"/>
      <w:lvlText w:val="–"/>
      <w:lvlJc w:val="left"/>
      <w:pPr>
        <w:ind w:left="720" w:hanging="260"/>
      </w:pPr>
    </w:lvl>
    <w:lvl w:ilvl="2" w:tplc="20EEC0A2">
      <w:numFmt w:val="decimal"/>
      <w:lvlText w:val=""/>
      <w:lvlJc w:val="left"/>
    </w:lvl>
    <w:lvl w:ilvl="3" w:tplc="C26EA69E">
      <w:numFmt w:val="decimal"/>
      <w:lvlText w:val=""/>
      <w:lvlJc w:val="left"/>
    </w:lvl>
    <w:lvl w:ilvl="4" w:tplc="8F8A453A">
      <w:numFmt w:val="decimal"/>
      <w:lvlText w:val=""/>
      <w:lvlJc w:val="left"/>
    </w:lvl>
    <w:lvl w:ilvl="5" w:tplc="4B3EFF60">
      <w:numFmt w:val="decimal"/>
      <w:lvlText w:val=""/>
      <w:lvlJc w:val="left"/>
    </w:lvl>
    <w:lvl w:ilvl="6" w:tplc="95C630C2">
      <w:numFmt w:val="decimal"/>
      <w:lvlText w:val=""/>
      <w:lvlJc w:val="left"/>
    </w:lvl>
    <w:lvl w:ilvl="7" w:tplc="CB5073DE">
      <w:numFmt w:val="decimal"/>
      <w:lvlText w:val=""/>
      <w:lvlJc w:val="left"/>
    </w:lvl>
    <w:lvl w:ilvl="8" w:tplc="98B028C8">
      <w:numFmt w:val="decimal"/>
      <w:lvlText w:val=""/>
      <w:lvlJc w:val="left"/>
    </w:lvl>
  </w:abstractNum>
  <w:abstractNum w:abstractNumId="2" w15:restartNumberingAfterBreak="0">
    <w:nsid w:val="5D567B75"/>
    <w:multiLevelType w:val="hybridMultilevel"/>
    <w:tmpl w:val="F79E202C"/>
    <w:lvl w:ilvl="0" w:tplc="9156263A">
      <w:start w:val="1"/>
      <w:numFmt w:val="decimal"/>
      <w:lvlText w:val="%1."/>
      <w:lvlJc w:val="left"/>
      <w:pPr>
        <w:ind w:left="400" w:hanging="320"/>
      </w:pPr>
    </w:lvl>
    <w:lvl w:ilvl="1" w:tplc="EFDA3CA4">
      <w:numFmt w:val="decimal"/>
      <w:lvlText w:val=""/>
      <w:lvlJc w:val="left"/>
    </w:lvl>
    <w:lvl w:ilvl="2" w:tplc="B022A3E6">
      <w:numFmt w:val="decimal"/>
      <w:lvlText w:val=""/>
      <w:lvlJc w:val="left"/>
    </w:lvl>
    <w:lvl w:ilvl="3" w:tplc="60367378">
      <w:numFmt w:val="decimal"/>
      <w:lvlText w:val=""/>
      <w:lvlJc w:val="left"/>
    </w:lvl>
    <w:lvl w:ilvl="4" w:tplc="2CB20F3E">
      <w:numFmt w:val="decimal"/>
      <w:lvlText w:val=""/>
      <w:lvlJc w:val="left"/>
    </w:lvl>
    <w:lvl w:ilvl="5" w:tplc="0A72345C">
      <w:numFmt w:val="decimal"/>
      <w:lvlText w:val=""/>
      <w:lvlJc w:val="left"/>
    </w:lvl>
    <w:lvl w:ilvl="6" w:tplc="3ABCAA20">
      <w:numFmt w:val="decimal"/>
      <w:lvlText w:val=""/>
      <w:lvlJc w:val="left"/>
    </w:lvl>
    <w:lvl w:ilvl="7" w:tplc="3FE45904">
      <w:numFmt w:val="decimal"/>
      <w:lvlText w:val=""/>
      <w:lvlJc w:val="left"/>
    </w:lvl>
    <w:lvl w:ilvl="8" w:tplc="7C62424E">
      <w:numFmt w:val="decimal"/>
      <w:lvlText w:val=""/>
      <w:lvlJc w:val="left"/>
    </w:lvl>
  </w:abstractNum>
  <w:abstractNum w:abstractNumId="3" w15:restartNumberingAfterBreak="0">
    <w:nsid w:val="7ADB6563"/>
    <w:multiLevelType w:val="hybridMultilevel"/>
    <w:tmpl w:val="C45EBB5E"/>
    <w:lvl w:ilvl="0" w:tplc="7D1036D6">
      <w:start w:val="1"/>
      <w:numFmt w:val="decimal"/>
      <w:lvlText w:val="%1."/>
      <w:lvlJc w:val="left"/>
      <w:pPr>
        <w:ind w:left="400" w:hanging="320"/>
      </w:pPr>
    </w:lvl>
    <w:lvl w:ilvl="1" w:tplc="2F204CAC">
      <w:numFmt w:val="decimal"/>
      <w:lvlText w:val=""/>
      <w:lvlJc w:val="left"/>
    </w:lvl>
    <w:lvl w:ilvl="2" w:tplc="C0564BBC">
      <w:numFmt w:val="decimal"/>
      <w:lvlText w:val=""/>
      <w:lvlJc w:val="left"/>
    </w:lvl>
    <w:lvl w:ilvl="3" w:tplc="E862969C">
      <w:numFmt w:val="decimal"/>
      <w:lvlText w:val=""/>
      <w:lvlJc w:val="left"/>
    </w:lvl>
    <w:lvl w:ilvl="4" w:tplc="7D103CB4">
      <w:numFmt w:val="decimal"/>
      <w:lvlText w:val=""/>
      <w:lvlJc w:val="left"/>
    </w:lvl>
    <w:lvl w:ilvl="5" w:tplc="4BC2DBEE">
      <w:numFmt w:val="decimal"/>
      <w:lvlText w:val=""/>
      <w:lvlJc w:val="left"/>
    </w:lvl>
    <w:lvl w:ilvl="6" w:tplc="E97CF08A">
      <w:numFmt w:val="decimal"/>
      <w:lvlText w:val=""/>
      <w:lvlJc w:val="left"/>
    </w:lvl>
    <w:lvl w:ilvl="7" w:tplc="7B2E2CCC">
      <w:numFmt w:val="decimal"/>
      <w:lvlText w:val=""/>
      <w:lvlJc w:val="left"/>
    </w:lvl>
    <w:lvl w:ilvl="8" w:tplc="E66EB1C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C0E"/>
    <w:rsid w:val="006453BA"/>
    <w:rsid w:val="00B92C0E"/>
    <w:rsid w:val="00D41777"/>
    <w:rsid w:val="00EF5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FCCA55-C44C-4FFD-81EB-0D5800D95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2026-09-19T15:52:00Z</dcterms:created>
  <dcterms:modified xsi:type="dcterms:W3CDTF">2026-09-19T16:17:00Z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a23f40fc-d3a9-477c-8826-614226c5f750</vt:lpwstr>
  </property>
</Properties>
</file>