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4750" w14:textId="7ECEF1E2" w:rsidR="00425835" w:rsidRPr="00CE1343" w:rsidRDefault="00425835" w:rsidP="00425835">
      <w:pPr>
        <w:spacing w:after="240" w:line="240" w:lineRule="exact"/>
        <w:jc w:val="both"/>
        <w:rPr>
          <w:rFonts w:asciiTheme="majorHAnsi" w:eastAsia="MS Mincho" w:hAnsiTheme="majorHAnsi" w:cstheme="majorHAnsi"/>
          <w:lang w:val="en-US"/>
        </w:rPr>
      </w:pPr>
    </w:p>
    <w:p w14:paraId="642264EF" w14:textId="6521D982" w:rsidR="00D761BE" w:rsidRPr="00CE1343" w:rsidRDefault="00D761BE" w:rsidP="00425835">
      <w:pPr>
        <w:spacing w:after="240" w:line="240" w:lineRule="exact"/>
        <w:jc w:val="both"/>
        <w:rPr>
          <w:rFonts w:asciiTheme="majorHAnsi" w:eastAsia="MS Mincho" w:hAnsiTheme="majorHAnsi" w:cstheme="majorHAnsi"/>
          <w:lang w:val="en-US"/>
        </w:rPr>
      </w:pPr>
    </w:p>
    <w:p w14:paraId="5EA23DFF" w14:textId="77777777" w:rsidR="00592F89" w:rsidRPr="00CE1343" w:rsidRDefault="00592F89" w:rsidP="00425835">
      <w:pPr>
        <w:spacing w:after="240" w:line="240" w:lineRule="exact"/>
        <w:jc w:val="both"/>
        <w:rPr>
          <w:rFonts w:asciiTheme="majorHAnsi" w:eastAsia="MS Mincho" w:hAnsiTheme="majorHAnsi" w:cstheme="majorHAnsi"/>
          <w:lang w:val="en-US"/>
        </w:rPr>
      </w:pPr>
    </w:p>
    <w:p w14:paraId="6D8B696A" w14:textId="18580BE9" w:rsidR="00D761BE" w:rsidRPr="00CE1343" w:rsidRDefault="00D761BE" w:rsidP="00425835">
      <w:pPr>
        <w:spacing w:after="240" w:line="240" w:lineRule="exact"/>
        <w:jc w:val="both"/>
        <w:rPr>
          <w:rFonts w:asciiTheme="majorHAnsi" w:eastAsia="MS Mincho" w:hAnsiTheme="majorHAnsi" w:cstheme="majorHAnsi"/>
          <w:lang w:val="en-US"/>
        </w:rPr>
      </w:pPr>
    </w:p>
    <w:p w14:paraId="04CD9BA0" w14:textId="2D3CCC66" w:rsidR="00D761BE" w:rsidRPr="00CE1343" w:rsidRDefault="00D761BE" w:rsidP="00425835">
      <w:pPr>
        <w:spacing w:after="240" w:line="240" w:lineRule="exact"/>
        <w:jc w:val="both"/>
        <w:rPr>
          <w:rFonts w:asciiTheme="majorHAnsi" w:eastAsia="MS Mincho" w:hAnsiTheme="majorHAnsi" w:cstheme="majorHAnsi"/>
          <w:lang w:val="en-US"/>
        </w:rPr>
      </w:pPr>
    </w:p>
    <w:p w14:paraId="107A2353" w14:textId="77777777" w:rsidR="00CE3CE7" w:rsidRPr="00CE1343" w:rsidRDefault="00CE3CE7" w:rsidP="00425835">
      <w:pPr>
        <w:spacing w:after="240" w:line="240" w:lineRule="exact"/>
        <w:jc w:val="both"/>
        <w:rPr>
          <w:rFonts w:asciiTheme="majorHAnsi" w:eastAsia="MS Mincho" w:hAnsiTheme="majorHAnsi" w:cstheme="majorHAnsi"/>
          <w:lang w:val="en-US"/>
        </w:rPr>
      </w:pPr>
    </w:p>
    <w:p w14:paraId="1FE58767" w14:textId="77777777" w:rsidR="00D761BE" w:rsidRPr="00CE1343" w:rsidRDefault="00D761BE" w:rsidP="00425835">
      <w:pPr>
        <w:spacing w:after="240" w:line="240" w:lineRule="exact"/>
        <w:jc w:val="both"/>
        <w:rPr>
          <w:rFonts w:asciiTheme="majorHAnsi" w:eastAsia="MS Mincho" w:hAnsiTheme="majorHAnsi" w:cstheme="majorHAnsi"/>
          <w:lang w:val="en-US"/>
        </w:rPr>
      </w:pPr>
    </w:p>
    <w:p w14:paraId="68248068" w14:textId="77777777" w:rsidR="00D761BE" w:rsidRPr="00CE1343" w:rsidRDefault="00D761BE" w:rsidP="00D761BE">
      <w:pPr>
        <w:spacing w:after="60" w:line="270" w:lineRule="exact"/>
        <w:rPr>
          <w:rFonts w:asciiTheme="majorHAnsi" w:eastAsia="Cambria" w:hAnsiTheme="majorHAnsi" w:cstheme="majorHAnsi"/>
          <w:sz w:val="28"/>
          <w:szCs w:val="28"/>
        </w:rPr>
      </w:pPr>
      <w:r w:rsidRPr="00CE1343">
        <w:rPr>
          <w:rFonts w:asciiTheme="majorHAnsi" w:eastAsia="Cambria" w:hAnsiTheme="majorHAnsi" w:cstheme="majorHAnsi"/>
          <w:sz w:val="28"/>
          <w:szCs w:val="28"/>
        </w:rPr>
        <w:t>Ormiston Academies Trust</w:t>
      </w:r>
    </w:p>
    <w:p w14:paraId="5B5F014D" w14:textId="06EDB8CF" w:rsidR="00D761BE" w:rsidRPr="00CE1343" w:rsidRDefault="00D761BE" w:rsidP="00D761BE">
      <w:pPr>
        <w:tabs>
          <w:tab w:val="left" w:pos="284"/>
        </w:tabs>
        <w:spacing w:before="200" w:line="480" w:lineRule="exact"/>
        <w:rPr>
          <w:rFonts w:asciiTheme="majorHAnsi" w:eastAsia="MS Gothic" w:hAnsiTheme="majorHAnsi" w:cstheme="majorHAnsi"/>
          <w:color w:val="00B0F0"/>
          <w:kern w:val="28"/>
          <w:sz w:val="36"/>
          <w:szCs w:val="36"/>
        </w:rPr>
      </w:pPr>
      <w:r w:rsidRPr="00CE1343">
        <w:rPr>
          <w:rFonts w:asciiTheme="majorHAnsi" w:eastAsia="MS Gothic" w:hAnsiTheme="majorHAnsi" w:cstheme="majorHAnsi"/>
          <w:color w:val="00B0F0"/>
          <w:kern w:val="28"/>
          <w:sz w:val="36"/>
          <w:szCs w:val="36"/>
          <w:highlight w:val="yellow"/>
        </w:rPr>
        <w:t>(Academy Name)</w:t>
      </w:r>
      <w:r w:rsidRPr="00CE1343">
        <w:rPr>
          <w:rFonts w:asciiTheme="majorHAnsi" w:eastAsia="MS Gothic" w:hAnsiTheme="majorHAnsi" w:cstheme="majorHAnsi"/>
          <w:color w:val="00B0F0"/>
          <w:kern w:val="28"/>
          <w:sz w:val="36"/>
          <w:szCs w:val="36"/>
        </w:rPr>
        <w:br/>
      </w:r>
      <w:r w:rsidR="00C050D0" w:rsidRPr="00CE1343">
        <w:rPr>
          <w:rFonts w:asciiTheme="majorHAnsi" w:eastAsia="MS Gothic" w:hAnsiTheme="majorHAnsi" w:cstheme="majorHAnsi"/>
          <w:color w:val="00B0F0"/>
          <w:kern w:val="28"/>
          <w:sz w:val="36"/>
          <w:szCs w:val="36"/>
        </w:rPr>
        <w:t>Anti-Fraud</w:t>
      </w:r>
      <w:r w:rsidRPr="00CE1343">
        <w:rPr>
          <w:rFonts w:asciiTheme="majorHAnsi" w:eastAsia="MS Gothic" w:hAnsiTheme="majorHAnsi" w:cstheme="majorHAnsi"/>
          <w:color w:val="00B0F0"/>
          <w:kern w:val="28"/>
          <w:sz w:val="36"/>
          <w:szCs w:val="36"/>
        </w:rPr>
        <w:t xml:space="preserve"> policy</w:t>
      </w:r>
    </w:p>
    <w:p w14:paraId="5D383AA0" w14:textId="77777777" w:rsidR="00D761BE" w:rsidRPr="00CE1343" w:rsidRDefault="00D761BE" w:rsidP="00D761BE">
      <w:pPr>
        <w:tabs>
          <w:tab w:val="left" w:pos="284"/>
        </w:tabs>
        <w:spacing w:before="200" w:line="480" w:lineRule="exact"/>
        <w:rPr>
          <w:rFonts w:asciiTheme="majorHAnsi" w:eastAsia="MS Gothic" w:hAnsiTheme="majorHAnsi" w:cstheme="majorHAnsi"/>
          <w:color w:val="00B0F0"/>
          <w:kern w:val="28"/>
          <w:sz w:val="20"/>
          <w:szCs w:val="20"/>
        </w:rPr>
      </w:pPr>
    </w:p>
    <w:p w14:paraId="27903D20" w14:textId="512DF493" w:rsidR="00D761BE" w:rsidRPr="00CE1343" w:rsidRDefault="00D761BE" w:rsidP="00D761BE">
      <w:pPr>
        <w:pStyle w:val="Titlepgcustom1"/>
        <w:rPr>
          <w:rFonts w:asciiTheme="majorHAnsi" w:eastAsia="Cambria" w:hAnsiTheme="majorHAnsi" w:cstheme="majorHAnsi"/>
          <w:color w:val="00B0F0"/>
          <w:sz w:val="28"/>
          <w:szCs w:val="28"/>
        </w:rPr>
      </w:pPr>
      <w:r w:rsidRPr="00CE1343">
        <w:rPr>
          <w:rFonts w:asciiTheme="majorHAnsi" w:eastAsia="Cambria" w:hAnsiTheme="majorHAnsi" w:cstheme="majorHAnsi"/>
          <w:color w:val="00B0F0"/>
          <w:sz w:val="28"/>
          <w:szCs w:val="28"/>
        </w:rPr>
        <w:t xml:space="preserve">Policy version control </w:t>
      </w:r>
    </w:p>
    <w:p w14:paraId="6B0C8D2E" w14:textId="77777777" w:rsidR="00D761BE" w:rsidRPr="00CE1343" w:rsidRDefault="00D761BE" w:rsidP="00D761BE">
      <w:pPr>
        <w:pStyle w:val="Titlepgcustom1"/>
        <w:rPr>
          <w:rFonts w:asciiTheme="majorHAnsi" w:eastAsia="Cambria" w:hAnsiTheme="majorHAnsi" w:cstheme="majorHAnsi"/>
          <w:color w:val="00B0F0"/>
          <w:sz w:val="20"/>
          <w:szCs w:val="20"/>
        </w:rPr>
      </w:pPr>
    </w:p>
    <w:tbl>
      <w:tblPr>
        <w:tblStyle w:val="TableGrid2"/>
        <w:tblW w:w="0" w:type="auto"/>
        <w:tblLook w:val="04A0" w:firstRow="1" w:lastRow="0" w:firstColumn="1" w:lastColumn="0" w:noHBand="0" w:noVBand="1"/>
      </w:tblPr>
      <w:tblGrid>
        <w:gridCol w:w="2844"/>
        <w:gridCol w:w="6210"/>
      </w:tblGrid>
      <w:tr w:rsidR="00D761BE" w:rsidRPr="00CE1343" w14:paraId="1B521513" w14:textId="77777777" w:rsidTr="00A01A37">
        <w:trPr>
          <w:trHeight w:val="305"/>
        </w:trPr>
        <w:tc>
          <w:tcPr>
            <w:tcW w:w="2857" w:type="dxa"/>
            <w:tcMar>
              <w:top w:w="113" w:type="dxa"/>
            </w:tcMar>
          </w:tcPr>
          <w:p w14:paraId="0C679982" w14:textId="77777777" w:rsidR="00D761BE" w:rsidRPr="00CE1343" w:rsidRDefault="00D761BE"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eastAsia="MS Mincho" w:hAnsiTheme="majorHAnsi" w:cstheme="majorHAnsi"/>
                <w:sz w:val="20"/>
                <w:szCs w:val="20"/>
              </w:rPr>
              <w:t>Policy type</w:t>
            </w:r>
          </w:p>
        </w:tc>
        <w:tc>
          <w:tcPr>
            <w:tcW w:w="6246" w:type="dxa"/>
            <w:tcMar>
              <w:top w:w="113" w:type="dxa"/>
            </w:tcMar>
          </w:tcPr>
          <w:p w14:paraId="7D78B8AF" w14:textId="501109C7" w:rsidR="00D761BE" w:rsidRPr="00CE1343" w:rsidRDefault="00C050D0"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eastAsia="MS Mincho" w:hAnsiTheme="majorHAnsi" w:cstheme="majorHAnsi"/>
                <w:sz w:val="20"/>
                <w:szCs w:val="20"/>
              </w:rPr>
              <w:t>OAT Mandatory</w:t>
            </w:r>
          </w:p>
        </w:tc>
      </w:tr>
      <w:tr w:rsidR="00D761BE" w:rsidRPr="00CE1343" w14:paraId="5ECD37AD" w14:textId="77777777" w:rsidTr="00A01A37">
        <w:tc>
          <w:tcPr>
            <w:tcW w:w="2857" w:type="dxa"/>
            <w:tcMar>
              <w:top w:w="113" w:type="dxa"/>
            </w:tcMar>
          </w:tcPr>
          <w:p w14:paraId="7AFA802D" w14:textId="4588D414" w:rsidR="00D761BE" w:rsidRPr="00CE1343" w:rsidRDefault="00D761BE"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eastAsia="MS Mincho" w:hAnsiTheme="majorHAnsi" w:cstheme="majorHAnsi"/>
                <w:sz w:val="20"/>
                <w:szCs w:val="20"/>
              </w:rPr>
              <w:t>Author</w:t>
            </w:r>
          </w:p>
        </w:tc>
        <w:tc>
          <w:tcPr>
            <w:tcW w:w="6246" w:type="dxa"/>
            <w:tcMar>
              <w:top w:w="113" w:type="dxa"/>
            </w:tcMar>
          </w:tcPr>
          <w:p w14:paraId="77143F4C" w14:textId="14E4F8EA" w:rsidR="00D761BE" w:rsidRPr="00CE1343" w:rsidRDefault="00C050D0"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eastAsia="MS Mincho" w:hAnsiTheme="majorHAnsi" w:cstheme="majorHAnsi"/>
                <w:sz w:val="20"/>
                <w:szCs w:val="20"/>
              </w:rPr>
              <w:t>Claire Lovell</w:t>
            </w:r>
            <w:r w:rsidR="00C341FD" w:rsidRPr="00CE1343">
              <w:rPr>
                <w:rFonts w:asciiTheme="majorHAnsi" w:eastAsia="MS Mincho" w:hAnsiTheme="majorHAnsi" w:cstheme="majorHAnsi"/>
                <w:sz w:val="20"/>
                <w:szCs w:val="20"/>
              </w:rPr>
              <w:t>, OAT Finance</w:t>
            </w:r>
          </w:p>
        </w:tc>
      </w:tr>
      <w:tr w:rsidR="00D761BE" w:rsidRPr="00CE1343" w14:paraId="01013E9A" w14:textId="77777777" w:rsidTr="00A01A37">
        <w:tc>
          <w:tcPr>
            <w:tcW w:w="2857" w:type="dxa"/>
            <w:tcMar>
              <w:top w:w="113" w:type="dxa"/>
            </w:tcMar>
          </w:tcPr>
          <w:p w14:paraId="01DDC570" w14:textId="77777777" w:rsidR="00D761BE" w:rsidRPr="00CE1343" w:rsidRDefault="00D761BE"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eastAsia="MS Mincho" w:hAnsiTheme="majorHAnsi" w:cstheme="majorHAnsi"/>
                <w:sz w:val="20"/>
                <w:szCs w:val="20"/>
              </w:rPr>
              <w:t>Approved by</w:t>
            </w:r>
          </w:p>
        </w:tc>
        <w:tc>
          <w:tcPr>
            <w:tcW w:w="6246" w:type="dxa"/>
            <w:tcMar>
              <w:top w:w="113" w:type="dxa"/>
            </w:tcMar>
          </w:tcPr>
          <w:p w14:paraId="33EC0825" w14:textId="6E64F23E" w:rsidR="00D761BE" w:rsidRPr="00CE1343" w:rsidRDefault="00915F8D"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eastAsia="MS Mincho" w:hAnsiTheme="majorHAnsi" w:cstheme="majorHAnsi"/>
                <w:sz w:val="20"/>
                <w:szCs w:val="20"/>
              </w:rPr>
              <w:t>Audit and Risk Committee</w:t>
            </w:r>
            <w:r w:rsidR="007C49FD">
              <w:rPr>
                <w:rFonts w:asciiTheme="majorHAnsi" w:eastAsia="MS Mincho" w:hAnsiTheme="majorHAnsi" w:cstheme="majorHAnsi"/>
                <w:sz w:val="20"/>
                <w:szCs w:val="20"/>
              </w:rPr>
              <w:t>,</w:t>
            </w:r>
            <w:r w:rsidRPr="00CE1343">
              <w:rPr>
                <w:rFonts w:asciiTheme="majorHAnsi" w:eastAsia="MS Mincho" w:hAnsiTheme="majorHAnsi" w:cstheme="majorHAnsi"/>
                <w:sz w:val="20"/>
                <w:szCs w:val="20"/>
              </w:rPr>
              <w:t xml:space="preserve"> June 2023</w:t>
            </w:r>
          </w:p>
        </w:tc>
      </w:tr>
      <w:tr w:rsidR="00D761BE" w:rsidRPr="00CE1343" w14:paraId="29EF9E33" w14:textId="77777777" w:rsidTr="00A01A37">
        <w:tc>
          <w:tcPr>
            <w:tcW w:w="2857" w:type="dxa"/>
            <w:tcMar>
              <w:top w:w="113" w:type="dxa"/>
            </w:tcMar>
          </w:tcPr>
          <w:p w14:paraId="27CB452E" w14:textId="77777777" w:rsidR="00D761BE" w:rsidRPr="00CE1343" w:rsidRDefault="00D761BE"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eastAsia="MS Mincho" w:hAnsiTheme="majorHAnsi" w:cstheme="majorHAnsi"/>
                <w:sz w:val="20"/>
                <w:szCs w:val="20"/>
              </w:rPr>
              <w:t>Release date</w:t>
            </w:r>
          </w:p>
        </w:tc>
        <w:tc>
          <w:tcPr>
            <w:tcW w:w="6246" w:type="dxa"/>
            <w:tcMar>
              <w:top w:w="113" w:type="dxa"/>
            </w:tcMar>
          </w:tcPr>
          <w:p w14:paraId="3C29C822" w14:textId="0ABED62C" w:rsidR="00D761BE" w:rsidRPr="00CE1343" w:rsidRDefault="004A51D7" w:rsidP="00A01A37">
            <w:pPr>
              <w:tabs>
                <w:tab w:val="left" w:pos="284"/>
              </w:tabs>
              <w:spacing w:after="120" w:line="250" w:lineRule="exact"/>
              <w:rPr>
                <w:rFonts w:asciiTheme="majorHAnsi" w:eastAsia="MS Mincho" w:hAnsiTheme="majorHAnsi" w:cstheme="majorHAnsi"/>
                <w:sz w:val="20"/>
                <w:szCs w:val="20"/>
              </w:rPr>
            </w:pPr>
            <w:r>
              <w:rPr>
                <w:rFonts w:asciiTheme="majorHAnsi" w:eastAsia="MS Mincho" w:hAnsiTheme="majorHAnsi" w:cstheme="majorHAnsi"/>
                <w:sz w:val="20"/>
                <w:szCs w:val="20"/>
              </w:rPr>
              <w:t>September 2023</w:t>
            </w:r>
          </w:p>
        </w:tc>
      </w:tr>
      <w:tr w:rsidR="00D761BE" w:rsidRPr="00CE1343" w14:paraId="624A7E59" w14:textId="77777777" w:rsidTr="00A01A37">
        <w:trPr>
          <w:trHeight w:val="243"/>
        </w:trPr>
        <w:tc>
          <w:tcPr>
            <w:tcW w:w="2857" w:type="dxa"/>
            <w:tcMar>
              <w:top w:w="113" w:type="dxa"/>
            </w:tcMar>
          </w:tcPr>
          <w:p w14:paraId="6894E497" w14:textId="2D409652" w:rsidR="00D761BE" w:rsidRPr="00CE1343" w:rsidRDefault="000D6E86"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eastAsia="MS Mincho" w:hAnsiTheme="majorHAnsi" w:cstheme="majorHAnsi"/>
                <w:sz w:val="20"/>
                <w:szCs w:val="20"/>
              </w:rPr>
              <w:t>Review</w:t>
            </w:r>
          </w:p>
        </w:tc>
        <w:tc>
          <w:tcPr>
            <w:tcW w:w="6246" w:type="dxa"/>
            <w:tcMar>
              <w:top w:w="113" w:type="dxa"/>
            </w:tcMar>
          </w:tcPr>
          <w:p w14:paraId="33125B6F" w14:textId="162A87C8" w:rsidR="00D761BE" w:rsidRPr="00CE1343" w:rsidRDefault="001F227F"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hAnsiTheme="majorHAnsi" w:cstheme="majorHAnsi"/>
                <w:color w:val="242424"/>
                <w:sz w:val="20"/>
                <w:szCs w:val="20"/>
                <w:shd w:val="clear" w:color="auto" w:fill="FFFFFF"/>
              </w:rPr>
              <w:t>Policies will be reviewed in line with OAT's internal policy schedule and/or updated when new legislation comes into force</w:t>
            </w:r>
          </w:p>
        </w:tc>
      </w:tr>
      <w:tr w:rsidR="00D761BE" w:rsidRPr="00CE1343" w14:paraId="75FF30BF" w14:textId="77777777" w:rsidTr="00A01A37">
        <w:trPr>
          <w:trHeight w:val="243"/>
        </w:trPr>
        <w:tc>
          <w:tcPr>
            <w:tcW w:w="2857" w:type="dxa"/>
            <w:tcMar>
              <w:top w:w="113" w:type="dxa"/>
            </w:tcMar>
          </w:tcPr>
          <w:p w14:paraId="5EDE120B" w14:textId="77777777" w:rsidR="00D761BE" w:rsidRPr="00CE1343" w:rsidRDefault="00D761BE" w:rsidP="00A01A37">
            <w:pPr>
              <w:tabs>
                <w:tab w:val="left" w:pos="284"/>
              </w:tabs>
              <w:spacing w:after="120" w:line="250" w:lineRule="exact"/>
              <w:rPr>
                <w:rFonts w:asciiTheme="majorHAnsi" w:eastAsia="MS Mincho" w:hAnsiTheme="majorHAnsi" w:cstheme="majorHAnsi"/>
                <w:sz w:val="20"/>
                <w:szCs w:val="20"/>
              </w:rPr>
            </w:pPr>
            <w:r w:rsidRPr="00CE1343">
              <w:rPr>
                <w:rFonts w:asciiTheme="majorHAnsi" w:eastAsia="MS Mincho" w:hAnsiTheme="majorHAnsi" w:cstheme="majorHAnsi"/>
                <w:sz w:val="20"/>
                <w:szCs w:val="20"/>
              </w:rPr>
              <w:t>Description of changes</w:t>
            </w:r>
          </w:p>
        </w:tc>
        <w:tc>
          <w:tcPr>
            <w:tcW w:w="6246" w:type="dxa"/>
            <w:tcMar>
              <w:top w:w="113" w:type="dxa"/>
            </w:tcMar>
          </w:tcPr>
          <w:p w14:paraId="2425D535" w14:textId="48FDC3C3" w:rsidR="004C16AE" w:rsidRPr="00CE1343" w:rsidRDefault="004C16AE" w:rsidP="00F2063C">
            <w:pPr>
              <w:pStyle w:val="OATliststyle"/>
              <w:numPr>
                <w:ilvl w:val="0"/>
                <w:numId w:val="13"/>
              </w:numPr>
              <w:ind w:left="307" w:hanging="284"/>
              <w:rPr>
                <w:rFonts w:asciiTheme="majorHAnsi" w:hAnsiTheme="majorHAnsi" w:cstheme="majorHAnsi"/>
              </w:rPr>
            </w:pPr>
            <w:r w:rsidRPr="00CE1343">
              <w:rPr>
                <w:rFonts w:asciiTheme="majorHAnsi" w:hAnsiTheme="majorHAnsi" w:cstheme="majorHAnsi"/>
              </w:rPr>
              <w:t xml:space="preserve">Reference to a </w:t>
            </w:r>
            <w:r w:rsidR="00CE1343" w:rsidRPr="00CE1343">
              <w:rPr>
                <w:rFonts w:asciiTheme="majorHAnsi" w:hAnsiTheme="majorHAnsi" w:cstheme="majorHAnsi"/>
              </w:rPr>
              <w:t>zero-tolerance</w:t>
            </w:r>
            <w:r w:rsidRPr="00CE1343">
              <w:rPr>
                <w:rFonts w:asciiTheme="majorHAnsi" w:hAnsiTheme="majorHAnsi" w:cstheme="majorHAnsi"/>
              </w:rPr>
              <w:t xml:space="preserve"> culture with regards to fraud</w:t>
            </w:r>
          </w:p>
          <w:p w14:paraId="450E65F3" w14:textId="310AC4D7" w:rsidR="00AC01B9" w:rsidRPr="00CE1343" w:rsidRDefault="00AC01B9" w:rsidP="00F2063C">
            <w:pPr>
              <w:pStyle w:val="OATliststyle"/>
              <w:numPr>
                <w:ilvl w:val="0"/>
                <w:numId w:val="13"/>
              </w:numPr>
              <w:ind w:left="307" w:hanging="284"/>
              <w:rPr>
                <w:rFonts w:asciiTheme="majorHAnsi" w:hAnsiTheme="majorHAnsi" w:cstheme="majorHAnsi"/>
              </w:rPr>
            </w:pPr>
            <w:r w:rsidRPr="00CE1343">
              <w:rPr>
                <w:rFonts w:asciiTheme="majorHAnsi" w:hAnsiTheme="majorHAnsi" w:cstheme="majorHAnsi"/>
              </w:rPr>
              <w:t>Reference to the fact that the Audit and Risk Committee have specific responsibi</w:t>
            </w:r>
            <w:r w:rsidR="001904BD" w:rsidRPr="00CE1343">
              <w:rPr>
                <w:rFonts w:asciiTheme="majorHAnsi" w:hAnsiTheme="majorHAnsi" w:cstheme="majorHAnsi"/>
              </w:rPr>
              <w:t>lities with regards to fraud</w:t>
            </w:r>
          </w:p>
          <w:p w14:paraId="21A07B5F" w14:textId="548E683A" w:rsidR="00642B18" w:rsidRPr="00CE1343" w:rsidRDefault="00642B18" w:rsidP="00F2063C">
            <w:pPr>
              <w:pStyle w:val="OATliststyle"/>
              <w:numPr>
                <w:ilvl w:val="0"/>
                <w:numId w:val="13"/>
              </w:numPr>
              <w:ind w:left="307" w:hanging="284"/>
              <w:rPr>
                <w:rFonts w:asciiTheme="majorHAnsi" w:hAnsiTheme="majorHAnsi" w:cstheme="majorHAnsi"/>
              </w:rPr>
            </w:pPr>
            <w:r w:rsidRPr="00CE1343">
              <w:rPr>
                <w:rFonts w:asciiTheme="majorHAnsi" w:hAnsiTheme="majorHAnsi" w:cstheme="majorHAnsi"/>
              </w:rPr>
              <w:t>Registers of interest should be completed by 30</w:t>
            </w:r>
            <w:r w:rsidRPr="00CE1343">
              <w:rPr>
                <w:rFonts w:asciiTheme="majorHAnsi" w:hAnsiTheme="majorHAnsi" w:cstheme="majorHAnsi"/>
                <w:vertAlign w:val="superscript"/>
              </w:rPr>
              <w:t>th</w:t>
            </w:r>
            <w:r w:rsidRPr="00CE1343">
              <w:rPr>
                <w:rFonts w:asciiTheme="majorHAnsi" w:hAnsiTheme="majorHAnsi" w:cstheme="majorHAnsi"/>
              </w:rPr>
              <w:t xml:space="preserve"> October each year.</w:t>
            </w:r>
          </w:p>
          <w:p w14:paraId="0867178D" w14:textId="593011C0" w:rsidR="00E740CB" w:rsidRPr="00CE1343" w:rsidRDefault="00915F8D" w:rsidP="00F2063C">
            <w:pPr>
              <w:pStyle w:val="OATliststyle"/>
              <w:numPr>
                <w:ilvl w:val="0"/>
                <w:numId w:val="13"/>
              </w:numPr>
              <w:ind w:left="307" w:hanging="284"/>
              <w:rPr>
                <w:rFonts w:asciiTheme="majorHAnsi" w:hAnsiTheme="majorHAnsi" w:cstheme="majorHAnsi"/>
              </w:rPr>
            </w:pPr>
            <w:r w:rsidRPr="00CE1343">
              <w:rPr>
                <w:rFonts w:asciiTheme="majorHAnsi" w:hAnsiTheme="majorHAnsi" w:cstheme="majorHAnsi"/>
              </w:rPr>
              <w:t>Inclusion of a Fraud Response Plan at Appendix 1</w:t>
            </w:r>
          </w:p>
        </w:tc>
      </w:tr>
    </w:tbl>
    <w:p w14:paraId="020F6F2E" w14:textId="179EF909" w:rsidR="00425835" w:rsidRPr="00CE1343" w:rsidRDefault="00425835" w:rsidP="002E24BB">
      <w:pPr>
        <w:pStyle w:val="OATbodystyle"/>
        <w:spacing w:line="276" w:lineRule="auto"/>
        <w:rPr>
          <w:rFonts w:asciiTheme="majorHAnsi" w:hAnsiTheme="majorHAnsi" w:cstheme="majorHAnsi"/>
          <w:color w:val="00B0F0"/>
          <w:sz w:val="40"/>
          <w:szCs w:val="40"/>
        </w:rPr>
      </w:pPr>
      <w:r w:rsidRPr="00CE1343">
        <w:rPr>
          <w:rFonts w:asciiTheme="majorHAnsi" w:hAnsiTheme="majorHAnsi" w:cstheme="majorHAnsi"/>
          <w:color w:val="00B0F0"/>
          <w:sz w:val="40"/>
          <w:szCs w:val="40"/>
        </w:rPr>
        <w:br w:type="page"/>
      </w:r>
    </w:p>
    <w:p w14:paraId="48C4809F" w14:textId="5AAB0F60" w:rsidR="0094253D" w:rsidRPr="00CE1343" w:rsidRDefault="002E24BB" w:rsidP="002E24BB">
      <w:pPr>
        <w:pStyle w:val="OATbodystyle"/>
        <w:spacing w:line="276" w:lineRule="auto"/>
        <w:rPr>
          <w:rFonts w:asciiTheme="majorHAnsi" w:hAnsiTheme="majorHAnsi" w:cstheme="majorHAnsi"/>
          <w:color w:val="00B0F0"/>
          <w:sz w:val="36"/>
          <w:szCs w:val="36"/>
        </w:rPr>
      </w:pPr>
      <w:r w:rsidRPr="00CE1343">
        <w:rPr>
          <w:rFonts w:asciiTheme="majorHAnsi" w:hAnsiTheme="majorHAnsi" w:cstheme="majorHAnsi"/>
          <w:color w:val="00B0F0"/>
          <w:sz w:val="36"/>
          <w:szCs w:val="36"/>
        </w:rPr>
        <w:lastRenderedPageBreak/>
        <w:t>Contents</w:t>
      </w:r>
    </w:p>
    <w:sdt>
      <w:sdtPr>
        <w:rPr>
          <w:rFonts w:asciiTheme="majorHAnsi" w:hAnsiTheme="majorHAnsi" w:cstheme="majorHAnsi"/>
          <w:bCs/>
        </w:rPr>
        <w:id w:val="-1202788278"/>
        <w:docPartObj>
          <w:docPartGallery w:val="Table of Contents"/>
          <w:docPartUnique/>
        </w:docPartObj>
      </w:sdtPr>
      <w:sdtEndPr>
        <w:rPr>
          <w:bCs w:val="0"/>
          <w:noProof/>
        </w:rPr>
      </w:sdtEndPr>
      <w:sdtContent>
        <w:p w14:paraId="5EC524E2" w14:textId="2547E7A1" w:rsidR="008D27CD" w:rsidRDefault="00F2632A">
          <w:pPr>
            <w:pStyle w:val="TOC1"/>
            <w:rPr>
              <w:rFonts w:asciiTheme="minorHAnsi" w:hAnsiTheme="minorHAnsi"/>
              <w:noProof/>
              <w:kern w:val="2"/>
              <w:sz w:val="22"/>
              <w:szCs w:val="22"/>
              <w:lang w:eastAsia="en-GB"/>
              <w14:ligatures w14:val="standardContextual"/>
            </w:rPr>
          </w:pPr>
          <w:r w:rsidRPr="00CE1343">
            <w:rPr>
              <w:rFonts w:asciiTheme="majorHAnsi" w:hAnsiTheme="majorHAnsi" w:cstheme="majorHAnsi"/>
              <w:b/>
              <w:bCs/>
              <w:noProof/>
            </w:rPr>
            <w:fldChar w:fldCharType="begin"/>
          </w:r>
          <w:r w:rsidRPr="00CE1343">
            <w:rPr>
              <w:rFonts w:asciiTheme="majorHAnsi" w:hAnsiTheme="majorHAnsi" w:cstheme="majorHAnsi"/>
              <w:b/>
              <w:bCs/>
              <w:noProof/>
            </w:rPr>
            <w:instrText xml:space="preserve"> TOC \o "1-3" \h \z \u </w:instrText>
          </w:r>
          <w:r w:rsidRPr="00CE1343">
            <w:rPr>
              <w:rFonts w:asciiTheme="majorHAnsi" w:hAnsiTheme="majorHAnsi" w:cstheme="majorHAnsi"/>
              <w:b/>
              <w:bCs/>
              <w:noProof/>
            </w:rPr>
            <w:fldChar w:fldCharType="separate"/>
          </w:r>
          <w:hyperlink w:anchor="_Toc146726357" w:history="1">
            <w:r w:rsidR="008D27CD" w:rsidRPr="00414F36">
              <w:rPr>
                <w:rStyle w:val="Hyperlink"/>
                <w:rFonts w:asciiTheme="majorHAnsi" w:eastAsia="MS Mincho" w:hAnsiTheme="majorHAnsi"/>
                <w:noProof/>
              </w:rPr>
              <w:t>1.</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eastAsia="MS Mincho" w:hAnsiTheme="majorHAnsi"/>
                <w:noProof/>
              </w:rPr>
              <w:t>Introduction</w:t>
            </w:r>
            <w:r w:rsidR="008D27CD">
              <w:rPr>
                <w:noProof/>
                <w:webHidden/>
              </w:rPr>
              <w:tab/>
            </w:r>
            <w:r w:rsidR="008D27CD">
              <w:rPr>
                <w:noProof/>
                <w:webHidden/>
              </w:rPr>
              <w:fldChar w:fldCharType="begin"/>
            </w:r>
            <w:r w:rsidR="008D27CD">
              <w:rPr>
                <w:noProof/>
                <w:webHidden/>
              </w:rPr>
              <w:instrText xml:space="preserve"> PAGEREF _Toc146726357 \h </w:instrText>
            </w:r>
            <w:r w:rsidR="008D27CD">
              <w:rPr>
                <w:noProof/>
                <w:webHidden/>
              </w:rPr>
            </w:r>
            <w:r w:rsidR="008D27CD">
              <w:rPr>
                <w:noProof/>
                <w:webHidden/>
              </w:rPr>
              <w:fldChar w:fldCharType="separate"/>
            </w:r>
            <w:r w:rsidR="008D27CD">
              <w:rPr>
                <w:noProof/>
                <w:webHidden/>
              </w:rPr>
              <w:t>3</w:t>
            </w:r>
            <w:r w:rsidR="008D27CD">
              <w:rPr>
                <w:noProof/>
                <w:webHidden/>
              </w:rPr>
              <w:fldChar w:fldCharType="end"/>
            </w:r>
          </w:hyperlink>
        </w:p>
        <w:p w14:paraId="4C24D9F4" w14:textId="497F969F" w:rsidR="008D27CD" w:rsidRDefault="00702D17">
          <w:pPr>
            <w:pStyle w:val="TOC1"/>
            <w:rPr>
              <w:rFonts w:asciiTheme="minorHAnsi" w:hAnsiTheme="minorHAnsi"/>
              <w:noProof/>
              <w:kern w:val="2"/>
              <w:sz w:val="22"/>
              <w:szCs w:val="22"/>
              <w:lang w:eastAsia="en-GB"/>
              <w14:ligatures w14:val="standardContextual"/>
            </w:rPr>
          </w:pPr>
          <w:hyperlink w:anchor="_Toc146726358" w:history="1">
            <w:r w:rsidR="008D27CD" w:rsidRPr="00414F36">
              <w:rPr>
                <w:rStyle w:val="Hyperlink"/>
                <w:rFonts w:asciiTheme="majorHAnsi" w:eastAsia="MS Mincho" w:hAnsiTheme="majorHAnsi"/>
                <w:noProof/>
              </w:rPr>
              <w:t>2.</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eastAsia="MS Mincho" w:hAnsiTheme="majorHAnsi"/>
                <w:noProof/>
              </w:rPr>
              <w:t>Fraud</w:t>
            </w:r>
            <w:r w:rsidR="008D27CD">
              <w:rPr>
                <w:noProof/>
                <w:webHidden/>
              </w:rPr>
              <w:tab/>
            </w:r>
            <w:r w:rsidR="008D27CD">
              <w:rPr>
                <w:noProof/>
                <w:webHidden/>
              </w:rPr>
              <w:fldChar w:fldCharType="begin"/>
            </w:r>
            <w:r w:rsidR="008D27CD">
              <w:rPr>
                <w:noProof/>
                <w:webHidden/>
              </w:rPr>
              <w:instrText xml:space="preserve"> PAGEREF _Toc146726358 \h </w:instrText>
            </w:r>
            <w:r w:rsidR="008D27CD">
              <w:rPr>
                <w:noProof/>
                <w:webHidden/>
              </w:rPr>
            </w:r>
            <w:r w:rsidR="008D27CD">
              <w:rPr>
                <w:noProof/>
                <w:webHidden/>
              </w:rPr>
              <w:fldChar w:fldCharType="separate"/>
            </w:r>
            <w:r w:rsidR="008D27CD">
              <w:rPr>
                <w:noProof/>
                <w:webHidden/>
              </w:rPr>
              <w:t>3</w:t>
            </w:r>
            <w:r w:rsidR="008D27CD">
              <w:rPr>
                <w:noProof/>
                <w:webHidden/>
              </w:rPr>
              <w:fldChar w:fldCharType="end"/>
            </w:r>
          </w:hyperlink>
        </w:p>
        <w:p w14:paraId="3CCA360A" w14:textId="274317D1" w:rsidR="008D27CD" w:rsidRDefault="00702D17">
          <w:pPr>
            <w:pStyle w:val="TOC1"/>
            <w:rPr>
              <w:rFonts w:asciiTheme="minorHAnsi" w:hAnsiTheme="minorHAnsi"/>
              <w:noProof/>
              <w:kern w:val="2"/>
              <w:sz w:val="22"/>
              <w:szCs w:val="22"/>
              <w:lang w:eastAsia="en-GB"/>
              <w14:ligatures w14:val="standardContextual"/>
            </w:rPr>
          </w:pPr>
          <w:hyperlink w:anchor="_Toc146726359" w:history="1">
            <w:r w:rsidR="008D27CD" w:rsidRPr="00414F36">
              <w:rPr>
                <w:rStyle w:val="Hyperlink"/>
                <w:rFonts w:asciiTheme="majorHAnsi" w:eastAsia="MS Mincho" w:hAnsiTheme="majorHAnsi"/>
                <w:noProof/>
              </w:rPr>
              <w:t>3.</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eastAsia="MS Mincho" w:hAnsiTheme="majorHAnsi"/>
                <w:noProof/>
              </w:rPr>
              <w:t>Policy statement</w:t>
            </w:r>
            <w:r w:rsidR="008D27CD">
              <w:rPr>
                <w:noProof/>
                <w:webHidden/>
              </w:rPr>
              <w:tab/>
            </w:r>
            <w:r w:rsidR="008D27CD">
              <w:rPr>
                <w:noProof/>
                <w:webHidden/>
              </w:rPr>
              <w:fldChar w:fldCharType="begin"/>
            </w:r>
            <w:r w:rsidR="008D27CD">
              <w:rPr>
                <w:noProof/>
                <w:webHidden/>
              </w:rPr>
              <w:instrText xml:space="preserve"> PAGEREF _Toc146726359 \h </w:instrText>
            </w:r>
            <w:r w:rsidR="008D27CD">
              <w:rPr>
                <w:noProof/>
                <w:webHidden/>
              </w:rPr>
            </w:r>
            <w:r w:rsidR="008D27CD">
              <w:rPr>
                <w:noProof/>
                <w:webHidden/>
              </w:rPr>
              <w:fldChar w:fldCharType="separate"/>
            </w:r>
            <w:r w:rsidR="008D27CD">
              <w:rPr>
                <w:noProof/>
                <w:webHidden/>
              </w:rPr>
              <w:t>4</w:t>
            </w:r>
            <w:r w:rsidR="008D27CD">
              <w:rPr>
                <w:noProof/>
                <w:webHidden/>
              </w:rPr>
              <w:fldChar w:fldCharType="end"/>
            </w:r>
          </w:hyperlink>
        </w:p>
        <w:p w14:paraId="3487F3A7" w14:textId="3DAAACC8" w:rsidR="008D27CD" w:rsidRDefault="00702D17">
          <w:pPr>
            <w:pStyle w:val="TOC1"/>
            <w:rPr>
              <w:rFonts w:asciiTheme="minorHAnsi" w:hAnsiTheme="minorHAnsi"/>
              <w:noProof/>
              <w:kern w:val="2"/>
              <w:sz w:val="22"/>
              <w:szCs w:val="22"/>
              <w:lang w:eastAsia="en-GB"/>
              <w14:ligatures w14:val="standardContextual"/>
            </w:rPr>
          </w:pPr>
          <w:hyperlink w:anchor="_Toc146726360" w:history="1">
            <w:r w:rsidR="008D27CD" w:rsidRPr="00414F36">
              <w:rPr>
                <w:rStyle w:val="Hyperlink"/>
                <w:rFonts w:asciiTheme="majorHAnsi" w:eastAsia="MS Mincho" w:hAnsiTheme="majorHAnsi"/>
                <w:noProof/>
              </w:rPr>
              <w:t>4.</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eastAsia="MS Mincho" w:hAnsiTheme="majorHAnsi"/>
                <w:noProof/>
              </w:rPr>
              <w:t>Roles and Responsibilities:</w:t>
            </w:r>
            <w:r w:rsidR="008D27CD">
              <w:rPr>
                <w:noProof/>
                <w:webHidden/>
              </w:rPr>
              <w:tab/>
            </w:r>
            <w:r w:rsidR="008D27CD">
              <w:rPr>
                <w:noProof/>
                <w:webHidden/>
              </w:rPr>
              <w:fldChar w:fldCharType="begin"/>
            </w:r>
            <w:r w:rsidR="008D27CD">
              <w:rPr>
                <w:noProof/>
                <w:webHidden/>
              </w:rPr>
              <w:instrText xml:space="preserve"> PAGEREF _Toc146726360 \h </w:instrText>
            </w:r>
            <w:r w:rsidR="008D27CD">
              <w:rPr>
                <w:noProof/>
                <w:webHidden/>
              </w:rPr>
            </w:r>
            <w:r w:rsidR="008D27CD">
              <w:rPr>
                <w:noProof/>
                <w:webHidden/>
              </w:rPr>
              <w:fldChar w:fldCharType="separate"/>
            </w:r>
            <w:r w:rsidR="008D27CD">
              <w:rPr>
                <w:noProof/>
                <w:webHidden/>
              </w:rPr>
              <w:t>5</w:t>
            </w:r>
            <w:r w:rsidR="008D27CD">
              <w:rPr>
                <w:noProof/>
                <w:webHidden/>
              </w:rPr>
              <w:fldChar w:fldCharType="end"/>
            </w:r>
          </w:hyperlink>
        </w:p>
        <w:p w14:paraId="5E9B1539" w14:textId="41A600B3" w:rsidR="008D27CD" w:rsidRDefault="00702D1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26361" w:history="1">
            <w:r w:rsidR="008D27CD" w:rsidRPr="00414F36">
              <w:rPr>
                <w:rStyle w:val="Hyperlink"/>
                <w:rFonts w:asciiTheme="majorHAnsi" w:hAnsiTheme="majorHAnsi" w:cstheme="majorHAnsi"/>
                <w:noProof/>
              </w:rPr>
              <w:t>4.1.</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hAnsiTheme="majorHAnsi" w:cstheme="majorHAnsi"/>
                <w:noProof/>
              </w:rPr>
              <w:t>Staff and Governors</w:t>
            </w:r>
            <w:r w:rsidR="008D27CD">
              <w:rPr>
                <w:noProof/>
                <w:webHidden/>
              </w:rPr>
              <w:tab/>
            </w:r>
            <w:r w:rsidR="008D27CD">
              <w:rPr>
                <w:noProof/>
                <w:webHidden/>
              </w:rPr>
              <w:fldChar w:fldCharType="begin"/>
            </w:r>
            <w:r w:rsidR="008D27CD">
              <w:rPr>
                <w:noProof/>
                <w:webHidden/>
              </w:rPr>
              <w:instrText xml:space="preserve"> PAGEREF _Toc146726361 \h </w:instrText>
            </w:r>
            <w:r w:rsidR="008D27CD">
              <w:rPr>
                <w:noProof/>
                <w:webHidden/>
              </w:rPr>
            </w:r>
            <w:r w:rsidR="008D27CD">
              <w:rPr>
                <w:noProof/>
                <w:webHidden/>
              </w:rPr>
              <w:fldChar w:fldCharType="separate"/>
            </w:r>
            <w:r w:rsidR="008D27CD">
              <w:rPr>
                <w:noProof/>
                <w:webHidden/>
              </w:rPr>
              <w:t>5</w:t>
            </w:r>
            <w:r w:rsidR="008D27CD">
              <w:rPr>
                <w:noProof/>
                <w:webHidden/>
              </w:rPr>
              <w:fldChar w:fldCharType="end"/>
            </w:r>
          </w:hyperlink>
        </w:p>
        <w:p w14:paraId="7E8A1773" w14:textId="267D5BB0" w:rsidR="008D27CD" w:rsidRDefault="00702D1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26362" w:history="1">
            <w:r w:rsidR="008D27CD" w:rsidRPr="00414F36">
              <w:rPr>
                <w:rStyle w:val="Hyperlink"/>
                <w:rFonts w:asciiTheme="majorHAnsi" w:hAnsiTheme="majorHAnsi" w:cstheme="majorHAnsi"/>
                <w:noProof/>
              </w:rPr>
              <w:t>4.2.</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hAnsiTheme="majorHAnsi" w:cstheme="majorHAnsi"/>
                <w:noProof/>
              </w:rPr>
              <w:t>Internal Auditors</w:t>
            </w:r>
            <w:r w:rsidR="008D27CD">
              <w:rPr>
                <w:noProof/>
                <w:webHidden/>
              </w:rPr>
              <w:tab/>
            </w:r>
            <w:r w:rsidR="008D27CD">
              <w:rPr>
                <w:noProof/>
                <w:webHidden/>
              </w:rPr>
              <w:fldChar w:fldCharType="begin"/>
            </w:r>
            <w:r w:rsidR="008D27CD">
              <w:rPr>
                <w:noProof/>
                <w:webHidden/>
              </w:rPr>
              <w:instrText xml:space="preserve"> PAGEREF _Toc146726362 \h </w:instrText>
            </w:r>
            <w:r w:rsidR="008D27CD">
              <w:rPr>
                <w:noProof/>
                <w:webHidden/>
              </w:rPr>
            </w:r>
            <w:r w:rsidR="008D27CD">
              <w:rPr>
                <w:noProof/>
                <w:webHidden/>
              </w:rPr>
              <w:fldChar w:fldCharType="separate"/>
            </w:r>
            <w:r w:rsidR="008D27CD">
              <w:rPr>
                <w:noProof/>
                <w:webHidden/>
              </w:rPr>
              <w:t>5</w:t>
            </w:r>
            <w:r w:rsidR="008D27CD">
              <w:rPr>
                <w:noProof/>
                <w:webHidden/>
              </w:rPr>
              <w:fldChar w:fldCharType="end"/>
            </w:r>
          </w:hyperlink>
        </w:p>
        <w:p w14:paraId="12B29EA0" w14:textId="78544172" w:rsidR="008D27CD" w:rsidRDefault="00702D1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26363" w:history="1">
            <w:r w:rsidR="008D27CD" w:rsidRPr="00414F36">
              <w:rPr>
                <w:rStyle w:val="Hyperlink"/>
                <w:rFonts w:asciiTheme="majorHAnsi" w:hAnsiTheme="majorHAnsi" w:cstheme="majorHAnsi"/>
                <w:noProof/>
              </w:rPr>
              <w:t>4.3.</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hAnsiTheme="majorHAnsi" w:cstheme="majorHAnsi"/>
                <w:noProof/>
              </w:rPr>
              <w:t>National Director of Finance and Finance Director</w:t>
            </w:r>
            <w:r w:rsidR="008D27CD">
              <w:rPr>
                <w:noProof/>
                <w:webHidden/>
              </w:rPr>
              <w:tab/>
            </w:r>
            <w:r w:rsidR="008D27CD">
              <w:rPr>
                <w:noProof/>
                <w:webHidden/>
              </w:rPr>
              <w:fldChar w:fldCharType="begin"/>
            </w:r>
            <w:r w:rsidR="008D27CD">
              <w:rPr>
                <w:noProof/>
                <w:webHidden/>
              </w:rPr>
              <w:instrText xml:space="preserve"> PAGEREF _Toc146726363 \h </w:instrText>
            </w:r>
            <w:r w:rsidR="008D27CD">
              <w:rPr>
                <w:noProof/>
                <w:webHidden/>
              </w:rPr>
            </w:r>
            <w:r w:rsidR="008D27CD">
              <w:rPr>
                <w:noProof/>
                <w:webHidden/>
              </w:rPr>
              <w:fldChar w:fldCharType="separate"/>
            </w:r>
            <w:r w:rsidR="008D27CD">
              <w:rPr>
                <w:noProof/>
                <w:webHidden/>
              </w:rPr>
              <w:t>6</w:t>
            </w:r>
            <w:r w:rsidR="008D27CD">
              <w:rPr>
                <w:noProof/>
                <w:webHidden/>
              </w:rPr>
              <w:fldChar w:fldCharType="end"/>
            </w:r>
          </w:hyperlink>
        </w:p>
        <w:p w14:paraId="697C1FBD" w14:textId="05D4F85E" w:rsidR="008D27CD" w:rsidRDefault="00702D17">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46726364" w:history="1">
            <w:r w:rsidR="008D27CD" w:rsidRPr="00414F36">
              <w:rPr>
                <w:rStyle w:val="Hyperlink"/>
                <w:rFonts w:asciiTheme="majorHAnsi" w:hAnsiTheme="majorHAnsi" w:cstheme="majorHAnsi"/>
                <w:noProof/>
              </w:rPr>
              <w:t>4.4.</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hAnsiTheme="majorHAnsi" w:cstheme="majorHAnsi"/>
                <w:noProof/>
              </w:rPr>
              <w:t>External Auditors</w:t>
            </w:r>
            <w:r w:rsidR="008D27CD">
              <w:rPr>
                <w:noProof/>
                <w:webHidden/>
              </w:rPr>
              <w:tab/>
            </w:r>
            <w:r w:rsidR="008D27CD">
              <w:rPr>
                <w:noProof/>
                <w:webHidden/>
              </w:rPr>
              <w:fldChar w:fldCharType="begin"/>
            </w:r>
            <w:r w:rsidR="008D27CD">
              <w:rPr>
                <w:noProof/>
                <w:webHidden/>
              </w:rPr>
              <w:instrText xml:space="preserve"> PAGEREF _Toc146726364 \h </w:instrText>
            </w:r>
            <w:r w:rsidR="008D27CD">
              <w:rPr>
                <w:noProof/>
                <w:webHidden/>
              </w:rPr>
            </w:r>
            <w:r w:rsidR="008D27CD">
              <w:rPr>
                <w:noProof/>
                <w:webHidden/>
              </w:rPr>
              <w:fldChar w:fldCharType="separate"/>
            </w:r>
            <w:r w:rsidR="008D27CD">
              <w:rPr>
                <w:noProof/>
                <w:webHidden/>
              </w:rPr>
              <w:t>6</w:t>
            </w:r>
            <w:r w:rsidR="008D27CD">
              <w:rPr>
                <w:noProof/>
                <w:webHidden/>
              </w:rPr>
              <w:fldChar w:fldCharType="end"/>
            </w:r>
          </w:hyperlink>
        </w:p>
        <w:p w14:paraId="59DA77AA" w14:textId="01BE3C47" w:rsidR="008D27CD" w:rsidRDefault="00702D17">
          <w:pPr>
            <w:pStyle w:val="TOC1"/>
            <w:rPr>
              <w:rFonts w:asciiTheme="minorHAnsi" w:hAnsiTheme="minorHAnsi"/>
              <w:noProof/>
              <w:kern w:val="2"/>
              <w:sz w:val="22"/>
              <w:szCs w:val="22"/>
              <w:lang w:eastAsia="en-GB"/>
              <w14:ligatures w14:val="standardContextual"/>
            </w:rPr>
          </w:pPr>
          <w:hyperlink w:anchor="_Toc146726365" w:history="1">
            <w:r w:rsidR="008D27CD" w:rsidRPr="00414F36">
              <w:rPr>
                <w:rStyle w:val="Hyperlink"/>
                <w:rFonts w:asciiTheme="majorHAnsi" w:eastAsia="MS Mincho" w:hAnsiTheme="majorHAnsi"/>
                <w:noProof/>
              </w:rPr>
              <w:t>5.</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eastAsia="MS Mincho" w:hAnsiTheme="majorHAnsi"/>
                <w:noProof/>
              </w:rPr>
              <w:t>Confidentiality and Safeguards</w:t>
            </w:r>
            <w:r w:rsidR="008D27CD">
              <w:rPr>
                <w:noProof/>
                <w:webHidden/>
              </w:rPr>
              <w:tab/>
            </w:r>
            <w:r w:rsidR="008D27CD">
              <w:rPr>
                <w:noProof/>
                <w:webHidden/>
              </w:rPr>
              <w:fldChar w:fldCharType="begin"/>
            </w:r>
            <w:r w:rsidR="008D27CD">
              <w:rPr>
                <w:noProof/>
                <w:webHidden/>
              </w:rPr>
              <w:instrText xml:space="preserve"> PAGEREF _Toc146726365 \h </w:instrText>
            </w:r>
            <w:r w:rsidR="008D27CD">
              <w:rPr>
                <w:noProof/>
                <w:webHidden/>
              </w:rPr>
            </w:r>
            <w:r w:rsidR="008D27CD">
              <w:rPr>
                <w:noProof/>
                <w:webHidden/>
              </w:rPr>
              <w:fldChar w:fldCharType="separate"/>
            </w:r>
            <w:r w:rsidR="008D27CD">
              <w:rPr>
                <w:noProof/>
                <w:webHidden/>
              </w:rPr>
              <w:t>6</w:t>
            </w:r>
            <w:r w:rsidR="008D27CD">
              <w:rPr>
                <w:noProof/>
                <w:webHidden/>
              </w:rPr>
              <w:fldChar w:fldCharType="end"/>
            </w:r>
          </w:hyperlink>
        </w:p>
        <w:p w14:paraId="2D2DA514" w14:textId="0360C4EA" w:rsidR="008D27CD" w:rsidRDefault="00702D17">
          <w:pPr>
            <w:pStyle w:val="TOC1"/>
            <w:rPr>
              <w:rFonts w:asciiTheme="minorHAnsi" w:hAnsiTheme="minorHAnsi"/>
              <w:noProof/>
              <w:kern w:val="2"/>
              <w:sz w:val="22"/>
              <w:szCs w:val="22"/>
              <w:lang w:eastAsia="en-GB"/>
              <w14:ligatures w14:val="standardContextual"/>
            </w:rPr>
          </w:pPr>
          <w:hyperlink w:anchor="_Toc146726366" w:history="1">
            <w:r w:rsidR="008D27CD" w:rsidRPr="00414F36">
              <w:rPr>
                <w:rStyle w:val="Hyperlink"/>
                <w:rFonts w:asciiTheme="majorHAnsi" w:eastAsia="MS Mincho" w:hAnsiTheme="majorHAnsi"/>
                <w:noProof/>
              </w:rPr>
              <w:t>6.</w:t>
            </w:r>
            <w:r w:rsidR="008D27CD">
              <w:rPr>
                <w:rFonts w:asciiTheme="minorHAnsi" w:hAnsiTheme="minorHAnsi"/>
                <w:noProof/>
                <w:kern w:val="2"/>
                <w:sz w:val="22"/>
                <w:szCs w:val="22"/>
                <w:lang w:eastAsia="en-GB"/>
                <w14:ligatures w14:val="standardContextual"/>
              </w:rPr>
              <w:tab/>
            </w:r>
            <w:r w:rsidR="008D27CD" w:rsidRPr="00414F36">
              <w:rPr>
                <w:rStyle w:val="Hyperlink"/>
                <w:rFonts w:asciiTheme="majorHAnsi" w:eastAsia="MS Mincho" w:hAnsiTheme="majorHAnsi"/>
                <w:noProof/>
              </w:rPr>
              <w:t>Links with other Policies</w:t>
            </w:r>
            <w:r w:rsidR="008D27CD">
              <w:rPr>
                <w:noProof/>
                <w:webHidden/>
              </w:rPr>
              <w:tab/>
            </w:r>
            <w:r w:rsidR="008D27CD">
              <w:rPr>
                <w:noProof/>
                <w:webHidden/>
              </w:rPr>
              <w:fldChar w:fldCharType="begin"/>
            </w:r>
            <w:r w:rsidR="008D27CD">
              <w:rPr>
                <w:noProof/>
                <w:webHidden/>
              </w:rPr>
              <w:instrText xml:space="preserve"> PAGEREF _Toc146726366 \h </w:instrText>
            </w:r>
            <w:r w:rsidR="008D27CD">
              <w:rPr>
                <w:noProof/>
                <w:webHidden/>
              </w:rPr>
            </w:r>
            <w:r w:rsidR="008D27CD">
              <w:rPr>
                <w:noProof/>
                <w:webHidden/>
              </w:rPr>
              <w:fldChar w:fldCharType="separate"/>
            </w:r>
            <w:r w:rsidR="008D27CD">
              <w:rPr>
                <w:noProof/>
                <w:webHidden/>
              </w:rPr>
              <w:t>7</w:t>
            </w:r>
            <w:r w:rsidR="008D27CD">
              <w:rPr>
                <w:noProof/>
                <w:webHidden/>
              </w:rPr>
              <w:fldChar w:fldCharType="end"/>
            </w:r>
          </w:hyperlink>
        </w:p>
        <w:p w14:paraId="4B22AE75" w14:textId="4EB7B49A" w:rsidR="008D27CD" w:rsidRDefault="00702D17">
          <w:pPr>
            <w:pStyle w:val="TOC1"/>
            <w:rPr>
              <w:rFonts w:asciiTheme="minorHAnsi" w:hAnsiTheme="minorHAnsi"/>
              <w:noProof/>
              <w:kern w:val="2"/>
              <w:sz w:val="22"/>
              <w:szCs w:val="22"/>
              <w:lang w:eastAsia="en-GB"/>
              <w14:ligatures w14:val="standardContextual"/>
            </w:rPr>
          </w:pPr>
          <w:hyperlink w:anchor="_Toc146726367" w:history="1">
            <w:r w:rsidR="008D27CD" w:rsidRPr="00414F36">
              <w:rPr>
                <w:rStyle w:val="Hyperlink"/>
                <w:rFonts w:asciiTheme="majorHAnsi" w:eastAsia="MS Mincho" w:hAnsiTheme="majorHAnsi" w:cstheme="majorHAnsi"/>
                <w:noProof/>
              </w:rPr>
              <w:t>Appendix 1</w:t>
            </w:r>
            <w:r w:rsidR="008D27CD">
              <w:rPr>
                <w:noProof/>
                <w:webHidden/>
              </w:rPr>
              <w:tab/>
            </w:r>
            <w:r w:rsidR="008D27CD">
              <w:rPr>
                <w:noProof/>
                <w:webHidden/>
              </w:rPr>
              <w:fldChar w:fldCharType="begin"/>
            </w:r>
            <w:r w:rsidR="008D27CD">
              <w:rPr>
                <w:noProof/>
                <w:webHidden/>
              </w:rPr>
              <w:instrText xml:space="preserve"> PAGEREF _Toc146726367 \h </w:instrText>
            </w:r>
            <w:r w:rsidR="008D27CD">
              <w:rPr>
                <w:noProof/>
                <w:webHidden/>
              </w:rPr>
            </w:r>
            <w:r w:rsidR="008D27CD">
              <w:rPr>
                <w:noProof/>
                <w:webHidden/>
              </w:rPr>
              <w:fldChar w:fldCharType="separate"/>
            </w:r>
            <w:r w:rsidR="008D27CD">
              <w:rPr>
                <w:noProof/>
                <w:webHidden/>
              </w:rPr>
              <w:t>8</w:t>
            </w:r>
            <w:r w:rsidR="008D27CD">
              <w:rPr>
                <w:noProof/>
                <w:webHidden/>
              </w:rPr>
              <w:fldChar w:fldCharType="end"/>
            </w:r>
          </w:hyperlink>
        </w:p>
        <w:p w14:paraId="0C8B8F35" w14:textId="69BF2798" w:rsidR="008D27CD" w:rsidRDefault="00702D17">
          <w:pPr>
            <w:pStyle w:val="TOC2"/>
            <w:tabs>
              <w:tab w:val="right" w:leader="dot" w:pos="9054"/>
            </w:tabs>
            <w:rPr>
              <w:rFonts w:asciiTheme="minorHAnsi" w:hAnsiTheme="minorHAnsi"/>
              <w:noProof/>
              <w:kern w:val="2"/>
              <w:sz w:val="22"/>
              <w:szCs w:val="22"/>
              <w:lang w:eastAsia="en-GB"/>
              <w14:ligatures w14:val="standardContextual"/>
            </w:rPr>
          </w:pPr>
          <w:hyperlink w:anchor="_Toc146726368" w:history="1">
            <w:r w:rsidR="008D27CD" w:rsidRPr="00414F36">
              <w:rPr>
                <w:rStyle w:val="Hyperlink"/>
                <w:noProof/>
              </w:rPr>
              <w:t>Fraud response plan</w:t>
            </w:r>
            <w:r w:rsidR="008D27CD">
              <w:rPr>
                <w:noProof/>
                <w:webHidden/>
              </w:rPr>
              <w:tab/>
            </w:r>
            <w:r w:rsidR="008D27CD">
              <w:rPr>
                <w:noProof/>
                <w:webHidden/>
              </w:rPr>
              <w:fldChar w:fldCharType="begin"/>
            </w:r>
            <w:r w:rsidR="008D27CD">
              <w:rPr>
                <w:noProof/>
                <w:webHidden/>
              </w:rPr>
              <w:instrText xml:space="preserve"> PAGEREF _Toc146726368 \h </w:instrText>
            </w:r>
            <w:r w:rsidR="008D27CD">
              <w:rPr>
                <w:noProof/>
                <w:webHidden/>
              </w:rPr>
            </w:r>
            <w:r w:rsidR="008D27CD">
              <w:rPr>
                <w:noProof/>
                <w:webHidden/>
              </w:rPr>
              <w:fldChar w:fldCharType="separate"/>
            </w:r>
            <w:r w:rsidR="008D27CD">
              <w:rPr>
                <w:noProof/>
                <w:webHidden/>
              </w:rPr>
              <w:t>8</w:t>
            </w:r>
            <w:r w:rsidR="008D27CD">
              <w:rPr>
                <w:noProof/>
                <w:webHidden/>
              </w:rPr>
              <w:fldChar w:fldCharType="end"/>
            </w:r>
          </w:hyperlink>
        </w:p>
        <w:p w14:paraId="1301AB4F" w14:textId="5747A2FE" w:rsidR="008D27CD" w:rsidRDefault="00702D17" w:rsidP="00B20996">
          <w:pPr>
            <w:pStyle w:val="TOC1"/>
            <w:rPr>
              <w:rFonts w:asciiTheme="minorHAnsi" w:hAnsiTheme="minorHAnsi"/>
              <w:noProof/>
              <w:kern w:val="2"/>
              <w:sz w:val="22"/>
              <w:szCs w:val="22"/>
              <w:lang w:eastAsia="en-GB"/>
              <w14:ligatures w14:val="standardContextual"/>
            </w:rPr>
          </w:pPr>
          <w:hyperlink w:anchor="_Toc146726369" w:history="1">
            <w:r w:rsidR="008D27CD" w:rsidRPr="00414F36">
              <w:rPr>
                <w:rStyle w:val="Hyperlink"/>
                <w:rFonts w:asciiTheme="majorHAnsi" w:hAnsiTheme="majorHAnsi" w:cstheme="majorHAnsi"/>
                <w:noProof/>
              </w:rPr>
              <w:t>Appendix – flowcharts</w:t>
            </w:r>
            <w:r w:rsidR="008D27CD">
              <w:rPr>
                <w:noProof/>
                <w:webHidden/>
              </w:rPr>
              <w:tab/>
            </w:r>
            <w:r w:rsidR="008D27CD">
              <w:rPr>
                <w:noProof/>
                <w:webHidden/>
              </w:rPr>
              <w:fldChar w:fldCharType="begin"/>
            </w:r>
            <w:r w:rsidR="008D27CD">
              <w:rPr>
                <w:noProof/>
                <w:webHidden/>
              </w:rPr>
              <w:instrText xml:space="preserve"> PAGEREF _Toc146726369 \h </w:instrText>
            </w:r>
            <w:r w:rsidR="008D27CD">
              <w:rPr>
                <w:noProof/>
                <w:webHidden/>
              </w:rPr>
            </w:r>
            <w:r w:rsidR="008D27CD">
              <w:rPr>
                <w:noProof/>
                <w:webHidden/>
              </w:rPr>
              <w:fldChar w:fldCharType="separate"/>
            </w:r>
            <w:r w:rsidR="008D27CD">
              <w:rPr>
                <w:noProof/>
                <w:webHidden/>
              </w:rPr>
              <w:t>11</w:t>
            </w:r>
            <w:r w:rsidR="008D27CD">
              <w:rPr>
                <w:noProof/>
                <w:webHidden/>
              </w:rPr>
              <w:fldChar w:fldCharType="end"/>
            </w:r>
          </w:hyperlink>
        </w:p>
        <w:p w14:paraId="4215BC95" w14:textId="460D895C" w:rsidR="008D27CD" w:rsidRDefault="00702D17">
          <w:pPr>
            <w:pStyle w:val="TOC2"/>
            <w:tabs>
              <w:tab w:val="right" w:leader="dot" w:pos="9054"/>
            </w:tabs>
            <w:rPr>
              <w:rFonts w:asciiTheme="minorHAnsi" w:hAnsiTheme="minorHAnsi"/>
              <w:noProof/>
              <w:kern w:val="2"/>
              <w:sz w:val="22"/>
              <w:szCs w:val="22"/>
              <w:lang w:eastAsia="en-GB"/>
              <w14:ligatures w14:val="standardContextual"/>
            </w:rPr>
          </w:pPr>
          <w:hyperlink w:anchor="_Toc146726371" w:history="1">
            <w:r w:rsidR="008D27CD" w:rsidRPr="00414F36">
              <w:rPr>
                <w:rStyle w:val="Hyperlink"/>
                <w:rFonts w:asciiTheme="majorHAnsi" w:hAnsiTheme="majorHAnsi" w:cstheme="majorHAnsi"/>
                <w:noProof/>
              </w:rPr>
              <w:t>Appendix A</w:t>
            </w:r>
            <w:r w:rsidR="008D27CD">
              <w:rPr>
                <w:noProof/>
                <w:webHidden/>
              </w:rPr>
              <w:tab/>
            </w:r>
            <w:r w:rsidR="008D27CD">
              <w:rPr>
                <w:noProof/>
                <w:webHidden/>
              </w:rPr>
              <w:fldChar w:fldCharType="begin"/>
            </w:r>
            <w:r w:rsidR="008D27CD">
              <w:rPr>
                <w:noProof/>
                <w:webHidden/>
              </w:rPr>
              <w:instrText xml:space="preserve"> PAGEREF _Toc146726371 \h </w:instrText>
            </w:r>
            <w:r w:rsidR="008D27CD">
              <w:rPr>
                <w:noProof/>
                <w:webHidden/>
              </w:rPr>
            </w:r>
            <w:r w:rsidR="008D27CD">
              <w:rPr>
                <w:noProof/>
                <w:webHidden/>
              </w:rPr>
              <w:fldChar w:fldCharType="separate"/>
            </w:r>
            <w:r w:rsidR="008D27CD">
              <w:rPr>
                <w:noProof/>
                <w:webHidden/>
              </w:rPr>
              <w:t>12</w:t>
            </w:r>
            <w:r w:rsidR="008D27CD">
              <w:rPr>
                <w:noProof/>
                <w:webHidden/>
              </w:rPr>
              <w:fldChar w:fldCharType="end"/>
            </w:r>
          </w:hyperlink>
        </w:p>
        <w:p w14:paraId="56F07386" w14:textId="3EA2FB3F" w:rsidR="008D27CD" w:rsidRDefault="00702D17">
          <w:pPr>
            <w:pStyle w:val="TOC2"/>
            <w:tabs>
              <w:tab w:val="right" w:leader="dot" w:pos="9054"/>
            </w:tabs>
            <w:rPr>
              <w:rFonts w:asciiTheme="minorHAnsi" w:hAnsiTheme="minorHAnsi"/>
              <w:noProof/>
              <w:kern w:val="2"/>
              <w:sz w:val="22"/>
              <w:szCs w:val="22"/>
              <w:lang w:eastAsia="en-GB"/>
              <w14:ligatures w14:val="standardContextual"/>
            </w:rPr>
          </w:pPr>
          <w:hyperlink w:anchor="_Toc146726372" w:history="1">
            <w:r w:rsidR="008D27CD" w:rsidRPr="00414F36">
              <w:rPr>
                <w:rStyle w:val="Hyperlink"/>
                <w:rFonts w:asciiTheme="majorHAnsi" w:hAnsiTheme="majorHAnsi" w:cstheme="majorHAnsi"/>
                <w:noProof/>
              </w:rPr>
              <w:t>Appendix B – Fraud flow chart</w:t>
            </w:r>
            <w:r w:rsidR="008D27CD">
              <w:rPr>
                <w:noProof/>
                <w:webHidden/>
              </w:rPr>
              <w:tab/>
            </w:r>
            <w:r w:rsidR="008D27CD">
              <w:rPr>
                <w:noProof/>
                <w:webHidden/>
              </w:rPr>
              <w:fldChar w:fldCharType="begin"/>
            </w:r>
            <w:r w:rsidR="008D27CD">
              <w:rPr>
                <w:noProof/>
                <w:webHidden/>
              </w:rPr>
              <w:instrText xml:space="preserve"> PAGEREF _Toc146726372 \h </w:instrText>
            </w:r>
            <w:r w:rsidR="008D27CD">
              <w:rPr>
                <w:noProof/>
                <w:webHidden/>
              </w:rPr>
            </w:r>
            <w:r w:rsidR="008D27CD">
              <w:rPr>
                <w:noProof/>
                <w:webHidden/>
              </w:rPr>
              <w:fldChar w:fldCharType="separate"/>
            </w:r>
            <w:r w:rsidR="008D27CD">
              <w:rPr>
                <w:noProof/>
                <w:webHidden/>
              </w:rPr>
              <w:t>13</w:t>
            </w:r>
            <w:r w:rsidR="008D27CD">
              <w:rPr>
                <w:noProof/>
                <w:webHidden/>
              </w:rPr>
              <w:fldChar w:fldCharType="end"/>
            </w:r>
          </w:hyperlink>
        </w:p>
        <w:p w14:paraId="618CBBE3" w14:textId="084ADAB1" w:rsidR="008D27CD" w:rsidRDefault="00702D17">
          <w:pPr>
            <w:pStyle w:val="TOC2"/>
            <w:tabs>
              <w:tab w:val="right" w:leader="dot" w:pos="9054"/>
            </w:tabs>
            <w:rPr>
              <w:rFonts w:asciiTheme="minorHAnsi" w:hAnsiTheme="minorHAnsi"/>
              <w:noProof/>
              <w:kern w:val="2"/>
              <w:sz w:val="22"/>
              <w:szCs w:val="22"/>
              <w:lang w:eastAsia="en-GB"/>
              <w14:ligatures w14:val="standardContextual"/>
            </w:rPr>
          </w:pPr>
          <w:hyperlink w:anchor="_Toc146726373" w:history="1">
            <w:r w:rsidR="008D27CD" w:rsidRPr="00414F36">
              <w:rPr>
                <w:rStyle w:val="Hyperlink"/>
                <w:rFonts w:asciiTheme="majorHAnsi" w:hAnsiTheme="majorHAnsi" w:cstheme="majorHAnsi"/>
                <w:noProof/>
              </w:rPr>
              <w:t>Appendix C – Procurement card flow chart</w:t>
            </w:r>
            <w:r w:rsidR="008D27CD">
              <w:rPr>
                <w:noProof/>
                <w:webHidden/>
              </w:rPr>
              <w:tab/>
            </w:r>
            <w:r w:rsidR="008D27CD">
              <w:rPr>
                <w:noProof/>
                <w:webHidden/>
              </w:rPr>
              <w:fldChar w:fldCharType="begin"/>
            </w:r>
            <w:r w:rsidR="008D27CD">
              <w:rPr>
                <w:noProof/>
                <w:webHidden/>
              </w:rPr>
              <w:instrText xml:space="preserve"> PAGEREF _Toc146726373 \h </w:instrText>
            </w:r>
            <w:r w:rsidR="008D27CD">
              <w:rPr>
                <w:noProof/>
                <w:webHidden/>
              </w:rPr>
            </w:r>
            <w:r w:rsidR="008D27CD">
              <w:rPr>
                <w:noProof/>
                <w:webHidden/>
              </w:rPr>
              <w:fldChar w:fldCharType="separate"/>
            </w:r>
            <w:r w:rsidR="008D27CD">
              <w:rPr>
                <w:noProof/>
                <w:webHidden/>
              </w:rPr>
              <w:t>14</w:t>
            </w:r>
            <w:r w:rsidR="008D27CD">
              <w:rPr>
                <w:noProof/>
                <w:webHidden/>
              </w:rPr>
              <w:fldChar w:fldCharType="end"/>
            </w:r>
          </w:hyperlink>
        </w:p>
        <w:p w14:paraId="4C634083" w14:textId="6F10D5FE" w:rsidR="00D761BE" w:rsidRPr="00CE1343" w:rsidRDefault="00F2632A" w:rsidP="00915F8D">
          <w:pPr>
            <w:pStyle w:val="TOC1"/>
            <w:rPr>
              <w:rFonts w:asciiTheme="majorHAnsi" w:hAnsiTheme="majorHAnsi" w:cstheme="majorHAnsi"/>
            </w:rPr>
          </w:pPr>
          <w:r w:rsidRPr="00CE1343">
            <w:rPr>
              <w:rFonts w:asciiTheme="majorHAnsi" w:hAnsiTheme="majorHAnsi" w:cstheme="majorHAnsi"/>
              <w:bCs/>
              <w:noProof/>
            </w:rPr>
            <w:fldChar w:fldCharType="end"/>
          </w:r>
        </w:p>
      </w:sdtContent>
    </w:sdt>
    <w:p w14:paraId="74EBAE4A" w14:textId="61372366" w:rsidR="00D761BE" w:rsidRPr="00CE1343" w:rsidRDefault="00D761BE">
      <w:pPr>
        <w:rPr>
          <w:rFonts w:asciiTheme="majorHAnsi" w:eastAsia="MS Mincho" w:hAnsiTheme="majorHAnsi" w:cstheme="majorHAnsi"/>
          <w:color w:val="00AFF0"/>
          <w:sz w:val="40"/>
          <w:szCs w:val="40"/>
        </w:rPr>
      </w:pPr>
      <w:r w:rsidRPr="00CE1343">
        <w:rPr>
          <w:rFonts w:asciiTheme="majorHAnsi" w:eastAsia="MS Mincho" w:hAnsiTheme="majorHAnsi" w:cstheme="majorHAnsi"/>
          <w:color w:val="00AFF0"/>
          <w:sz w:val="40"/>
          <w:szCs w:val="40"/>
        </w:rPr>
        <w:br w:type="page"/>
      </w:r>
    </w:p>
    <w:p w14:paraId="3CA49099" w14:textId="053D5949" w:rsidR="00B33E82" w:rsidRPr="009A36B5" w:rsidRDefault="00B33E82" w:rsidP="009A36B5">
      <w:pPr>
        <w:pStyle w:val="OATheader"/>
        <w:numPr>
          <w:ilvl w:val="0"/>
          <w:numId w:val="7"/>
        </w:numPr>
        <w:ind w:left="709" w:hanging="709"/>
        <w:rPr>
          <w:rFonts w:asciiTheme="majorHAnsi" w:eastAsia="MS Mincho" w:hAnsiTheme="majorHAnsi"/>
          <w:sz w:val="36"/>
          <w:szCs w:val="36"/>
        </w:rPr>
      </w:pPr>
      <w:bookmarkStart w:id="0" w:name="_Toc146726357"/>
      <w:r w:rsidRPr="009A36B5">
        <w:rPr>
          <w:rFonts w:asciiTheme="majorHAnsi" w:eastAsia="MS Mincho" w:hAnsiTheme="majorHAnsi"/>
          <w:sz w:val="36"/>
          <w:szCs w:val="36"/>
        </w:rPr>
        <w:lastRenderedPageBreak/>
        <w:t>Introduction</w:t>
      </w:r>
      <w:bookmarkEnd w:id="0"/>
    </w:p>
    <w:p w14:paraId="104C2450" w14:textId="77777777" w:rsidR="00B33E82" w:rsidRPr="00AE04AD" w:rsidRDefault="00B33E82" w:rsidP="00AE04AD">
      <w:pPr>
        <w:pStyle w:val="OATbodystyle"/>
        <w:numPr>
          <w:ilvl w:val="1"/>
          <w:numId w:val="7"/>
        </w:numPr>
        <w:tabs>
          <w:tab w:val="clear" w:pos="284"/>
          <w:tab w:val="left" w:pos="709"/>
        </w:tabs>
        <w:ind w:left="709" w:hanging="709"/>
        <w:rPr>
          <w:rFonts w:ascii="Calibri" w:hAnsi="Calibri" w:cs="Calibri"/>
        </w:rPr>
      </w:pPr>
      <w:r w:rsidRPr="00AE04AD">
        <w:rPr>
          <w:rFonts w:ascii="Calibri" w:hAnsi="Calibri" w:cs="Calibri"/>
        </w:rPr>
        <w:t xml:space="preserve">This policy and procedure </w:t>
      </w:r>
      <w:proofErr w:type="gramStart"/>
      <w:r w:rsidRPr="00AE04AD">
        <w:rPr>
          <w:rFonts w:ascii="Calibri" w:hAnsi="Calibri" w:cs="Calibri"/>
        </w:rPr>
        <w:t>defines</w:t>
      </w:r>
      <w:proofErr w:type="gramEnd"/>
      <w:r w:rsidRPr="00AE04AD">
        <w:rPr>
          <w:rFonts w:ascii="Calibri" w:hAnsi="Calibri" w:cs="Calibri"/>
        </w:rPr>
        <w:t xml:space="preserve"> the expected conduct of all staff engaged at the academy, whether in paid or voluntary employment, in relation to deterring and/or detecting fraud, and who to report it to. Reference is also made to other academy policies where appropriate.</w:t>
      </w:r>
    </w:p>
    <w:p w14:paraId="5419C5A9" w14:textId="52747818" w:rsidR="00B33E82" w:rsidRPr="00AE04AD" w:rsidRDefault="00B33E82" w:rsidP="00AE04AD">
      <w:pPr>
        <w:pStyle w:val="OATbodystyle"/>
        <w:numPr>
          <w:ilvl w:val="1"/>
          <w:numId w:val="7"/>
        </w:numPr>
        <w:tabs>
          <w:tab w:val="clear" w:pos="284"/>
          <w:tab w:val="left" w:pos="709"/>
        </w:tabs>
        <w:ind w:left="709" w:hanging="709"/>
        <w:rPr>
          <w:rFonts w:ascii="Calibri" w:hAnsi="Calibri" w:cs="Calibri"/>
        </w:rPr>
      </w:pPr>
      <w:r w:rsidRPr="00AE04AD">
        <w:rPr>
          <w:rFonts w:ascii="Calibri" w:hAnsi="Calibri" w:cs="Calibri"/>
        </w:rPr>
        <w:t>Ormiston Academies Trust (OAT) is committed to ensuring that it acts with integrity and has high standards of personal conduct.  Everyone involved with the academy has a responsibility in respect of preventing and detecting fraud. All staff and governors have a role to play. The academy also recognises the role of others in alerting them to areas where there is suspicion of fraud.</w:t>
      </w:r>
      <w:r w:rsidR="004C16AE" w:rsidRPr="00AE04AD">
        <w:rPr>
          <w:rFonts w:ascii="Calibri" w:hAnsi="Calibri" w:cs="Calibri"/>
        </w:rPr>
        <w:t xml:space="preserve">  The Trust has a </w:t>
      </w:r>
      <w:proofErr w:type="gramStart"/>
      <w:r w:rsidR="004C16AE" w:rsidRPr="00AE04AD">
        <w:rPr>
          <w:rFonts w:ascii="Calibri" w:hAnsi="Calibri" w:cs="Calibri"/>
        </w:rPr>
        <w:t>zero tolerance</w:t>
      </w:r>
      <w:proofErr w:type="gramEnd"/>
      <w:r w:rsidR="004C16AE" w:rsidRPr="00AE04AD">
        <w:rPr>
          <w:rFonts w:ascii="Calibri" w:hAnsi="Calibri" w:cs="Calibri"/>
        </w:rPr>
        <w:t xml:space="preserve"> culture to all types of fraud, bribery and corruption. </w:t>
      </w:r>
    </w:p>
    <w:p w14:paraId="7BC0D1DD" w14:textId="77777777" w:rsidR="00B33E82" w:rsidRPr="00AE04AD" w:rsidRDefault="00B33E82" w:rsidP="00AE04AD">
      <w:pPr>
        <w:pStyle w:val="OATbodystyle"/>
        <w:numPr>
          <w:ilvl w:val="1"/>
          <w:numId w:val="7"/>
        </w:numPr>
        <w:tabs>
          <w:tab w:val="clear" w:pos="284"/>
          <w:tab w:val="left" w:pos="709"/>
        </w:tabs>
        <w:ind w:left="709" w:hanging="709"/>
        <w:rPr>
          <w:rFonts w:ascii="Calibri" w:hAnsi="Calibri" w:cs="Calibri"/>
        </w:rPr>
      </w:pPr>
      <w:r w:rsidRPr="00AE04AD">
        <w:rPr>
          <w:rFonts w:ascii="Calibri" w:hAnsi="Calibri" w:cs="Calibri"/>
        </w:rPr>
        <w:t xml:space="preserve">Recognising a potential fraud and being able to report it is just as important as the measures to prevent and detect.  </w:t>
      </w:r>
    </w:p>
    <w:p w14:paraId="2F3FF396" w14:textId="77777777" w:rsidR="00B33E82" w:rsidRPr="00AE04AD" w:rsidRDefault="00B33E82" w:rsidP="00AE04AD">
      <w:pPr>
        <w:pStyle w:val="OATbodystyle"/>
        <w:numPr>
          <w:ilvl w:val="1"/>
          <w:numId w:val="7"/>
        </w:numPr>
        <w:tabs>
          <w:tab w:val="clear" w:pos="284"/>
          <w:tab w:val="left" w:pos="709"/>
        </w:tabs>
        <w:ind w:left="709" w:hanging="709"/>
        <w:rPr>
          <w:rFonts w:ascii="Calibri" w:hAnsi="Calibri" w:cs="Calibri"/>
        </w:rPr>
      </w:pPr>
      <w:r w:rsidRPr="00AE04AD">
        <w:rPr>
          <w:rFonts w:ascii="Calibri" w:hAnsi="Calibri" w:cs="Calibri"/>
        </w:rPr>
        <w:t>It is the duty of all employees and governors at the academy to take reasonable steps to limit the possibility of corrupt practices, and it is the responsibility of the internal auditors and the external auditors to review the adequacy of the measures taken by the academy to test compliance and to draw attention to any weaknesses or omissions.</w:t>
      </w:r>
    </w:p>
    <w:p w14:paraId="7A6F2A48" w14:textId="2D87E61D" w:rsidR="00873866" w:rsidRPr="00AE04AD" w:rsidRDefault="00B33E82" w:rsidP="00AE04AD">
      <w:pPr>
        <w:pStyle w:val="OATbodystyle"/>
        <w:numPr>
          <w:ilvl w:val="1"/>
          <w:numId w:val="7"/>
        </w:numPr>
        <w:tabs>
          <w:tab w:val="clear" w:pos="284"/>
          <w:tab w:val="left" w:pos="709"/>
        </w:tabs>
        <w:ind w:left="709" w:hanging="709"/>
        <w:rPr>
          <w:rFonts w:ascii="Calibri" w:hAnsi="Calibri" w:cs="Calibri"/>
        </w:rPr>
      </w:pPr>
      <w:r w:rsidRPr="00AE04AD">
        <w:rPr>
          <w:rFonts w:ascii="Calibri" w:hAnsi="Calibri" w:cs="Calibri"/>
        </w:rPr>
        <w:t>Any investigation carried out in relation to alleged irregularities is linked to the academy's disciplinary procedure.</w:t>
      </w:r>
    </w:p>
    <w:p w14:paraId="511DE7E5" w14:textId="1D96FB05" w:rsidR="00B33E82" w:rsidRPr="009A36B5" w:rsidRDefault="00B33E82" w:rsidP="009A36B5">
      <w:pPr>
        <w:pStyle w:val="OATheader"/>
        <w:numPr>
          <w:ilvl w:val="0"/>
          <w:numId w:val="7"/>
        </w:numPr>
        <w:ind w:left="709" w:hanging="709"/>
        <w:rPr>
          <w:rFonts w:asciiTheme="majorHAnsi" w:eastAsia="MS Mincho" w:hAnsiTheme="majorHAnsi"/>
          <w:sz w:val="36"/>
          <w:szCs w:val="36"/>
        </w:rPr>
      </w:pPr>
      <w:bookmarkStart w:id="1" w:name="_Toc146726358"/>
      <w:r w:rsidRPr="009A36B5">
        <w:rPr>
          <w:rFonts w:asciiTheme="majorHAnsi" w:eastAsia="MS Mincho" w:hAnsiTheme="majorHAnsi"/>
          <w:sz w:val="36"/>
          <w:szCs w:val="36"/>
        </w:rPr>
        <w:t>Fraud</w:t>
      </w:r>
      <w:bookmarkEnd w:id="1"/>
    </w:p>
    <w:p w14:paraId="03562C5D" w14:textId="77777777" w:rsidR="00B33E82" w:rsidRPr="00AE04AD" w:rsidRDefault="00B33E82" w:rsidP="00AE04AD">
      <w:pPr>
        <w:pStyle w:val="OATbodystyle"/>
        <w:numPr>
          <w:ilvl w:val="1"/>
          <w:numId w:val="7"/>
        </w:numPr>
        <w:tabs>
          <w:tab w:val="clear" w:pos="284"/>
          <w:tab w:val="left" w:pos="709"/>
        </w:tabs>
        <w:ind w:left="709" w:hanging="709"/>
        <w:rPr>
          <w:rFonts w:ascii="Calibri" w:hAnsi="Calibri" w:cs="Calibri"/>
        </w:rPr>
      </w:pPr>
      <w:r w:rsidRPr="00AE04AD">
        <w:rPr>
          <w:rFonts w:ascii="Calibri" w:hAnsi="Calibri" w:cs="Calibri"/>
        </w:rPr>
        <w:t>Fraud is a general term covering theft, deliberate misuse or misappropriation of assets or anything that leads to a financial advantage to the perpetrator or others upon whose behalf he or she acts, even if these “others” are in ignorance of the fraud.  Fraud is in fact intentional deceit and for this reason it cannot include negligence.</w:t>
      </w:r>
    </w:p>
    <w:p w14:paraId="1BF09C0B" w14:textId="77777777" w:rsidR="00B33E82" w:rsidRPr="00AE04AD" w:rsidRDefault="00B33E82" w:rsidP="00AE04AD">
      <w:pPr>
        <w:pStyle w:val="OATbodystyle"/>
        <w:numPr>
          <w:ilvl w:val="1"/>
          <w:numId w:val="7"/>
        </w:numPr>
        <w:tabs>
          <w:tab w:val="clear" w:pos="284"/>
          <w:tab w:val="left" w:pos="709"/>
        </w:tabs>
        <w:ind w:left="709" w:hanging="709"/>
        <w:rPr>
          <w:rFonts w:ascii="Calibri" w:hAnsi="Calibri" w:cs="Calibri"/>
        </w:rPr>
      </w:pPr>
      <w:r w:rsidRPr="00AE04AD">
        <w:rPr>
          <w:rFonts w:ascii="Calibri" w:hAnsi="Calibri" w:cs="Calibri"/>
        </w:rPr>
        <w:t xml:space="preserve">Fraud incorporates theft, larceny, embezzlement, fraudulent conversion, false pretences, forgery, corrupt </w:t>
      </w:r>
      <w:proofErr w:type="gramStart"/>
      <w:r w:rsidRPr="00AE04AD">
        <w:rPr>
          <w:rFonts w:ascii="Calibri" w:hAnsi="Calibri" w:cs="Calibri"/>
        </w:rPr>
        <w:t>practices</w:t>
      </w:r>
      <w:proofErr w:type="gramEnd"/>
      <w:r w:rsidRPr="00AE04AD">
        <w:rPr>
          <w:rFonts w:ascii="Calibri" w:hAnsi="Calibri" w:cs="Calibri"/>
        </w:rPr>
        <w:t xml:space="preserve"> and falsification of accounts.</w:t>
      </w:r>
    </w:p>
    <w:p w14:paraId="789F0492" w14:textId="77777777" w:rsidR="00B33E82" w:rsidRPr="00AE04AD" w:rsidRDefault="00B33E82" w:rsidP="00AE04AD">
      <w:pPr>
        <w:pStyle w:val="OATbodystyle"/>
        <w:numPr>
          <w:ilvl w:val="1"/>
          <w:numId w:val="7"/>
        </w:numPr>
        <w:tabs>
          <w:tab w:val="clear" w:pos="284"/>
          <w:tab w:val="left" w:pos="709"/>
        </w:tabs>
        <w:ind w:left="709" w:hanging="709"/>
        <w:rPr>
          <w:rFonts w:ascii="Calibri" w:hAnsi="Calibri" w:cs="Calibri"/>
        </w:rPr>
      </w:pPr>
      <w:r w:rsidRPr="00AE04AD">
        <w:rPr>
          <w:rFonts w:ascii="Calibri" w:hAnsi="Calibri" w:cs="Calibri"/>
        </w:rPr>
        <w:t>Irregularities fall within the following broad categories, the first three of which are criminal offences:</w:t>
      </w:r>
    </w:p>
    <w:p w14:paraId="077F462F" w14:textId="77777777" w:rsidR="00B33E82" w:rsidRPr="00FE1933" w:rsidRDefault="00B33E82" w:rsidP="00714625">
      <w:pPr>
        <w:pStyle w:val="OATbodystyle"/>
        <w:numPr>
          <w:ilvl w:val="2"/>
          <w:numId w:val="7"/>
        </w:numPr>
        <w:spacing w:before="240"/>
        <w:ind w:left="709" w:hanging="709"/>
        <w:rPr>
          <w:rFonts w:ascii="Calibri" w:hAnsi="Calibri" w:cs="Calibri"/>
        </w:rPr>
      </w:pPr>
      <w:r w:rsidRPr="00FE1933">
        <w:rPr>
          <w:rFonts w:ascii="Calibri" w:hAnsi="Calibri" w:cs="Calibri"/>
        </w:rPr>
        <w:t xml:space="preserve">Theft - the dishonest taking of property belonging to another person with the intention of depriving the owner permanently of its </w:t>
      </w:r>
      <w:proofErr w:type="gramStart"/>
      <w:r w:rsidRPr="00FE1933">
        <w:rPr>
          <w:rFonts w:ascii="Calibri" w:hAnsi="Calibri" w:cs="Calibri"/>
        </w:rPr>
        <w:t>possession;</w:t>
      </w:r>
      <w:proofErr w:type="gramEnd"/>
    </w:p>
    <w:p w14:paraId="38B43757" w14:textId="77777777" w:rsidR="00B33E82" w:rsidRPr="00FE1933" w:rsidRDefault="00B33E82" w:rsidP="00714625">
      <w:pPr>
        <w:pStyle w:val="OATbodystyle"/>
        <w:numPr>
          <w:ilvl w:val="2"/>
          <w:numId w:val="7"/>
        </w:numPr>
        <w:spacing w:before="240"/>
        <w:ind w:left="709" w:hanging="709"/>
        <w:rPr>
          <w:rFonts w:ascii="Calibri" w:hAnsi="Calibri" w:cs="Calibri"/>
        </w:rPr>
      </w:pPr>
      <w:r w:rsidRPr="00FE1933">
        <w:rPr>
          <w:rFonts w:ascii="Calibri" w:hAnsi="Calibri" w:cs="Calibri"/>
        </w:rPr>
        <w:t xml:space="preserve"> Fraud - the intentional distortion of financial statements or other records by persons internal and external to the academy, which is carried out to conceal the misappropriation of assets or otherwise for </w:t>
      </w:r>
      <w:proofErr w:type="gramStart"/>
      <w:r w:rsidRPr="00FE1933">
        <w:rPr>
          <w:rFonts w:ascii="Calibri" w:hAnsi="Calibri" w:cs="Calibri"/>
        </w:rPr>
        <w:t>gain;</w:t>
      </w:r>
      <w:proofErr w:type="gramEnd"/>
    </w:p>
    <w:p w14:paraId="74BBDC45" w14:textId="77777777" w:rsidR="00B33E82" w:rsidRPr="00FE1933" w:rsidRDefault="00B33E82" w:rsidP="00714625">
      <w:pPr>
        <w:pStyle w:val="OATbodystyle"/>
        <w:numPr>
          <w:ilvl w:val="2"/>
          <w:numId w:val="7"/>
        </w:numPr>
        <w:spacing w:before="240"/>
        <w:ind w:left="709" w:hanging="709"/>
        <w:rPr>
          <w:rFonts w:ascii="Calibri" w:hAnsi="Calibri" w:cs="Calibri"/>
        </w:rPr>
      </w:pPr>
      <w:r w:rsidRPr="00FE1933">
        <w:rPr>
          <w:rFonts w:ascii="Calibri" w:hAnsi="Calibri" w:cs="Calibri"/>
        </w:rPr>
        <w:t xml:space="preserve"> Bribery and corruption (as covered in the gifts and hospitality policy)- involves the offering or the acceptance of a reward, for performing an act, or for failing to perform an act, which leads to gain for the person offering the inducement:</w:t>
      </w:r>
    </w:p>
    <w:p w14:paraId="65FE30D6" w14:textId="3DE91EBF" w:rsidR="00B33E82" w:rsidRPr="00714625" w:rsidRDefault="00B33E82" w:rsidP="00714625">
      <w:pPr>
        <w:pStyle w:val="OATbodystyle"/>
        <w:numPr>
          <w:ilvl w:val="2"/>
          <w:numId w:val="7"/>
        </w:numPr>
        <w:spacing w:before="240"/>
        <w:ind w:left="709" w:hanging="709"/>
        <w:rPr>
          <w:rFonts w:ascii="Calibri" w:hAnsi="Calibri" w:cs="Calibri"/>
        </w:rPr>
      </w:pPr>
      <w:r w:rsidRPr="00714625">
        <w:rPr>
          <w:rFonts w:ascii="Calibri" w:hAnsi="Calibri" w:cs="Calibri"/>
        </w:rPr>
        <w:lastRenderedPageBreak/>
        <w:t>Failure to observe, or breaches of, scheme of delegation and financial regulations within the academy's procedures which in some circumstances can constitute an irregularity, with potentially significant financial consequences.</w:t>
      </w:r>
    </w:p>
    <w:p w14:paraId="334D5FAD" w14:textId="3F5AF888" w:rsidR="006D1355" w:rsidRPr="00714625" w:rsidRDefault="002B3A39" w:rsidP="00714625">
      <w:pPr>
        <w:pStyle w:val="OATbodystyle"/>
        <w:numPr>
          <w:ilvl w:val="2"/>
          <w:numId w:val="7"/>
        </w:numPr>
        <w:spacing w:before="240"/>
        <w:ind w:left="709" w:hanging="709"/>
        <w:rPr>
          <w:rFonts w:ascii="Calibri" w:hAnsi="Calibri" w:cs="Calibri"/>
        </w:rPr>
      </w:pPr>
      <w:r w:rsidRPr="00714625">
        <w:rPr>
          <w:rFonts w:ascii="Calibri" w:hAnsi="Calibri" w:cs="Calibri"/>
        </w:rPr>
        <w:t>Phishing fraud – this is where fraudsters access</w:t>
      </w:r>
      <w:r w:rsidR="00E6091D" w:rsidRPr="00714625">
        <w:rPr>
          <w:rFonts w:ascii="Calibri" w:hAnsi="Calibri" w:cs="Calibri"/>
        </w:rPr>
        <w:t xml:space="preserve"> valuable personal details such as usernames and </w:t>
      </w:r>
      <w:proofErr w:type="gramStart"/>
      <w:r w:rsidR="00E6091D" w:rsidRPr="00714625">
        <w:rPr>
          <w:rFonts w:ascii="Calibri" w:hAnsi="Calibri" w:cs="Calibri"/>
        </w:rPr>
        <w:t>passwords, and</w:t>
      </w:r>
      <w:proofErr w:type="gramEnd"/>
      <w:r w:rsidR="00E6091D" w:rsidRPr="00714625">
        <w:rPr>
          <w:rFonts w:ascii="Calibri" w:hAnsi="Calibri" w:cs="Calibri"/>
        </w:rPr>
        <w:t xml:space="preserve"> can involve sending malicious attachments</w:t>
      </w:r>
      <w:r w:rsidR="00D35ECC" w:rsidRPr="00714625">
        <w:rPr>
          <w:rFonts w:ascii="Calibri" w:hAnsi="Calibri" w:cs="Calibri"/>
        </w:rPr>
        <w:t xml:space="preserve"> or website links in an attempt to infect computers or mobile devices.</w:t>
      </w:r>
      <w:r w:rsidR="00FA11AA" w:rsidRPr="00714625">
        <w:rPr>
          <w:rFonts w:ascii="Calibri" w:hAnsi="Calibri" w:cs="Calibri"/>
        </w:rPr>
        <w:t xml:space="preserve">  For further details on phishing and for </w:t>
      </w:r>
      <w:proofErr w:type="spellStart"/>
      <w:proofErr w:type="gramStart"/>
      <w:r w:rsidR="00FA11AA" w:rsidRPr="00714625">
        <w:rPr>
          <w:rFonts w:ascii="Calibri" w:hAnsi="Calibri" w:cs="Calibri"/>
        </w:rPr>
        <w:t>advise</w:t>
      </w:r>
      <w:proofErr w:type="spellEnd"/>
      <w:proofErr w:type="gramEnd"/>
      <w:r w:rsidR="00FA11AA" w:rsidRPr="00714625">
        <w:rPr>
          <w:rFonts w:ascii="Calibri" w:hAnsi="Calibri" w:cs="Calibri"/>
        </w:rPr>
        <w:t xml:space="preserve"> on what to do following a possible phishing fraud please refer to the Cyber Strategy.</w:t>
      </w:r>
    </w:p>
    <w:p w14:paraId="63A45FA0" w14:textId="3B180339" w:rsidR="00B33E82" w:rsidRPr="00714625" w:rsidRDefault="00B33E82" w:rsidP="00376F26">
      <w:pPr>
        <w:pStyle w:val="OATbodystyle"/>
        <w:numPr>
          <w:ilvl w:val="2"/>
          <w:numId w:val="7"/>
        </w:numPr>
        <w:spacing w:before="240"/>
        <w:ind w:left="709" w:hanging="709"/>
        <w:rPr>
          <w:rFonts w:ascii="Calibri" w:hAnsi="Calibri" w:cs="Calibri"/>
        </w:rPr>
      </w:pPr>
      <w:r w:rsidRPr="00714625">
        <w:rPr>
          <w:rFonts w:ascii="Calibri" w:hAnsi="Calibri" w:cs="Calibri"/>
        </w:rPr>
        <w:t>Examples of what could constitute fraud and corruption are:</w:t>
      </w:r>
    </w:p>
    <w:p w14:paraId="33F56DD1"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theft of </w:t>
      </w:r>
      <w:proofErr w:type="gramStart"/>
      <w:r w:rsidRPr="00713F3D">
        <w:rPr>
          <w:rFonts w:ascii="Calibri" w:hAnsi="Calibri" w:cs="Calibri"/>
        </w:rPr>
        <w:t>cash;</w:t>
      </w:r>
      <w:proofErr w:type="gramEnd"/>
    </w:p>
    <w:p w14:paraId="6982CBF5"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non-receipt of </w:t>
      </w:r>
      <w:proofErr w:type="gramStart"/>
      <w:r w:rsidRPr="00713F3D">
        <w:rPr>
          <w:rFonts w:ascii="Calibri" w:hAnsi="Calibri" w:cs="Calibri"/>
        </w:rPr>
        <w:t>income;</w:t>
      </w:r>
      <w:proofErr w:type="gramEnd"/>
    </w:p>
    <w:p w14:paraId="59D75875"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substitution of personal cheques for </w:t>
      </w:r>
      <w:proofErr w:type="gramStart"/>
      <w:r w:rsidRPr="00713F3D">
        <w:rPr>
          <w:rFonts w:ascii="Calibri" w:hAnsi="Calibri" w:cs="Calibri"/>
        </w:rPr>
        <w:t>cash;</w:t>
      </w:r>
      <w:proofErr w:type="gramEnd"/>
    </w:p>
    <w:p w14:paraId="35697445"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travelling and subsistence claims for non-existent journeys/</w:t>
      </w:r>
      <w:proofErr w:type="gramStart"/>
      <w:r w:rsidRPr="00713F3D">
        <w:rPr>
          <w:rFonts w:ascii="Calibri" w:hAnsi="Calibri" w:cs="Calibri"/>
        </w:rPr>
        <w:t>events;</w:t>
      </w:r>
      <w:proofErr w:type="gramEnd"/>
    </w:p>
    <w:p w14:paraId="299E46E5" w14:textId="5DD2158E"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travelling and subsistence claims </w:t>
      </w:r>
      <w:proofErr w:type="gramStart"/>
      <w:r w:rsidRPr="00713F3D">
        <w:rPr>
          <w:rFonts w:ascii="Calibri" w:hAnsi="Calibri" w:cs="Calibri"/>
        </w:rPr>
        <w:t>inflated;</w:t>
      </w:r>
      <w:proofErr w:type="gramEnd"/>
    </w:p>
    <w:p w14:paraId="5F91D0F6" w14:textId="1B7F9987" w:rsidR="00391ACA" w:rsidRPr="00713F3D" w:rsidRDefault="00391ACA"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data fraud</w:t>
      </w:r>
      <w:r w:rsidR="00C51095" w:rsidRPr="00713F3D">
        <w:rPr>
          <w:rFonts w:ascii="Calibri" w:hAnsi="Calibri" w:cs="Calibri"/>
        </w:rPr>
        <w:t xml:space="preserve"> – please refer to the data protection </w:t>
      </w:r>
      <w:proofErr w:type="gramStart"/>
      <w:r w:rsidR="00C51095" w:rsidRPr="00713F3D">
        <w:rPr>
          <w:rFonts w:ascii="Calibri" w:hAnsi="Calibri" w:cs="Calibri"/>
        </w:rPr>
        <w:t>policy</w:t>
      </w:r>
      <w:proofErr w:type="gramEnd"/>
    </w:p>
    <w:p w14:paraId="38129223"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manipulating documentation to increase salaries/wages received, </w:t>
      </w:r>
      <w:proofErr w:type="gramStart"/>
      <w:r w:rsidRPr="00713F3D">
        <w:rPr>
          <w:rFonts w:ascii="Calibri" w:hAnsi="Calibri" w:cs="Calibri"/>
        </w:rPr>
        <w:t>e.g.</w:t>
      </w:r>
      <w:proofErr w:type="gramEnd"/>
      <w:r w:rsidRPr="00713F3D">
        <w:rPr>
          <w:rFonts w:ascii="Calibri" w:hAnsi="Calibri" w:cs="Calibri"/>
        </w:rPr>
        <w:t xml:space="preserve"> false overtime claims;</w:t>
      </w:r>
    </w:p>
    <w:p w14:paraId="3B7D257A"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payment of invoices for goods received by an individual rather than the </w:t>
      </w:r>
      <w:proofErr w:type="gramStart"/>
      <w:r w:rsidRPr="00713F3D">
        <w:rPr>
          <w:rFonts w:ascii="Calibri" w:hAnsi="Calibri" w:cs="Calibri"/>
        </w:rPr>
        <w:t>academy;</w:t>
      </w:r>
      <w:proofErr w:type="gramEnd"/>
    </w:p>
    <w:p w14:paraId="4B138E37"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failure to observe, or breaches of, regulations and/or other associated legislation laid down by the </w:t>
      </w:r>
      <w:proofErr w:type="gramStart"/>
      <w:r w:rsidRPr="00713F3D">
        <w:rPr>
          <w:rFonts w:ascii="Calibri" w:hAnsi="Calibri" w:cs="Calibri"/>
        </w:rPr>
        <w:t>academy;</w:t>
      </w:r>
      <w:proofErr w:type="gramEnd"/>
    </w:p>
    <w:p w14:paraId="4843A61A"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unauthorised borrowing of </w:t>
      </w:r>
      <w:proofErr w:type="gramStart"/>
      <w:r w:rsidRPr="00713F3D">
        <w:rPr>
          <w:rFonts w:ascii="Calibri" w:hAnsi="Calibri" w:cs="Calibri"/>
        </w:rPr>
        <w:t>equipment;</w:t>
      </w:r>
      <w:proofErr w:type="gramEnd"/>
    </w:p>
    <w:p w14:paraId="66481048"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breaches of confidentiality regarding </w:t>
      </w:r>
      <w:proofErr w:type="gramStart"/>
      <w:r w:rsidRPr="00713F3D">
        <w:rPr>
          <w:rFonts w:ascii="Calibri" w:hAnsi="Calibri" w:cs="Calibri"/>
        </w:rPr>
        <w:t>information;</w:t>
      </w:r>
      <w:proofErr w:type="gramEnd"/>
    </w:p>
    <w:p w14:paraId="75A57604"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failure to declare a direct pecuniary or otherwise conflicting </w:t>
      </w:r>
      <w:proofErr w:type="gramStart"/>
      <w:r w:rsidRPr="00713F3D">
        <w:rPr>
          <w:rFonts w:ascii="Calibri" w:hAnsi="Calibri" w:cs="Calibri"/>
        </w:rPr>
        <w:t>interest;</w:t>
      </w:r>
      <w:proofErr w:type="gramEnd"/>
    </w:p>
    <w:p w14:paraId="67AD6BD1"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concealing a generous gift or </w:t>
      </w:r>
      <w:proofErr w:type="gramStart"/>
      <w:r w:rsidRPr="00713F3D">
        <w:rPr>
          <w:rFonts w:ascii="Calibri" w:hAnsi="Calibri" w:cs="Calibri"/>
        </w:rPr>
        <w:t>reward;</w:t>
      </w:r>
      <w:proofErr w:type="gramEnd"/>
    </w:p>
    <w:p w14:paraId="030E0E37"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unfairly influencing the award of a </w:t>
      </w:r>
      <w:proofErr w:type="gramStart"/>
      <w:r w:rsidRPr="00713F3D">
        <w:rPr>
          <w:rFonts w:ascii="Calibri" w:hAnsi="Calibri" w:cs="Calibri"/>
        </w:rPr>
        <w:t>contract;</w:t>
      </w:r>
      <w:proofErr w:type="gramEnd"/>
    </w:p>
    <w:p w14:paraId="4D440CED"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 xml:space="preserve">creation of false </w:t>
      </w:r>
      <w:proofErr w:type="gramStart"/>
      <w:r w:rsidRPr="00713F3D">
        <w:rPr>
          <w:rFonts w:ascii="Calibri" w:hAnsi="Calibri" w:cs="Calibri"/>
        </w:rPr>
        <w:t>documents;</w:t>
      </w:r>
      <w:proofErr w:type="gramEnd"/>
    </w:p>
    <w:p w14:paraId="46B0BBBD"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proofErr w:type="gramStart"/>
      <w:r w:rsidRPr="00713F3D">
        <w:rPr>
          <w:rFonts w:ascii="Calibri" w:hAnsi="Calibri" w:cs="Calibri"/>
        </w:rPr>
        <w:t>deception;</w:t>
      </w:r>
      <w:proofErr w:type="gramEnd"/>
    </w:p>
    <w:p w14:paraId="051F11C3" w14:textId="77777777" w:rsidR="00B33E82" w:rsidRPr="00713F3D" w:rsidRDefault="00B33E82" w:rsidP="00713F3D">
      <w:pPr>
        <w:pStyle w:val="OATliststyle"/>
        <w:numPr>
          <w:ilvl w:val="2"/>
          <w:numId w:val="1"/>
        </w:numPr>
        <w:tabs>
          <w:tab w:val="clear" w:pos="284"/>
          <w:tab w:val="left" w:pos="709"/>
        </w:tabs>
        <w:ind w:left="709" w:hanging="425"/>
        <w:rPr>
          <w:rFonts w:ascii="Calibri" w:hAnsi="Calibri" w:cs="Calibri"/>
        </w:rPr>
      </w:pPr>
      <w:r w:rsidRPr="00713F3D">
        <w:rPr>
          <w:rFonts w:ascii="Calibri" w:hAnsi="Calibri" w:cs="Calibri"/>
        </w:rPr>
        <w:t>using position for personal reward.</w:t>
      </w:r>
    </w:p>
    <w:p w14:paraId="574CDE96" w14:textId="06587689" w:rsidR="00B33E82" w:rsidRPr="00713F3D" w:rsidRDefault="00B33E82" w:rsidP="00713F3D">
      <w:pPr>
        <w:pStyle w:val="OATbodystyle"/>
        <w:numPr>
          <w:ilvl w:val="1"/>
          <w:numId w:val="7"/>
        </w:numPr>
        <w:tabs>
          <w:tab w:val="clear" w:pos="284"/>
          <w:tab w:val="left" w:pos="709"/>
        </w:tabs>
        <w:ind w:left="709" w:hanging="709"/>
        <w:rPr>
          <w:rFonts w:ascii="Calibri" w:hAnsi="Calibri" w:cs="Calibri"/>
        </w:rPr>
      </w:pPr>
      <w:r w:rsidRPr="00713F3D">
        <w:rPr>
          <w:rFonts w:ascii="Calibri" w:hAnsi="Calibri" w:cs="Calibri"/>
        </w:rPr>
        <w:t xml:space="preserve">The above list is not </w:t>
      </w:r>
      <w:proofErr w:type="gramStart"/>
      <w:r w:rsidRPr="00713F3D">
        <w:rPr>
          <w:rFonts w:ascii="Calibri" w:hAnsi="Calibri" w:cs="Calibri"/>
        </w:rPr>
        <w:t>exhaustive</w:t>
      </w:r>
      <w:proofErr w:type="gramEnd"/>
      <w:r w:rsidRPr="00713F3D">
        <w:rPr>
          <w:rFonts w:ascii="Calibri" w:hAnsi="Calibri" w:cs="Calibri"/>
        </w:rPr>
        <w:t xml:space="preserve"> and fraud and corruption can take many different paths. If in any doubt about whether a matter is an irregularity or not, clarification must be sought from </w:t>
      </w:r>
      <w:r w:rsidR="0043398A" w:rsidRPr="00713F3D">
        <w:rPr>
          <w:rFonts w:ascii="Calibri" w:hAnsi="Calibri" w:cs="Calibri"/>
        </w:rPr>
        <w:t xml:space="preserve">the </w:t>
      </w:r>
      <w:r w:rsidR="00211452" w:rsidRPr="00713F3D">
        <w:rPr>
          <w:rFonts w:ascii="Calibri" w:hAnsi="Calibri" w:cs="Calibri"/>
        </w:rPr>
        <w:t>Head of Compliance and Reporting.</w:t>
      </w:r>
    </w:p>
    <w:p w14:paraId="4A25681D" w14:textId="12618407" w:rsidR="004B2F4B" w:rsidRPr="00713F3D" w:rsidRDefault="00B33E82" w:rsidP="00713F3D">
      <w:pPr>
        <w:pStyle w:val="OATbodystyle"/>
        <w:numPr>
          <w:ilvl w:val="1"/>
          <w:numId w:val="7"/>
        </w:numPr>
        <w:tabs>
          <w:tab w:val="clear" w:pos="284"/>
          <w:tab w:val="left" w:pos="709"/>
        </w:tabs>
        <w:ind w:left="709" w:hanging="709"/>
        <w:rPr>
          <w:rFonts w:ascii="Calibri" w:hAnsi="Calibri" w:cs="Calibri"/>
        </w:rPr>
      </w:pPr>
      <w:r w:rsidRPr="00713F3D">
        <w:rPr>
          <w:rFonts w:ascii="Calibri" w:hAnsi="Calibri" w:cs="Calibri"/>
        </w:rPr>
        <w:t>Similarly, if there is concern or doubt about any aspect of a matter which involves an irregularity, or an ongoing investigation into a suspected irregularity, the best approach is to seek advice from the Principal</w:t>
      </w:r>
      <w:r w:rsidR="00211452" w:rsidRPr="00713F3D">
        <w:rPr>
          <w:rFonts w:ascii="Calibri" w:hAnsi="Calibri" w:cs="Calibri"/>
        </w:rPr>
        <w:t xml:space="preserve"> and the Head of Compliance and Reporting. </w:t>
      </w:r>
    </w:p>
    <w:p w14:paraId="251CE43B" w14:textId="42380C6C" w:rsidR="00B33E82" w:rsidRPr="009A36B5" w:rsidRDefault="00B33E82" w:rsidP="009A36B5">
      <w:pPr>
        <w:pStyle w:val="OATheader"/>
        <w:numPr>
          <w:ilvl w:val="0"/>
          <w:numId w:val="7"/>
        </w:numPr>
        <w:ind w:left="709" w:hanging="709"/>
        <w:rPr>
          <w:rFonts w:asciiTheme="majorHAnsi" w:eastAsia="MS Mincho" w:hAnsiTheme="majorHAnsi"/>
          <w:sz w:val="36"/>
          <w:szCs w:val="36"/>
        </w:rPr>
      </w:pPr>
      <w:bookmarkStart w:id="2" w:name="_Toc146726359"/>
      <w:r w:rsidRPr="009A36B5">
        <w:rPr>
          <w:rFonts w:asciiTheme="majorHAnsi" w:eastAsia="MS Mincho" w:hAnsiTheme="majorHAnsi"/>
          <w:sz w:val="36"/>
          <w:szCs w:val="36"/>
        </w:rPr>
        <w:t>Policy statement</w:t>
      </w:r>
      <w:bookmarkEnd w:id="2"/>
    </w:p>
    <w:p w14:paraId="606C70AA" w14:textId="77777777" w:rsidR="00B33E82" w:rsidRPr="00713F3D" w:rsidRDefault="00B33E82" w:rsidP="00713F3D">
      <w:pPr>
        <w:pStyle w:val="OATbodystyle"/>
        <w:numPr>
          <w:ilvl w:val="1"/>
          <w:numId w:val="7"/>
        </w:numPr>
        <w:tabs>
          <w:tab w:val="clear" w:pos="284"/>
          <w:tab w:val="left" w:pos="709"/>
        </w:tabs>
        <w:ind w:left="709" w:hanging="709"/>
        <w:rPr>
          <w:rFonts w:ascii="Calibri" w:hAnsi="Calibri" w:cs="Calibri"/>
        </w:rPr>
      </w:pPr>
      <w:r w:rsidRPr="00713F3D">
        <w:rPr>
          <w:rFonts w:ascii="Calibri" w:hAnsi="Calibri" w:cs="Calibri"/>
        </w:rPr>
        <w:t xml:space="preserve">This policy and procedure </w:t>
      </w:r>
      <w:proofErr w:type="gramStart"/>
      <w:r w:rsidRPr="00713F3D">
        <w:rPr>
          <w:rFonts w:ascii="Calibri" w:hAnsi="Calibri" w:cs="Calibri"/>
        </w:rPr>
        <w:t>defines</w:t>
      </w:r>
      <w:proofErr w:type="gramEnd"/>
      <w:r w:rsidRPr="00713F3D">
        <w:rPr>
          <w:rFonts w:ascii="Calibri" w:hAnsi="Calibri" w:cs="Calibri"/>
        </w:rPr>
        <w:t xml:space="preserve"> anti-fraud and offers guidance for all staff in the academy.</w:t>
      </w:r>
    </w:p>
    <w:p w14:paraId="3B2B23AB" w14:textId="77777777" w:rsidR="00B33E82" w:rsidRPr="00713F3D" w:rsidRDefault="00B33E82" w:rsidP="00713F3D">
      <w:pPr>
        <w:pStyle w:val="OATbodystyle"/>
        <w:numPr>
          <w:ilvl w:val="1"/>
          <w:numId w:val="7"/>
        </w:numPr>
        <w:tabs>
          <w:tab w:val="clear" w:pos="284"/>
          <w:tab w:val="left" w:pos="709"/>
        </w:tabs>
        <w:ind w:left="709" w:hanging="709"/>
        <w:rPr>
          <w:rFonts w:ascii="Calibri" w:hAnsi="Calibri" w:cs="Calibri"/>
        </w:rPr>
      </w:pPr>
      <w:r w:rsidRPr="00713F3D">
        <w:rPr>
          <w:rFonts w:ascii="Calibri" w:hAnsi="Calibri" w:cs="Calibri"/>
        </w:rPr>
        <w:t xml:space="preserve">The Trust aims to be an honest and ethical institution.  As such, it is opposed to fraud and seeks to eliminate fraud by the way it conducts academy business.  This document sets out the academy's policy and procedures for dealing with the risk of significant fraud.  </w:t>
      </w:r>
      <w:proofErr w:type="gramStart"/>
      <w:r w:rsidRPr="00713F3D">
        <w:rPr>
          <w:rFonts w:ascii="Calibri" w:hAnsi="Calibri" w:cs="Calibri"/>
        </w:rPr>
        <w:t>In order to</w:t>
      </w:r>
      <w:proofErr w:type="gramEnd"/>
      <w:r w:rsidRPr="00713F3D">
        <w:rPr>
          <w:rFonts w:ascii="Calibri" w:hAnsi="Calibri" w:cs="Calibri"/>
        </w:rPr>
        <w:t xml:space="preserve"> minimise the risk and </w:t>
      </w:r>
      <w:r w:rsidRPr="00713F3D">
        <w:rPr>
          <w:rFonts w:ascii="Calibri" w:hAnsi="Calibri" w:cs="Calibri"/>
        </w:rPr>
        <w:lastRenderedPageBreak/>
        <w:t>impact of fraud, the academy's objectives are, firstly, to create a culture which deters fraudulent activity, encourages its prevention and promotes its detection and reporting and, secondly, to identify and document its response to cases of fraud practices.</w:t>
      </w:r>
    </w:p>
    <w:p w14:paraId="01041EE8" w14:textId="77777777" w:rsidR="00B33E82" w:rsidRPr="00713F3D" w:rsidRDefault="00B33E82" w:rsidP="00713F3D">
      <w:pPr>
        <w:pStyle w:val="OATbodystyle"/>
        <w:numPr>
          <w:ilvl w:val="1"/>
          <w:numId w:val="7"/>
        </w:numPr>
        <w:tabs>
          <w:tab w:val="clear" w:pos="284"/>
          <w:tab w:val="left" w:pos="709"/>
        </w:tabs>
        <w:ind w:left="709" w:hanging="709"/>
        <w:rPr>
          <w:rFonts w:ascii="Calibri" w:hAnsi="Calibri" w:cs="Calibri"/>
        </w:rPr>
      </w:pPr>
      <w:r w:rsidRPr="00713F3D">
        <w:rPr>
          <w:rFonts w:ascii="Calibri" w:hAnsi="Calibri" w:cs="Calibri"/>
        </w:rPr>
        <w:t>This policy, in line with the Trust’s corporate values and best practice, provides both staff and management with mutually understood guidelines for the administration of this procedure.</w:t>
      </w:r>
    </w:p>
    <w:p w14:paraId="16225E36" w14:textId="77777777" w:rsidR="00B33E82" w:rsidRPr="00713F3D" w:rsidRDefault="00B33E82" w:rsidP="00713F3D">
      <w:pPr>
        <w:pStyle w:val="OATbodystyle"/>
        <w:numPr>
          <w:ilvl w:val="1"/>
          <w:numId w:val="7"/>
        </w:numPr>
        <w:tabs>
          <w:tab w:val="clear" w:pos="284"/>
          <w:tab w:val="left" w:pos="709"/>
        </w:tabs>
        <w:ind w:left="709" w:hanging="709"/>
        <w:rPr>
          <w:rFonts w:ascii="Calibri" w:hAnsi="Calibri" w:cs="Calibri"/>
        </w:rPr>
      </w:pPr>
      <w:r w:rsidRPr="00713F3D">
        <w:rPr>
          <w:rFonts w:ascii="Calibri" w:hAnsi="Calibri" w:cs="Calibri"/>
        </w:rPr>
        <w:t xml:space="preserve">The scope of this procedure extends to all academy employees, permanent, </w:t>
      </w:r>
      <w:proofErr w:type="gramStart"/>
      <w:r w:rsidRPr="00713F3D">
        <w:rPr>
          <w:rFonts w:ascii="Calibri" w:hAnsi="Calibri" w:cs="Calibri"/>
        </w:rPr>
        <w:t>voluntary</w:t>
      </w:r>
      <w:proofErr w:type="gramEnd"/>
      <w:r w:rsidRPr="00713F3D">
        <w:rPr>
          <w:rFonts w:ascii="Calibri" w:hAnsi="Calibri" w:cs="Calibri"/>
        </w:rPr>
        <w:t xml:space="preserve"> and fixed term. </w:t>
      </w:r>
    </w:p>
    <w:p w14:paraId="3F84EC60" w14:textId="77777777" w:rsidR="00B33E82" w:rsidRPr="00713F3D" w:rsidRDefault="00B33E82" w:rsidP="00713F3D">
      <w:pPr>
        <w:pStyle w:val="OATbodystyle"/>
        <w:numPr>
          <w:ilvl w:val="1"/>
          <w:numId w:val="7"/>
        </w:numPr>
        <w:tabs>
          <w:tab w:val="clear" w:pos="284"/>
          <w:tab w:val="left" w:pos="709"/>
        </w:tabs>
        <w:ind w:left="709" w:hanging="709"/>
        <w:rPr>
          <w:rFonts w:ascii="Calibri" w:hAnsi="Calibri" w:cs="Calibri"/>
        </w:rPr>
      </w:pPr>
      <w:r w:rsidRPr="00713F3D">
        <w:rPr>
          <w:rFonts w:ascii="Calibri" w:hAnsi="Calibri" w:cs="Calibri"/>
        </w:rPr>
        <w:t>Time limits specified in this document may be extended by mutual agreement.</w:t>
      </w:r>
    </w:p>
    <w:p w14:paraId="572D8B37" w14:textId="1EDF948A" w:rsidR="008B20CD" w:rsidRPr="00713F3D" w:rsidRDefault="00B33E82" w:rsidP="00713F3D">
      <w:pPr>
        <w:pStyle w:val="OATbodystyle"/>
        <w:numPr>
          <w:ilvl w:val="1"/>
          <w:numId w:val="7"/>
        </w:numPr>
        <w:tabs>
          <w:tab w:val="clear" w:pos="284"/>
          <w:tab w:val="left" w:pos="709"/>
        </w:tabs>
        <w:ind w:left="709" w:hanging="709"/>
        <w:rPr>
          <w:rFonts w:ascii="Calibri" w:hAnsi="Calibri" w:cs="Calibri"/>
        </w:rPr>
      </w:pPr>
      <w:r w:rsidRPr="00713F3D">
        <w:rPr>
          <w:rFonts w:ascii="Calibri" w:hAnsi="Calibri" w:cs="Calibri"/>
        </w:rPr>
        <w:t>If requested, employees may be accompanied by a recognised trade union representative or work colleague, not involved in any part of the process, at any interviews.</w:t>
      </w:r>
    </w:p>
    <w:p w14:paraId="1281BDCB" w14:textId="65F8BBC4" w:rsidR="00B33E82" w:rsidRPr="00CC2D4A" w:rsidRDefault="00B33E82" w:rsidP="009A36B5">
      <w:pPr>
        <w:pStyle w:val="OATheader"/>
        <w:numPr>
          <w:ilvl w:val="0"/>
          <w:numId w:val="7"/>
        </w:numPr>
        <w:ind w:left="709" w:hanging="709"/>
        <w:rPr>
          <w:rFonts w:asciiTheme="majorHAnsi" w:eastAsia="MS Mincho" w:hAnsiTheme="majorHAnsi"/>
          <w:sz w:val="36"/>
          <w:szCs w:val="36"/>
        </w:rPr>
      </w:pPr>
      <w:bookmarkStart w:id="3" w:name="_Toc146726360"/>
      <w:r w:rsidRPr="009A36B5">
        <w:rPr>
          <w:rFonts w:asciiTheme="majorHAnsi" w:eastAsia="MS Mincho" w:hAnsiTheme="majorHAnsi"/>
          <w:sz w:val="36"/>
          <w:szCs w:val="36"/>
        </w:rPr>
        <w:t>Roles and Responsibilities:</w:t>
      </w:r>
      <w:bookmarkEnd w:id="3"/>
    </w:p>
    <w:p w14:paraId="165AE273" w14:textId="77777777" w:rsidR="00B33E82" w:rsidRPr="00CE1343" w:rsidRDefault="00B33E82" w:rsidP="00C721FC">
      <w:pPr>
        <w:pStyle w:val="OATsubheader1"/>
        <w:numPr>
          <w:ilvl w:val="1"/>
          <w:numId w:val="7"/>
        </w:numPr>
        <w:tabs>
          <w:tab w:val="clear" w:pos="2800"/>
          <w:tab w:val="left" w:pos="851"/>
        </w:tabs>
        <w:ind w:left="709" w:hanging="709"/>
        <w:rPr>
          <w:rFonts w:asciiTheme="majorHAnsi" w:hAnsiTheme="majorHAnsi" w:cstheme="majorHAnsi"/>
        </w:rPr>
      </w:pPr>
      <w:bookmarkStart w:id="4" w:name="_Toc146726361"/>
      <w:r w:rsidRPr="00CE1343">
        <w:rPr>
          <w:rFonts w:asciiTheme="majorHAnsi" w:hAnsiTheme="majorHAnsi" w:cstheme="majorHAnsi"/>
        </w:rPr>
        <w:t>Staff and Governors</w:t>
      </w:r>
      <w:bookmarkEnd w:id="4"/>
    </w:p>
    <w:p w14:paraId="37AE171E" w14:textId="77777777" w:rsidR="00B33E82" w:rsidRDefault="00B33E82" w:rsidP="00713F3D">
      <w:pPr>
        <w:pStyle w:val="OATbodystyle"/>
        <w:numPr>
          <w:ilvl w:val="2"/>
          <w:numId w:val="7"/>
        </w:numPr>
        <w:spacing w:before="240"/>
        <w:ind w:left="709" w:hanging="709"/>
        <w:rPr>
          <w:rFonts w:ascii="Calibri" w:hAnsi="Calibri" w:cs="Calibri"/>
        </w:rPr>
      </w:pPr>
      <w:r w:rsidRPr="00713F3D">
        <w:rPr>
          <w:rFonts w:ascii="Calibri" w:hAnsi="Calibri" w:cs="Calibri"/>
        </w:rPr>
        <w:t>The Trust has adopted the following measures to demonstrate its commitment to anti-fraud and corruption:</w:t>
      </w:r>
    </w:p>
    <w:p w14:paraId="2CB99C5D" w14:textId="76C70316" w:rsidR="00B33E82" w:rsidRPr="00656533" w:rsidRDefault="00B33E82" w:rsidP="00656533">
      <w:pPr>
        <w:pStyle w:val="OATbodystyle"/>
        <w:numPr>
          <w:ilvl w:val="3"/>
          <w:numId w:val="7"/>
        </w:numPr>
        <w:spacing w:before="240"/>
        <w:ind w:left="709" w:hanging="709"/>
        <w:rPr>
          <w:rFonts w:ascii="Calibri" w:hAnsi="Calibri" w:cs="Calibri"/>
        </w:rPr>
      </w:pPr>
      <w:r w:rsidRPr="00656533">
        <w:rPr>
          <w:rFonts w:ascii="Calibri" w:hAnsi="Calibri" w:cs="Calibri"/>
        </w:rPr>
        <w:t>All boards and committees meet regularly</w:t>
      </w:r>
      <w:r w:rsidR="008D34AD" w:rsidRPr="00656533">
        <w:rPr>
          <w:rFonts w:ascii="Calibri" w:hAnsi="Calibri" w:cs="Calibri"/>
        </w:rPr>
        <w:t xml:space="preserve">.  The Audit and Risk Committee have </w:t>
      </w:r>
      <w:r w:rsidR="00262C2C" w:rsidRPr="00656533">
        <w:rPr>
          <w:rFonts w:ascii="Calibri" w:hAnsi="Calibri" w:cs="Calibri"/>
        </w:rPr>
        <w:t>specific responsibility for fraud</w:t>
      </w:r>
      <w:r w:rsidR="00AC01B9" w:rsidRPr="00656533">
        <w:rPr>
          <w:rFonts w:ascii="Calibri" w:hAnsi="Calibri" w:cs="Calibri"/>
        </w:rPr>
        <w:t>.</w:t>
      </w:r>
      <w:r w:rsidR="008D34AD" w:rsidRPr="00656533">
        <w:rPr>
          <w:rFonts w:ascii="Calibri" w:hAnsi="Calibri" w:cs="Calibri"/>
        </w:rPr>
        <w:t xml:space="preserve"> </w:t>
      </w:r>
    </w:p>
    <w:p w14:paraId="67B053AE" w14:textId="0A2BCA98" w:rsidR="00B33E82" w:rsidRPr="00713F3D" w:rsidRDefault="00B33E82" w:rsidP="00656533">
      <w:pPr>
        <w:pStyle w:val="OATbodystyle"/>
        <w:numPr>
          <w:ilvl w:val="3"/>
          <w:numId w:val="7"/>
        </w:numPr>
        <w:spacing w:before="240"/>
        <w:ind w:left="709" w:hanging="709"/>
        <w:rPr>
          <w:rFonts w:ascii="Calibri" w:hAnsi="Calibri" w:cs="Calibri"/>
        </w:rPr>
      </w:pPr>
      <w:r w:rsidRPr="00713F3D">
        <w:rPr>
          <w:rFonts w:ascii="Calibri" w:hAnsi="Calibri" w:cs="Calibri"/>
        </w:rPr>
        <w:t>A requirement for all staff and governors to declare prejudicial interests and not contribute to business related to that interest</w:t>
      </w:r>
      <w:r w:rsidR="00354EAD" w:rsidRPr="00713F3D">
        <w:rPr>
          <w:rFonts w:ascii="Calibri" w:hAnsi="Calibri" w:cs="Calibri"/>
        </w:rPr>
        <w:t xml:space="preserve">, these should be completed </w:t>
      </w:r>
      <w:r w:rsidR="00156F67" w:rsidRPr="00713F3D">
        <w:rPr>
          <w:rFonts w:ascii="Calibri" w:hAnsi="Calibri" w:cs="Calibri"/>
        </w:rPr>
        <w:t xml:space="preserve">by 30th October each year. </w:t>
      </w:r>
    </w:p>
    <w:p w14:paraId="72872761" w14:textId="40A9C166" w:rsidR="00B33E82" w:rsidRPr="00713F3D" w:rsidRDefault="00B33E82" w:rsidP="00656533">
      <w:pPr>
        <w:pStyle w:val="OATbodystyle"/>
        <w:numPr>
          <w:ilvl w:val="3"/>
          <w:numId w:val="7"/>
        </w:numPr>
        <w:spacing w:before="240"/>
        <w:ind w:left="709" w:hanging="709"/>
        <w:rPr>
          <w:rFonts w:ascii="Calibri" w:hAnsi="Calibri" w:cs="Calibri"/>
        </w:rPr>
      </w:pPr>
      <w:r w:rsidRPr="00713F3D">
        <w:rPr>
          <w:rFonts w:ascii="Calibri" w:hAnsi="Calibri" w:cs="Calibri"/>
        </w:rPr>
        <w:t>A requirement for staff and governors to disclose personal interests</w:t>
      </w:r>
      <w:r w:rsidR="00875920" w:rsidRPr="00713F3D">
        <w:rPr>
          <w:rFonts w:ascii="Calibri" w:hAnsi="Calibri" w:cs="Calibri"/>
        </w:rPr>
        <w:t xml:space="preserve"> by 30th October each year. </w:t>
      </w:r>
    </w:p>
    <w:p w14:paraId="45FEA707" w14:textId="77777777" w:rsidR="00B33E82" w:rsidRPr="00713F3D" w:rsidRDefault="00B33E82" w:rsidP="00656533">
      <w:pPr>
        <w:pStyle w:val="OATbodystyle"/>
        <w:numPr>
          <w:ilvl w:val="3"/>
          <w:numId w:val="7"/>
        </w:numPr>
        <w:spacing w:before="240"/>
        <w:ind w:left="709" w:hanging="709"/>
        <w:rPr>
          <w:rFonts w:ascii="Calibri" w:hAnsi="Calibri" w:cs="Calibri"/>
        </w:rPr>
      </w:pPr>
      <w:r w:rsidRPr="00713F3D">
        <w:rPr>
          <w:rFonts w:ascii="Calibri" w:hAnsi="Calibri" w:cs="Calibri"/>
        </w:rPr>
        <w:t>Clear recruitment policies and procedures.</w:t>
      </w:r>
    </w:p>
    <w:p w14:paraId="555A9BDF" w14:textId="57D20911" w:rsidR="00B33E82" w:rsidRPr="00713F3D" w:rsidRDefault="00B33E82" w:rsidP="00713F3D">
      <w:pPr>
        <w:pStyle w:val="OATbodystyle"/>
        <w:numPr>
          <w:ilvl w:val="2"/>
          <w:numId w:val="7"/>
        </w:numPr>
        <w:spacing w:before="240"/>
        <w:ind w:left="709" w:hanging="709"/>
        <w:rPr>
          <w:rFonts w:ascii="Calibri" w:hAnsi="Calibri" w:cs="Calibri"/>
        </w:rPr>
      </w:pPr>
      <w:r w:rsidRPr="00713F3D">
        <w:rPr>
          <w:rFonts w:ascii="Calibri" w:hAnsi="Calibri" w:cs="Calibri"/>
        </w:rPr>
        <w:t>Staff and governors also have a duty to report another member of staff or governor whose conduct is reasonably believed to represent a failure to comply with the above.</w:t>
      </w:r>
    </w:p>
    <w:p w14:paraId="101A9C2C" w14:textId="77777777" w:rsidR="00B33E82" w:rsidRPr="00CE1343" w:rsidRDefault="00B33E82" w:rsidP="00C721FC">
      <w:pPr>
        <w:pStyle w:val="OATsubheader1"/>
        <w:numPr>
          <w:ilvl w:val="1"/>
          <w:numId w:val="7"/>
        </w:numPr>
        <w:tabs>
          <w:tab w:val="clear" w:pos="2800"/>
          <w:tab w:val="left" w:pos="851"/>
        </w:tabs>
        <w:ind w:left="709" w:hanging="709"/>
        <w:rPr>
          <w:rFonts w:asciiTheme="majorHAnsi" w:hAnsiTheme="majorHAnsi" w:cstheme="majorHAnsi"/>
        </w:rPr>
      </w:pPr>
      <w:bookmarkStart w:id="5" w:name="_Toc146726362"/>
      <w:r w:rsidRPr="00CE1343">
        <w:rPr>
          <w:rFonts w:asciiTheme="majorHAnsi" w:hAnsiTheme="majorHAnsi" w:cstheme="majorHAnsi"/>
        </w:rPr>
        <w:t>Internal Auditors</w:t>
      </w:r>
      <w:bookmarkEnd w:id="5"/>
    </w:p>
    <w:p w14:paraId="67E5F583" w14:textId="0AC8138E" w:rsidR="00B33E82" w:rsidRPr="00713F3D" w:rsidRDefault="00B33E82" w:rsidP="00713F3D">
      <w:pPr>
        <w:pStyle w:val="OATbodystyle"/>
        <w:numPr>
          <w:ilvl w:val="2"/>
          <w:numId w:val="7"/>
        </w:numPr>
        <w:spacing w:before="240"/>
        <w:ind w:left="709" w:hanging="709"/>
        <w:rPr>
          <w:rFonts w:ascii="Calibri" w:hAnsi="Calibri" w:cs="Calibri"/>
        </w:rPr>
      </w:pPr>
      <w:r w:rsidRPr="00713F3D">
        <w:rPr>
          <w:rFonts w:ascii="Calibri" w:hAnsi="Calibri" w:cs="Calibri"/>
        </w:rPr>
        <w:t>The internal auditors ha</w:t>
      </w:r>
      <w:r w:rsidR="00AB1C86" w:rsidRPr="00713F3D">
        <w:rPr>
          <w:rFonts w:ascii="Calibri" w:hAnsi="Calibri" w:cs="Calibri"/>
        </w:rPr>
        <w:t>ve</w:t>
      </w:r>
      <w:r w:rsidRPr="00713F3D">
        <w:rPr>
          <w:rFonts w:ascii="Calibri" w:hAnsi="Calibri" w:cs="Calibri"/>
        </w:rPr>
        <w:t xml:space="preserve"> specific responsibility for overseeing the financial arrangements on behalf of the governors. </w:t>
      </w:r>
    </w:p>
    <w:p w14:paraId="7C087EE6" w14:textId="77777777" w:rsidR="00B33E82" w:rsidRPr="00713F3D" w:rsidRDefault="00B33E82" w:rsidP="00713F3D">
      <w:pPr>
        <w:pStyle w:val="OATbodystyle"/>
        <w:numPr>
          <w:ilvl w:val="2"/>
          <w:numId w:val="7"/>
        </w:numPr>
        <w:spacing w:before="240"/>
        <w:ind w:left="709" w:hanging="709"/>
        <w:rPr>
          <w:rFonts w:ascii="Calibri" w:hAnsi="Calibri" w:cs="Calibri"/>
        </w:rPr>
      </w:pPr>
      <w:r w:rsidRPr="00713F3D">
        <w:rPr>
          <w:rFonts w:ascii="Calibri" w:hAnsi="Calibri" w:cs="Calibri"/>
        </w:rPr>
        <w:t>Some of the main duties of the internal auditors are to provide the governors with on-going independent assurance that:</w:t>
      </w:r>
    </w:p>
    <w:p w14:paraId="6CF9355D" w14:textId="77777777" w:rsidR="00B33E82" w:rsidRPr="00713F3D" w:rsidRDefault="00B33E82" w:rsidP="004B659F">
      <w:pPr>
        <w:pStyle w:val="OATbodystyle"/>
        <w:numPr>
          <w:ilvl w:val="3"/>
          <w:numId w:val="7"/>
        </w:numPr>
        <w:spacing w:before="240"/>
        <w:ind w:left="709" w:hanging="709"/>
        <w:rPr>
          <w:rFonts w:ascii="Calibri" w:hAnsi="Calibri" w:cs="Calibri"/>
        </w:rPr>
      </w:pPr>
      <w:r w:rsidRPr="00713F3D">
        <w:rPr>
          <w:rFonts w:ascii="Calibri" w:hAnsi="Calibri" w:cs="Calibri"/>
        </w:rPr>
        <w:t xml:space="preserve">The financial responsibilities of the governors are being properly </w:t>
      </w:r>
      <w:proofErr w:type="gramStart"/>
      <w:r w:rsidRPr="00713F3D">
        <w:rPr>
          <w:rFonts w:ascii="Calibri" w:hAnsi="Calibri" w:cs="Calibri"/>
        </w:rPr>
        <w:t>discharged;</w:t>
      </w:r>
      <w:proofErr w:type="gramEnd"/>
    </w:p>
    <w:p w14:paraId="2F811BB6" w14:textId="77777777" w:rsidR="00B33E82" w:rsidRPr="00713F3D" w:rsidRDefault="00B33E82" w:rsidP="004B659F">
      <w:pPr>
        <w:pStyle w:val="OATbodystyle"/>
        <w:numPr>
          <w:ilvl w:val="3"/>
          <w:numId w:val="7"/>
        </w:numPr>
        <w:spacing w:before="240"/>
        <w:ind w:left="709" w:hanging="709"/>
        <w:rPr>
          <w:rFonts w:ascii="Calibri" w:hAnsi="Calibri" w:cs="Calibri"/>
        </w:rPr>
      </w:pPr>
      <w:r w:rsidRPr="00713F3D">
        <w:rPr>
          <w:rFonts w:ascii="Calibri" w:hAnsi="Calibri" w:cs="Calibri"/>
        </w:rPr>
        <w:t xml:space="preserve">The resources are being managed in an efficient, economical and effective </w:t>
      </w:r>
      <w:proofErr w:type="gramStart"/>
      <w:r w:rsidRPr="00713F3D">
        <w:rPr>
          <w:rFonts w:ascii="Calibri" w:hAnsi="Calibri" w:cs="Calibri"/>
        </w:rPr>
        <w:t>manner;</w:t>
      </w:r>
      <w:proofErr w:type="gramEnd"/>
    </w:p>
    <w:p w14:paraId="0710D064" w14:textId="77777777" w:rsidR="00B33E82" w:rsidRPr="00713F3D" w:rsidRDefault="00B33E82" w:rsidP="004B659F">
      <w:pPr>
        <w:pStyle w:val="OATbodystyle"/>
        <w:numPr>
          <w:ilvl w:val="3"/>
          <w:numId w:val="7"/>
        </w:numPr>
        <w:spacing w:before="240"/>
        <w:ind w:left="709" w:hanging="709"/>
        <w:rPr>
          <w:rFonts w:ascii="Calibri" w:hAnsi="Calibri" w:cs="Calibri"/>
        </w:rPr>
      </w:pPr>
      <w:r w:rsidRPr="00713F3D">
        <w:rPr>
          <w:rFonts w:ascii="Calibri" w:hAnsi="Calibri" w:cs="Calibri"/>
        </w:rPr>
        <w:t>Sound systems of financial control are being maintained; and</w:t>
      </w:r>
    </w:p>
    <w:p w14:paraId="341D48D9" w14:textId="5D539CA0" w:rsidR="00B33E82" w:rsidRPr="004B659F" w:rsidRDefault="00B33E82" w:rsidP="004B659F">
      <w:pPr>
        <w:pStyle w:val="OATbodystyle"/>
        <w:numPr>
          <w:ilvl w:val="3"/>
          <w:numId w:val="7"/>
        </w:numPr>
        <w:spacing w:before="240"/>
        <w:ind w:left="709" w:hanging="709"/>
        <w:rPr>
          <w:rFonts w:ascii="Calibri" w:hAnsi="Calibri" w:cs="Calibri"/>
        </w:rPr>
      </w:pPr>
      <w:r w:rsidRPr="00713F3D">
        <w:rPr>
          <w:rFonts w:ascii="Calibri" w:hAnsi="Calibri" w:cs="Calibri"/>
        </w:rPr>
        <w:lastRenderedPageBreak/>
        <w:t xml:space="preserve">Financial considerations are fully </w:t>
      </w:r>
      <w:proofErr w:type="gramStart"/>
      <w:r w:rsidRPr="00713F3D">
        <w:rPr>
          <w:rFonts w:ascii="Calibri" w:hAnsi="Calibri" w:cs="Calibri"/>
        </w:rPr>
        <w:t>taken into account</w:t>
      </w:r>
      <w:proofErr w:type="gramEnd"/>
      <w:r w:rsidRPr="00713F3D">
        <w:rPr>
          <w:rFonts w:ascii="Calibri" w:hAnsi="Calibri" w:cs="Calibri"/>
        </w:rPr>
        <w:t xml:space="preserve"> in reaching decisions.</w:t>
      </w:r>
    </w:p>
    <w:p w14:paraId="62807BA8" w14:textId="71A77702" w:rsidR="00B33E82" w:rsidRPr="00CE1343" w:rsidRDefault="00706496" w:rsidP="00C721FC">
      <w:pPr>
        <w:pStyle w:val="OATsubheader1"/>
        <w:numPr>
          <w:ilvl w:val="1"/>
          <w:numId w:val="7"/>
        </w:numPr>
        <w:tabs>
          <w:tab w:val="clear" w:pos="2800"/>
          <w:tab w:val="left" w:pos="851"/>
        </w:tabs>
        <w:ind w:left="709" w:hanging="709"/>
        <w:rPr>
          <w:rFonts w:asciiTheme="majorHAnsi" w:hAnsiTheme="majorHAnsi" w:cstheme="majorHAnsi"/>
        </w:rPr>
      </w:pPr>
      <w:bookmarkStart w:id="6" w:name="_Toc146726363"/>
      <w:r w:rsidRPr="00CE1343">
        <w:rPr>
          <w:rFonts w:asciiTheme="majorHAnsi" w:hAnsiTheme="majorHAnsi" w:cstheme="majorHAnsi"/>
        </w:rPr>
        <w:t xml:space="preserve">National Director of Finance and </w:t>
      </w:r>
      <w:r w:rsidR="00B33E82" w:rsidRPr="00CE1343">
        <w:rPr>
          <w:rFonts w:asciiTheme="majorHAnsi" w:hAnsiTheme="majorHAnsi" w:cstheme="majorHAnsi"/>
        </w:rPr>
        <w:t>Finance Director</w:t>
      </w:r>
      <w:bookmarkEnd w:id="6"/>
    </w:p>
    <w:p w14:paraId="7614B92A" w14:textId="2DBF19FE" w:rsidR="00B33E82" w:rsidRPr="002C5BF5" w:rsidRDefault="00706496" w:rsidP="002C5BF5">
      <w:pPr>
        <w:pStyle w:val="OATbodystyle"/>
        <w:numPr>
          <w:ilvl w:val="2"/>
          <w:numId w:val="7"/>
        </w:numPr>
        <w:spacing w:before="240"/>
        <w:ind w:left="709" w:hanging="709"/>
        <w:rPr>
          <w:rFonts w:ascii="Calibri" w:hAnsi="Calibri" w:cs="Calibri"/>
        </w:rPr>
      </w:pPr>
      <w:r w:rsidRPr="002C5BF5">
        <w:rPr>
          <w:rFonts w:ascii="Calibri" w:hAnsi="Calibri" w:cs="Calibri"/>
        </w:rPr>
        <w:t xml:space="preserve">The National Director of Finance is ultimately responsible for </w:t>
      </w:r>
      <w:r w:rsidR="00B33E82" w:rsidRPr="002C5BF5">
        <w:rPr>
          <w:rFonts w:ascii="Calibri" w:hAnsi="Calibri" w:cs="Calibri"/>
        </w:rPr>
        <w:t xml:space="preserve">ensuring that effective systems of internal controls are maintained </w:t>
      </w:r>
      <w:r w:rsidRPr="002C5BF5">
        <w:rPr>
          <w:rFonts w:ascii="Calibri" w:hAnsi="Calibri" w:cs="Calibri"/>
        </w:rPr>
        <w:t xml:space="preserve">throughout the Trust. The </w:t>
      </w:r>
      <w:r w:rsidR="005D538C" w:rsidRPr="002C5BF5">
        <w:rPr>
          <w:rFonts w:ascii="Calibri" w:hAnsi="Calibri" w:cs="Calibri"/>
        </w:rPr>
        <w:t xml:space="preserve">individual </w:t>
      </w:r>
      <w:r w:rsidR="00AE5992" w:rsidRPr="002C5BF5">
        <w:rPr>
          <w:rFonts w:ascii="Calibri" w:hAnsi="Calibri" w:cs="Calibri"/>
        </w:rPr>
        <w:t>f</w:t>
      </w:r>
      <w:r w:rsidRPr="002C5BF5">
        <w:rPr>
          <w:rFonts w:ascii="Calibri" w:hAnsi="Calibri" w:cs="Calibri"/>
        </w:rPr>
        <w:t>inance</w:t>
      </w:r>
      <w:r w:rsidR="00155072" w:rsidRPr="002C5BF5">
        <w:rPr>
          <w:rFonts w:ascii="Calibri" w:hAnsi="Calibri" w:cs="Calibri"/>
        </w:rPr>
        <w:t xml:space="preserve"> </w:t>
      </w:r>
      <w:r w:rsidR="00AE5992" w:rsidRPr="002C5BF5">
        <w:rPr>
          <w:rFonts w:ascii="Calibri" w:hAnsi="Calibri" w:cs="Calibri"/>
        </w:rPr>
        <w:t>l</w:t>
      </w:r>
      <w:r w:rsidR="00155072" w:rsidRPr="002C5BF5">
        <w:rPr>
          <w:rFonts w:ascii="Calibri" w:hAnsi="Calibri" w:cs="Calibri"/>
        </w:rPr>
        <w:t>eads</w:t>
      </w:r>
      <w:r w:rsidRPr="002C5BF5">
        <w:rPr>
          <w:rFonts w:ascii="Calibri" w:hAnsi="Calibri" w:cs="Calibri"/>
        </w:rPr>
        <w:t xml:space="preserve"> ensure that they are followed at the </w:t>
      </w:r>
      <w:proofErr w:type="gramStart"/>
      <w:r w:rsidRPr="002C5BF5">
        <w:rPr>
          <w:rFonts w:ascii="Calibri" w:hAnsi="Calibri" w:cs="Calibri"/>
        </w:rPr>
        <w:t>academy</w:t>
      </w:r>
      <w:proofErr w:type="gramEnd"/>
      <w:r w:rsidRPr="002C5BF5">
        <w:rPr>
          <w:rFonts w:ascii="Calibri" w:hAnsi="Calibri" w:cs="Calibri"/>
        </w:rPr>
        <w:t xml:space="preserve"> and they also </w:t>
      </w:r>
      <w:r w:rsidR="00B33E82" w:rsidRPr="002C5BF5">
        <w:rPr>
          <w:rFonts w:ascii="Calibri" w:hAnsi="Calibri" w:cs="Calibri"/>
        </w:rPr>
        <w:t>will safeguard the resources of the academy.</w:t>
      </w:r>
    </w:p>
    <w:p w14:paraId="141077FF" w14:textId="1754FAB2" w:rsidR="00B33E82" w:rsidRPr="002C5BF5" w:rsidRDefault="00B33E82" w:rsidP="002C5BF5">
      <w:pPr>
        <w:pStyle w:val="OATbodystyle"/>
        <w:numPr>
          <w:ilvl w:val="2"/>
          <w:numId w:val="7"/>
        </w:numPr>
        <w:spacing w:before="240"/>
        <w:ind w:left="709" w:hanging="709"/>
        <w:rPr>
          <w:rFonts w:ascii="Calibri" w:hAnsi="Calibri" w:cs="Calibri"/>
        </w:rPr>
      </w:pPr>
      <w:r w:rsidRPr="002C5BF5">
        <w:rPr>
          <w:rFonts w:ascii="Calibri" w:hAnsi="Calibri" w:cs="Calibri"/>
        </w:rPr>
        <w:t xml:space="preserve">In respect of </w:t>
      </w:r>
      <w:proofErr w:type="gramStart"/>
      <w:r w:rsidRPr="002C5BF5">
        <w:rPr>
          <w:rFonts w:ascii="Calibri" w:hAnsi="Calibri" w:cs="Calibri"/>
        </w:rPr>
        <w:t>fraud</w:t>
      </w:r>
      <w:proofErr w:type="gramEnd"/>
      <w:r w:rsidRPr="002C5BF5">
        <w:rPr>
          <w:rFonts w:ascii="Calibri" w:hAnsi="Calibri" w:cs="Calibri"/>
        </w:rPr>
        <w:t xml:space="preserve"> it is the responsibility of the </w:t>
      </w:r>
      <w:r w:rsidR="00706496" w:rsidRPr="002C5BF5">
        <w:rPr>
          <w:rFonts w:ascii="Calibri" w:hAnsi="Calibri" w:cs="Calibri"/>
        </w:rPr>
        <w:t>National Director of F</w:t>
      </w:r>
      <w:r w:rsidRPr="002C5BF5">
        <w:rPr>
          <w:rFonts w:ascii="Calibri" w:hAnsi="Calibri" w:cs="Calibri"/>
        </w:rPr>
        <w:t>inance to ensure internal controls prevent and detect any frauds promptly.</w:t>
      </w:r>
      <w:r w:rsidR="00706496" w:rsidRPr="002C5BF5">
        <w:rPr>
          <w:rFonts w:ascii="Calibri" w:hAnsi="Calibri" w:cs="Calibri"/>
        </w:rPr>
        <w:t xml:space="preserve">  The</w:t>
      </w:r>
      <w:r w:rsidR="00155072" w:rsidRPr="002C5BF5">
        <w:rPr>
          <w:rFonts w:ascii="Calibri" w:hAnsi="Calibri" w:cs="Calibri"/>
        </w:rPr>
        <w:t xml:space="preserve"> individual finance leads</w:t>
      </w:r>
      <w:r w:rsidR="00706496" w:rsidRPr="002C5BF5">
        <w:rPr>
          <w:rFonts w:ascii="Calibri" w:hAnsi="Calibri" w:cs="Calibri"/>
        </w:rPr>
        <w:t xml:space="preserve"> will then ensure that these are internal controls are in place at the academy and that appropriate segregation of duties are </w:t>
      </w:r>
      <w:proofErr w:type="gramStart"/>
      <w:r w:rsidR="00706496" w:rsidRPr="002C5BF5">
        <w:rPr>
          <w:rFonts w:ascii="Calibri" w:hAnsi="Calibri" w:cs="Calibri"/>
        </w:rPr>
        <w:t>maintained at all times</w:t>
      </w:r>
      <w:proofErr w:type="gramEnd"/>
      <w:r w:rsidR="00706496" w:rsidRPr="002C5BF5">
        <w:rPr>
          <w:rFonts w:ascii="Calibri" w:hAnsi="Calibri" w:cs="Calibri"/>
        </w:rPr>
        <w:t>.</w:t>
      </w:r>
      <w:r w:rsidRPr="002C5BF5">
        <w:rPr>
          <w:rFonts w:ascii="Calibri" w:hAnsi="Calibri" w:cs="Calibri"/>
        </w:rPr>
        <w:t xml:space="preserve">  </w:t>
      </w:r>
    </w:p>
    <w:p w14:paraId="7302FD79" w14:textId="0C37D811" w:rsidR="00706496" w:rsidRPr="002C5BF5" w:rsidRDefault="00706496" w:rsidP="002C5BF5">
      <w:pPr>
        <w:pStyle w:val="OATbodystyle"/>
        <w:numPr>
          <w:ilvl w:val="2"/>
          <w:numId w:val="7"/>
        </w:numPr>
        <w:spacing w:before="240"/>
        <w:ind w:left="709" w:hanging="709"/>
        <w:rPr>
          <w:rFonts w:ascii="Calibri" w:hAnsi="Calibri" w:cs="Calibri"/>
        </w:rPr>
      </w:pPr>
      <w:r w:rsidRPr="002C5BF5">
        <w:rPr>
          <w:rFonts w:ascii="Calibri" w:hAnsi="Calibri" w:cs="Calibri"/>
        </w:rPr>
        <w:t>It therefore needs to be ensured that the following are in place</w:t>
      </w:r>
      <w:r w:rsidR="0048445B" w:rsidRPr="002C5BF5">
        <w:rPr>
          <w:rFonts w:ascii="Calibri" w:hAnsi="Calibri" w:cs="Calibri"/>
        </w:rPr>
        <w:t>:</w:t>
      </w:r>
    </w:p>
    <w:p w14:paraId="56D82F4D" w14:textId="77777777" w:rsidR="00B33E82" w:rsidRPr="002C5BF5" w:rsidRDefault="00B33E82" w:rsidP="00E212AC">
      <w:pPr>
        <w:pStyle w:val="OATbodystyle"/>
        <w:numPr>
          <w:ilvl w:val="3"/>
          <w:numId w:val="7"/>
        </w:numPr>
        <w:spacing w:before="240"/>
        <w:ind w:left="709" w:hanging="709"/>
        <w:rPr>
          <w:rFonts w:ascii="Calibri" w:hAnsi="Calibri" w:cs="Calibri"/>
        </w:rPr>
      </w:pPr>
      <w:r w:rsidRPr="002C5BF5">
        <w:rPr>
          <w:rFonts w:ascii="Calibri" w:hAnsi="Calibri" w:cs="Calibri"/>
        </w:rPr>
        <w:t xml:space="preserve">Proper procedures and financial </w:t>
      </w:r>
      <w:proofErr w:type="gramStart"/>
      <w:r w:rsidRPr="002C5BF5">
        <w:rPr>
          <w:rFonts w:ascii="Calibri" w:hAnsi="Calibri" w:cs="Calibri"/>
        </w:rPr>
        <w:t>systems;</w:t>
      </w:r>
      <w:proofErr w:type="gramEnd"/>
    </w:p>
    <w:p w14:paraId="3E9B899E" w14:textId="77777777" w:rsidR="00B33E82" w:rsidRPr="002C5BF5" w:rsidRDefault="00B33E82" w:rsidP="00E212AC">
      <w:pPr>
        <w:pStyle w:val="OATbodystyle"/>
        <w:numPr>
          <w:ilvl w:val="3"/>
          <w:numId w:val="7"/>
        </w:numPr>
        <w:spacing w:before="240"/>
        <w:ind w:left="709" w:hanging="709"/>
        <w:rPr>
          <w:rFonts w:ascii="Calibri" w:hAnsi="Calibri" w:cs="Calibri"/>
        </w:rPr>
      </w:pPr>
      <w:r w:rsidRPr="002C5BF5">
        <w:rPr>
          <w:rFonts w:ascii="Calibri" w:hAnsi="Calibri" w:cs="Calibri"/>
        </w:rPr>
        <w:t xml:space="preserve">Effective management of financial </w:t>
      </w:r>
      <w:proofErr w:type="gramStart"/>
      <w:r w:rsidRPr="002C5BF5">
        <w:rPr>
          <w:rFonts w:ascii="Calibri" w:hAnsi="Calibri" w:cs="Calibri"/>
        </w:rPr>
        <w:t>records;</w:t>
      </w:r>
      <w:proofErr w:type="gramEnd"/>
    </w:p>
    <w:p w14:paraId="18D638BF" w14:textId="13AF56BA" w:rsidR="00B33E82" w:rsidRPr="002C5BF5" w:rsidRDefault="00B33E82" w:rsidP="00E212AC">
      <w:pPr>
        <w:pStyle w:val="OATbodystyle"/>
        <w:numPr>
          <w:ilvl w:val="3"/>
          <w:numId w:val="7"/>
        </w:numPr>
        <w:spacing w:before="240"/>
        <w:ind w:left="709" w:hanging="709"/>
        <w:rPr>
          <w:rFonts w:ascii="Calibri" w:hAnsi="Calibri" w:cs="Calibri"/>
        </w:rPr>
      </w:pPr>
      <w:r w:rsidRPr="002C5BF5">
        <w:rPr>
          <w:rFonts w:ascii="Calibri" w:hAnsi="Calibri" w:cs="Calibri"/>
        </w:rPr>
        <w:t>Management of the academy’s financial position.</w:t>
      </w:r>
    </w:p>
    <w:p w14:paraId="6D4BB08E" w14:textId="77777777" w:rsidR="00B33E82" w:rsidRPr="00CE1343" w:rsidRDefault="00B33E82" w:rsidP="00C721FC">
      <w:pPr>
        <w:pStyle w:val="OATsubheader1"/>
        <w:numPr>
          <w:ilvl w:val="1"/>
          <w:numId w:val="7"/>
        </w:numPr>
        <w:tabs>
          <w:tab w:val="clear" w:pos="2800"/>
          <w:tab w:val="left" w:pos="851"/>
        </w:tabs>
        <w:ind w:left="709" w:hanging="709"/>
        <w:rPr>
          <w:rFonts w:asciiTheme="majorHAnsi" w:hAnsiTheme="majorHAnsi" w:cstheme="majorHAnsi"/>
        </w:rPr>
      </w:pPr>
      <w:bookmarkStart w:id="7" w:name="_Toc146726364"/>
      <w:r w:rsidRPr="00CE1343">
        <w:rPr>
          <w:rFonts w:asciiTheme="majorHAnsi" w:hAnsiTheme="majorHAnsi" w:cstheme="majorHAnsi"/>
        </w:rPr>
        <w:t>External Auditors</w:t>
      </w:r>
      <w:bookmarkEnd w:id="7"/>
    </w:p>
    <w:p w14:paraId="103BDE9E" w14:textId="722F39A0" w:rsidR="00B33E82" w:rsidRPr="002C5BF5" w:rsidRDefault="00B33E82" w:rsidP="002C5BF5">
      <w:pPr>
        <w:pStyle w:val="OATbodystyle"/>
        <w:numPr>
          <w:ilvl w:val="2"/>
          <w:numId w:val="7"/>
        </w:numPr>
        <w:spacing w:before="240"/>
        <w:ind w:left="709" w:hanging="709"/>
        <w:rPr>
          <w:rFonts w:ascii="Calibri" w:hAnsi="Calibri" w:cs="Calibri"/>
        </w:rPr>
      </w:pPr>
      <w:r w:rsidRPr="002C5BF5">
        <w:rPr>
          <w:rFonts w:ascii="Calibri" w:hAnsi="Calibri" w:cs="Calibri"/>
        </w:rPr>
        <w:t xml:space="preserve">The academy’s annual report and financial statements include an independent auditors’ report.  This report includes a view as to whether the financial statements give a true and fair view and whether proper accounting records have been kept by the academy throughout the financial year.  In addition, it reports on compliance with the accounting requirements of the relevant companies act and confirms compliance with the financial reporting and annual accounting requirements issued by the Department of Education. </w:t>
      </w:r>
    </w:p>
    <w:p w14:paraId="63D803BA" w14:textId="3ACB6707" w:rsidR="00B33E82" w:rsidRPr="00CC2D4A" w:rsidRDefault="00B33E82" w:rsidP="009A36B5">
      <w:pPr>
        <w:pStyle w:val="OATheader"/>
        <w:numPr>
          <w:ilvl w:val="0"/>
          <w:numId w:val="7"/>
        </w:numPr>
        <w:ind w:left="709" w:hanging="709"/>
        <w:rPr>
          <w:rFonts w:asciiTheme="majorHAnsi" w:eastAsia="MS Mincho" w:hAnsiTheme="majorHAnsi"/>
          <w:sz w:val="36"/>
          <w:szCs w:val="36"/>
        </w:rPr>
      </w:pPr>
      <w:bookmarkStart w:id="8" w:name="_Toc146726365"/>
      <w:r w:rsidRPr="009A36B5">
        <w:rPr>
          <w:rFonts w:asciiTheme="majorHAnsi" w:eastAsia="MS Mincho" w:hAnsiTheme="majorHAnsi"/>
          <w:sz w:val="36"/>
          <w:szCs w:val="36"/>
        </w:rPr>
        <w:t>Confidentiality and Safeguards</w:t>
      </w:r>
      <w:bookmarkEnd w:id="8"/>
    </w:p>
    <w:p w14:paraId="7113D67A" w14:textId="77777777" w:rsidR="00B33E82" w:rsidRPr="002C5BF5" w:rsidRDefault="00B33E82" w:rsidP="002C5BF5">
      <w:pPr>
        <w:pStyle w:val="OATbodystyle"/>
        <w:numPr>
          <w:ilvl w:val="1"/>
          <w:numId w:val="7"/>
        </w:numPr>
        <w:tabs>
          <w:tab w:val="clear" w:pos="284"/>
          <w:tab w:val="left" w:pos="709"/>
        </w:tabs>
        <w:ind w:left="709" w:hanging="709"/>
        <w:rPr>
          <w:rFonts w:ascii="Calibri" w:hAnsi="Calibri" w:cs="Calibri"/>
        </w:rPr>
      </w:pPr>
      <w:r w:rsidRPr="002C5BF5">
        <w:rPr>
          <w:rFonts w:ascii="Calibri" w:hAnsi="Calibri" w:cs="Calibri"/>
        </w:rPr>
        <w:t>OAT recognises that the decision to report a concern can be a difficult one to make, not least because of the fear of reprisal from those responsible for the alleged malpractice. The academy will not tolerate harassment or victimisation and will do what it lawfully can to protect an individual when a concern is raised in good faith.</w:t>
      </w:r>
    </w:p>
    <w:p w14:paraId="2117F358" w14:textId="77777777" w:rsidR="00B33E82" w:rsidRPr="002C5BF5" w:rsidRDefault="00B33E82" w:rsidP="002C5BF5">
      <w:pPr>
        <w:pStyle w:val="OATbodystyle"/>
        <w:numPr>
          <w:ilvl w:val="1"/>
          <w:numId w:val="7"/>
        </w:numPr>
        <w:tabs>
          <w:tab w:val="clear" w:pos="284"/>
          <w:tab w:val="left" w:pos="709"/>
        </w:tabs>
        <w:ind w:left="709" w:hanging="709"/>
        <w:rPr>
          <w:rFonts w:ascii="Calibri" w:hAnsi="Calibri" w:cs="Calibri"/>
        </w:rPr>
      </w:pPr>
      <w:r w:rsidRPr="002C5BF5">
        <w:rPr>
          <w:rFonts w:ascii="Calibri" w:hAnsi="Calibri" w:cs="Calibri"/>
        </w:rPr>
        <w:t xml:space="preserve">This does not mean that if the person raising the concern is already the subject of a disciplinary, redundancy or other procedure, that those procedures will be halted </w:t>
      </w:r>
      <w:proofErr w:type="gramStart"/>
      <w:r w:rsidRPr="002C5BF5">
        <w:rPr>
          <w:rFonts w:ascii="Calibri" w:hAnsi="Calibri" w:cs="Calibri"/>
        </w:rPr>
        <w:t>as a result of</w:t>
      </w:r>
      <w:proofErr w:type="gramEnd"/>
      <w:r w:rsidRPr="002C5BF5">
        <w:rPr>
          <w:rFonts w:ascii="Calibri" w:hAnsi="Calibri" w:cs="Calibri"/>
        </w:rPr>
        <w:t xml:space="preserve"> the concern being reported.</w:t>
      </w:r>
    </w:p>
    <w:p w14:paraId="441595F2" w14:textId="109217B9" w:rsidR="00B33E82" w:rsidRPr="002C5BF5" w:rsidRDefault="00B33E82" w:rsidP="002C5BF5">
      <w:pPr>
        <w:pStyle w:val="OATbodystyle"/>
        <w:numPr>
          <w:ilvl w:val="1"/>
          <w:numId w:val="7"/>
        </w:numPr>
        <w:tabs>
          <w:tab w:val="clear" w:pos="284"/>
          <w:tab w:val="left" w:pos="709"/>
        </w:tabs>
        <w:ind w:left="709" w:hanging="709"/>
        <w:rPr>
          <w:rFonts w:ascii="Calibri" w:hAnsi="Calibri" w:cs="Calibri"/>
        </w:rPr>
      </w:pPr>
      <w:r w:rsidRPr="002C5BF5">
        <w:rPr>
          <w:rFonts w:ascii="Calibri" w:hAnsi="Calibri" w:cs="Calibri"/>
        </w:rPr>
        <w:t>There is a need to ensure that the process is not misused.  For further guidance refer to the staff disciplinary policy.</w:t>
      </w:r>
    </w:p>
    <w:p w14:paraId="0B264234" w14:textId="2BA424FF" w:rsidR="00B33E82" w:rsidRPr="00CC2D4A" w:rsidRDefault="00B33E82" w:rsidP="009A36B5">
      <w:pPr>
        <w:pStyle w:val="OATheader"/>
        <w:numPr>
          <w:ilvl w:val="0"/>
          <w:numId w:val="7"/>
        </w:numPr>
        <w:ind w:left="709" w:hanging="709"/>
        <w:rPr>
          <w:rFonts w:asciiTheme="majorHAnsi" w:eastAsia="MS Mincho" w:hAnsiTheme="majorHAnsi"/>
          <w:sz w:val="36"/>
          <w:szCs w:val="36"/>
        </w:rPr>
      </w:pPr>
      <w:bookmarkStart w:id="9" w:name="_Toc146726366"/>
      <w:r w:rsidRPr="009A36B5">
        <w:rPr>
          <w:rFonts w:asciiTheme="majorHAnsi" w:eastAsia="MS Mincho" w:hAnsiTheme="majorHAnsi"/>
          <w:sz w:val="36"/>
          <w:szCs w:val="36"/>
        </w:rPr>
        <w:lastRenderedPageBreak/>
        <w:t>Links with other Policies</w:t>
      </w:r>
      <w:bookmarkEnd w:id="9"/>
    </w:p>
    <w:p w14:paraId="55C67DD6" w14:textId="77777777" w:rsidR="00B33E82" w:rsidRPr="002C5BF5" w:rsidRDefault="00B33E82" w:rsidP="002C5BF5">
      <w:pPr>
        <w:pStyle w:val="OATbodystyle"/>
        <w:numPr>
          <w:ilvl w:val="1"/>
          <w:numId w:val="7"/>
        </w:numPr>
        <w:tabs>
          <w:tab w:val="clear" w:pos="284"/>
          <w:tab w:val="left" w:pos="709"/>
        </w:tabs>
        <w:ind w:left="709" w:hanging="709"/>
        <w:rPr>
          <w:rFonts w:ascii="Calibri" w:hAnsi="Calibri" w:cs="Calibri"/>
        </w:rPr>
      </w:pPr>
      <w:r w:rsidRPr="002C5BF5">
        <w:rPr>
          <w:rFonts w:ascii="Calibri" w:hAnsi="Calibri" w:cs="Calibri"/>
        </w:rPr>
        <w:t>The governing board is committed to preventing fraud and corruption. To help achieve this objective there is a clear network of systems and procedures in place for the prevention, detection and investigation of fraud and corruption. This anti-fraud policy attempts to consolidate those in one document and should be read in conjunction with the following academy policies:</w:t>
      </w:r>
    </w:p>
    <w:p w14:paraId="3AD65661" w14:textId="77777777" w:rsidR="00B33E82" w:rsidRPr="002C5BF5" w:rsidRDefault="00B33E82" w:rsidP="002C5BF5">
      <w:pPr>
        <w:pStyle w:val="OATbodystyle"/>
        <w:numPr>
          <w:ilvl w:val="2"/>
          <w:numId w:val="7"/>
        </w:numPr>
        <w:spacing w:before="240"/>
        <w:ind w:left="709" w:hanging="709"/>
        <w:rPr>
          <w:rFonts w:ascii="Calibri" w:hAnsi="Calibri" w:cs="Calibri"/>
        </w:rPr>
      </w:pPr>
      <w:r w:rsidRPr="002C5BF5">
        <w:rPr>
          <w:rFonts w:ascii="Calibri" w:hAnsi="Calibri" w:cs="Calibri"/>
        </w:rPr>
        <w:t xml:space="preserve">Whistle-Blowing Policy </w:t>
      </w:r>
    </w:p>
    <w:p w14:paraId="4BBCA6B2" w14:textId="77777777" w:rsidR="00B33E82" w:rsidRPr="002C5BF5" w:rsidRDefault="00B33E82" w:rsidP="002C5BF5">
      <w:pPr>
        <w:pStyle w:val="OATbodystyle"/>
        <w:numPr>
          <w:ilvl w:val="2"/>
          <w:numId w:val="7"/>
        </w:numPr>
        <w:spacing w:before="240"/>
        <w:ind w:left="709" w:hanging="709"/>
        <w:rPr>
          <w:rFonts w:ascii="Calibri" w:hAnsi="Calibri" w:cs="Calibri"/>
        </w:rPr>
      </w:pPr>
      <w:r w:rsidRPr="002C5BF5">
        <w:rPr>
          <w:rFonts w:ascii="Calibri" w:hAnsi="Calibri" w:cs="Calibri"/>
        </w:rPr>
        <w:t>Financial Regulations</w:t>
      </w:r>
    </w:p>
    <w:p w14:paraId="1F53E43E" w14:textId="77777777" w:rsidR="00B33E82" w:rsidRPr="002C5BF5" w:rsidRDefault="00B33E82" w:rsidP="002C5BF5">
      <w:pPr>
        <w:pStyle w:val="OATbodystyle"/>
        <w:numPr>
          <w:ilvl w:val="2"/>
          <w:numId w:val="7"/>
        </w:numPr>
        <w:spacing w:before="240"/>
        <w:ind w:left="709" w:hanging="709"/>
        <w:rPr>
          <w:rFonts w:ascii="Calibri" w:hAnsi="Calibri" w:cs="Calibri"/>
        </w:rPr>
      </w:pPr>
      <w:r w:rsidRPr="002C5BF5">
        <w:rPr>
          <w:rFonts w:ascii="Calibri" w:hAnsi="Calibri" w:cs="Calibri"/>
        </w:rPr>
        <w:t xml:space="preserve">Staff Disciplinary Policy </w:t>
      </w:r>
    </w:p>
    <w:p w14:paraId="7067CF60" w14:textId="77777777" w:rsidR="00B33E82" w:rsidRPr="002C5BF5" w:rsidRDefault="00B33E82" w:rsidP="002C5BF5">
      <w:pPr>
        <w:pStyle w:val="OATbodystyle"/>
        <w:numPr>
          <w:ilvl w:val="2"/>
          <w:numId w:val="7"/>
        </w:numPr>
        <w:spacing w:before="240"/>
        <w:ind w:left="709" w:hanging="709"/>
        <w:rPr>
          <w:rFonts w:ascii="Calibri" w:hAnsi="Calibri" w:cs="Calibri"/>
        </w:rPr>
      </w:pPr>
      <w:r w:rsidRPr="002C5BF5">
        <w:rPr>
          <w:rFonts w:ascii="Calibri" w:hAnsi="Calibri" w:cs="Calibri"/>
        </w:rPr>
        <w:t>Equality Policy</w:t>
      </w:r>
    </w:p>
    <w:p w14:paraId="598B8032" w14:textId="2422A9C6" w:rsidR="00B33E82" w:rsidRPr="002C5BF5" w:rsidRDefault="004304F0" w:rsidP="002C5BF5">
      <w:pPr>
        <w:pStyle w:val="OATbodystyle"/>
        <w:numPr>
          <w:ilvl w:val="2"/>
          <w:numId w:val="7"/>
        </w:numPr>
        <w:spacing w:before="240"/>
        <w:ind w:left="709" w:hanging="709"/>
        <w:rPr>
          <w:rFonts w:ascii="Calibri" w:hAnsi="Calibri" w:cs="Calibri"/>
        </w:rPr>
      </w:pPr>
      <w:r w:rsidRPr="002C5BF5">
        <w:rPr>
          <w:rFonts w:ascii="Calibri" w:hAnsi="Calibri" w:cs="Calibri"/>
        </w:rPr>
        <w:t>Data protection</w:t>
      </w:r>
      <w:r w:rsidR="00B33E82" w:rsidRPr="002C5BF5">
        <w:rPr>
          <w:rFonts w:ascii="Calibri" w:hAnsi="Calibri" w:cs="Calibri"/>
        </w:rPr>
        <w:t xml:space="preserve"> policy</w:t>
      </w:r>
    </w:p>
    <w:p w14:paraId="07991045" w14:textId="4D550500" w:rsidR="00AD77EA" w:rsidRDefault="0091388C" w:rsidP="002C5BF5">
      <w:pPr>
        <w:pStyle w:val="OATbodystyle"/>
        <w:numPr>
          <w:ilvl w:val="2"/>
          <w:numId w:val="7"/>
        </w:numPr>
        <w:spacing w:before="240"/>
        <w:ind w:left="709" w:hanging="709"/>
        <w:rPr>
          <w:rFonts w:ascii="Calibri" w:hAnsi="Calibri" w:cs="Calibri"/>
        </w:rPr>
      </w:pPr>
      <w:r w:rsidRPr="002C5BF5">
        <w:rPr>
          <w:rFonts w:ascii="Calibri" w:hAnsi="Calibri" w:cs="Calibri"/>
        </w:rPr>
        <w:t>Gifts and Hospitality Policy</w:t>
      </w:r>
    </w:p>
    <w:p w14:paraId="67B3C9C1" w14:textId="308F26C5" w:rsidR="00AD77EA" w:rsidRPr="00AD77EA" w:rsidRDefault="00AD77EA" w:rsidP="00566B99">
      <w:pPr>
        <w:rPr>
          <w:rFonts w:ascii="Calibri" w:hAnsi="Calibri" w:cs="Calibri"/>
          <w:sz w:val="20"/>
          <w:szCs w:val="20"/>
          <w:lang w:val="en-US"/>
        </w:rPr>
      </w:pPr>
      <w:r>
        <w:rPr>
          <w:rFonts w:ascii="Calibri" w:hAnsi="Calibri" w:cs="Calibri"/>
        </w:rPr>
        <w:br w:type="page"/>
      </w:r>
    </w:p>
    <w:p w14:paraId="48F21737" w14:textId="77777777" w:rsidR="00AD77EA" w:rsidRDefault="0087351C" w:rsidP="003763AD">
      <w:pPr>
        <w:pStyle w:val="OATheader"/>
        <w:rPr>
          <w:rFonts w:asciiTheme="majorHAnsi" w:eastAsia="MS Mincho" w:hAnsiTheme="majorHAnsi" w:cstheme="majorHAnsi"/>
          <w:sz w:val="36"/>
          <w:szCs w:val="36"/>
        </w:rPr>
      </w:pPr>
      <w:bookmarkStart w:id="10" w:name="_Toc146726367"/>
      <w:r w:rsidRPr="003763AD">
        <w:rPr>
          <w:rFonts w:asciiTheme="majorHAnsi" w:eastAsia="MS Mincho" w:hAnsiTheme="majorHAnsi" w:cstheme="majorHAnsi"/>
          <w:sz w:val="36"/>
          <w:szCs w:val="36"/>
        </w:rPr>
        <w:lastRenderedPageBreak/>
        <w:t>Appendix 1</w:t>
      </w:r>
      <w:bookmarkEnd w:id="10"/>
      <w:r w:rsidRPr="003763AD">
        <w:rPr>
          <w:rFonts w:asciiTheme="majorHAnsi" w:eastAsia="MS Mincho" w:hAnsiTheme="majorHAnsi" w:cstheme="majorHAnsi"/>
          <w:sz w:val="36"/>
          <w:szCs w:val="36"/>
        </w:rPr>
        <w:t xml:space="preserve"> </w:t>
      </w:r>
    </w:p>
    <w:p w14:paraId="3B280D4A" w14:textId="1FF30421" w:rsidR="00F450A9" w:rsidRDefault="0087351C" w:rsidP="00AD77EA">
      <w:pPr>
        <w:pStyle w:val="OATsubheader1"/>
        <w:rPr>
          <w:sz w:val="28"/>
          <w:szCs w:val="28"/>
        </w:rPr>
      </w:pPr>
      <w:bookmarkStart w:id="11" w:name="_Toc146726368"/>
      <w:r w:rsidRPr="00701672">
        <w:rPr>
          <w:sz w:val="28"/>
          <w:szCs w:val="28"/>
        </w:rPr>
        <w:t>Fraud response plan</w:t>
      </w:r>
      <w:bookmarkEnd w:id="11"/>
    </w:p>
    <w:p w14:paraId="3D0C4B7C" w14:textId="77777777" w:rsidR="004604BD" w:rsidRPr="00701672" w:rsidRDefault="004604BD" w:rsidP="00AD77EA">
      <w:pPr>
        <w:pStyle w:val="OATsubheader1"/>
        <w:rPr>
          <w:sz w:val="28"/>
          <w:szCs w:val="28"/>
        </w:rPr>
      </w:pPr>
    </w:p>
    <w:p w14:paraId="12BAD0EE" w14:textId="337BF20B" w:rsidR="00A74A10" w:rsidRPr="00CE1343" w:rsidRDefault="00F450A9" w:rsidP="0013375D">
      <w:pPr>
        <w:rPr>
          <w:rFonts w:asciiTheme="majorHAnsi" w:hAnsiTheme="majorHAnsi" w:cstheme="majorHAnsi"/>
          <w:sz w:val="20"/>
          <w:szCs w:val="20"/>
        </w:rPr>
      </w:pPr>
      <w:r w:rsidRPr="00CE1343">
        <w:rPr>
          <w:rFonts w:asciiTheme="majorHAnsi" w:hAnsiTheme="majorHAnsi" w:cstheme="majorHAnsi"/>
          <w:sz w:val="20"/>
          <w:szCs w:val="20"/>
        </w:rPr>
        <w:t xml:space="preserve">The purpose of </w:t>
      </w:r>
      <w:r w:rsidR="00F81010" w:rsidRPr="00CE1343">
        <w:rPr>
          <w:rFonts w:asciiTheme="majorHAnsi" w:hAnsiTheme="majorHAnsi" w:cstheme="majorHAnsi"/>
          <w:sz w:val="20"/>
          <w:szCs w:val="20"/>
        </w:rPr>
        <w:t>this fraud response plan is to</w:t>
      </w:r>
      <w:r w:rsidR="0013375D" w:rsidRPr="00CE1343">
        <w:rPr>
          <w:rFonts w:asciiTheme="majorHAnsi" w:hAnsiTheme="majorHAnsi" w:cstheme="majorHAnsi"/>
          <w:sz w:val="20"/>
          <w:szCs w:val="20"/>
        </w:rPr>
        <w:t xml:space="preserve"> p</w:t>
      </w:r>
      <w:r w:rsidR="00A74A10" w:rsidRPr="00CE1343">
        <w:rPr>
          <w:rFonts w:asciiTheme="majorHAnsi" w:hAnsiTheme="majorHAnsi" w:cstheme="majorHAnsi"/>
          <w:sz w:val="20"/>
          <w:szCs w:val="20"/>
        </w:rPr>
        <w:t>rovide a formal framework</w:t>
      </w:r>
      <w:r w:rsidR="00A353E5" w:rsidRPr="00CE1343">
        <w:rPr>
          <w:rFonts w:asciiTheme="majorHAnsi" w:hAnsiTheme="majorHAnsi" w:cstheme="majorHAnsi"/>
          <w:sz w:val="20"/>
          <w:szCs w:val="20"/>
        </w:rPr>
        <w:t xml:space="preserve"> that individuals within </w:t>
      </w:r>
      <w:r w:rsidR="001562E0" w:rsidRPr="00CE1343">
        <w:rPr>
          <w:rFonts w:asciiTheme="majorHAnsi" w:hAnsiTheme="majorHAnsi" w:cstheme="majorHAnsi"/>
          <w:sz w:val="20"/>
          <w:szCs w:val="20"/>
        </w:rPr>
        <w:t xml:space="preserve">the Trust </w:t>
      </w:r>
      <w:proofErr w:type="gramStart"/>
      <w:r w:rsidR="00A353E5" w:rsidRPr="00CE1343">
        <w:rPr>
          <w:rFonts w:asciiTheme="majorHAnsi" w:hAnsiTheme="majorHAnsi" w:cstheme="majorHAnsi"/>
          <w:sz w:val="20"/>
          <w:szCs w:val="20"/>
        </w:rPr>
        <w:t>are able to</w:t>
      </w:r>
      <w:proofErr w:type="gramEnd"/>
      <w:r w:rsidR="00A353E5" w:rsidRPr="00CE1343">
        <w:rPr>
          <w:rFonts w:asciiTheme="majorHAnsi" w:hAnsiTheme="majorHAnsi" w:cstheme="majorHAnsi"/>
          <w:sz w:val="20"/>
          <w:szCs w:val="20"/>
        </w:rPr>
        <w:t xml:space="preserve"> follow in the event of a suspected fraud</w:t>
      </w:r>
      <w:r w:rsidR="00814C27" w:rsidRPr="00CE1343">
        <w:rPr>
          <w:rFonts w:asciiTheme="majorHAnsi" w:hAnsiTheme="majorHAnsi" w:cstheme="majorHAnsi"/>
          <w:sz w:val="20"/>
          <w:szCs w:val="20"/>
        </w:rPr>
        <w:t xml:space="preserve">.  </w:t>
      </w:r>
      <w:r w:rsidR="000339CE" w:rsidRPr="00CE1343">
        <w:rPr>
          <w:rFonts w:asciiTheme="majorHAnsi" w:hAnsiTheme="majorHAnsi" w:cstheme="majorHAnsi"/>
          <w:sz w:val="20"/>
          <w:szCs w:val="20"/>
        </w:rPr>
        <w:t>Those investing a suspected fraud should be able to:</w:t>
      </w:r>
    </w:p>
    <w:p w14:paraId="632EC63F" w14:textId="77777777" w:rsidR="0013375D" w:rsidRPr="00CE1343" w:rsidRDefault="0013375D" w:rsidP="0013375D">
      <w:pPr>
        <w:rPr>
          <w:rFonts w:asciiTheme="majorHAnsi" w:hAnsiTheme="majorHAnsi" w:cstheme="majorHAnsi"/>
          <w:sz w:val="20"/>
          <w:szCs w:val="20"/>
        </w:rPr>
      </w:pPr>
    </w:p>
    <w:p w14:paraId="50FED9F2" w14:textId="77777777" w:rsidR="00AD212F" w:rsidRPr="00DC1F45" w:rsidRDefault="00F56CDC" w:rsidP="00DC1F45">
      <w:pPr>
        <w:pStyle w:val="OATliststyle"/>
        <w:numPr>
          <w:ilvl w:val="0"/>
          <w:numId w:val="12"/>
        </w:numPr>
        <w:tabs>
          <w:tab w:val="clear" w:pos="284"/>
          <w:tab w:val="left" w:pos="709"/>
        </w:tabs>
        <w:ind w:hanging="720"/>
        <w:rPr>
          <w:rFonts w:asciiTheme="majorHAnsi" w:hAnsiTheme="majorHAnsi" w:cstheme="majorHAnsi"/>
        </w:rPr>
      </w:pPr>
      <w:r w:rsidRPr="00DC1F45">
        <w:rPr>
          <w:rFonts w:asciiTheme="majorHAnsi" w:hAnsiTheme="majorHAnsi" w:cstheme="majorHAnsi"/>
        </w:rPr>
        <w:t>Establish the facts around the suspected fraud as efficiently as possible to ensure that effective action is taken to prevent any future losses,</w:t>
      </w:r>
      <w:r w:rsidR="004823A4" w:rsidRPr="00DC1F45">
        <w:rPr>
          <w:rFonts w:asciiTheme="majorHAnsi" w:hAnsiTheme="majorHAnsi" w:cstheme="majorHAnsi"/>
        </w:rPr>
        <w:t xml:space="preserve"> </w:t>
      </w:r>
    </w:p>
    <w:p w14:paraId="0D92080F" w14:textId="77777777" w:rsidR="000551BE" w:rsidRPr="00DC1F45" w:rsidRDefault="00AD212F" w:rsidP="00DC1F45">
      <w:pPr>
        <w:pStyle w:val="OATliststyle"/>
        <w:numPr>
          <w:ilvl w:val="0"/>
          <w:numId w:val="12"/>
        </w:numPr>
        <w:tabs>
          <w:tab w:val="clear" w:pos="284"/>
          <w:tab w:val="left" w:pos="709"/>
        </w:tabs>
        <w:ind w:hanging="720"/>
        <w:rPr>
          <w:rFonts w:asciiTheme="majorHAnsi" w:hAnsiTheme="majorHAnsi" w:cstheme="majorHAnsi"/>
        </w:rPr>
      </w:pPr>
      <w:r w:rsidRPr="00DC1F45">
        <w:rPr>
          <w:rFonts w:asciiTheme="majorHAnsi" w:hAnsiTheme="majorHAnsi" w:cstheme="majorHAnsi"/>
        </w:rPr>
        <w:t>I</w:t>
      </w:r>
      <w:r w:rsidR="004823A4" w:rsidRPr="00DC1F45">
        <w:rPr>
          <w:rFonts w:asciiTheme="majorHAnsi" w:hAnsiTheme="majorHAnsi" w:cstheme="majorHAnsi"/>
        </w:rPr>
        <w:t xml:space="preserve">mprove the likelihood and scale of </w:t>
      </w:r>
      <w:proofErr w:type="gramStart"/>
      <w:r w:rsidR="004823A4" w:rsidRPr="00DC1F45">
        <w:rPr>
          <w:rFonts w:asciiTheme="majorHAnsi" w:hAnsiTheme="majorHAnsi" w:cstheme="majorHAnsi"/>
        </w:rPr>
        <w:t>recoveries</w:t>
      </w:r>
      <w:proofErr w:type="gramEnd"/>
    </w:p>
    <w:p w14:paraId="155E8932" w14:textId="1219E59D" w:rsidR="000551BE" w:rsidRPr="00DC1F45" w:rsidRDefault="000551BE" w:rsidP="00DC1F45">
      <w:pPr>
        <w:pStyle w:val="OATliststyle"/>
        <w:numPr>
          <w:ilvl w:val="0"/>
          <w:numId w:val="12"/>
        </w:numPr>
        <w:tabs>
          <w:tab w:val="clear" w:pos="284"/>
          <w:tab w:val="left" w:pos="709"/>
        </w:tabs>
        <w:ind w:hanging="720"/>
        <w:rPr>
          <w:rFonts w:asciiTheme="majorHAnsi" w:hAnsiTheme="majorHAnsi" w:cstheme="majorHAnsi"/>
        </w:rPr>
      </w:pPr>
      <w:r w:rsidRPr="00DC1F45">
        <w:rPr>
          <w:rFonts w:asciiTheme="majorHAnsi" w:hAnsiTheme="majorHAnsi" w:cstheme="majorHAnsi"/>
        </w:rPr>
        <w:t>I</w:t>
      </w:r>
      <w:r w:rsidR="00F56CDC" w:rsidRPr="00DC1F45">
        <w:rPr>
          <w:rFonts w:asciiTheme="majorHAnsi" w:hAnsiTheme="majorHAnsi" w:cstheme="majorHAnsi"/>
        </w:rPr>
        <w:t>dentify the individuals concern</w:t>
      </w:r>
      <w:r w:rsidR="005A59C5" w:rsidRPr="00DC1F45">
        <w:rPr>
          <w:rFonts w:asciiTheme="majorHAnsi" w:hAnsiTheme="majorHAnsi" w:cstheme="majorHAnsi"/>
        </w:rPr>
        <w:t>ed</w:t>
      </w:r>
      <w:r w:rsidR="00D430A5" w:rsidRPr="00DC1F45">
        <w:rPr>
          <w:rFonts w:asciiTheme="majorHAnsi" w:hAnsiTheme="majorHAnsi" w:cstheme="majorHAnsi"/>
        </w:rPr>
        <w:t xml:space="preserve"> without initially raising suspicion and then taking appropriate action against these </w:t>
      </w:r>
      <w:proofErr w:type="gramStart"/>
      <w:r w:rsidR="00D430A5" w:rsidRPr="00DC1F45">
        <w:rPr>
          <w:rFonts w:asciiTheme="majorHAnsi" w:hAnsiTheme="majorHAnsi" w:cstheme="majorHAnsi"/>
        </w:rPr>
        <w:t>individuals</w:t>
      </w:r>
      <w:proofErr w:type="gramEnd"/>
    </w:p>
    <w:p w14:paraId="4D302F92" w14:textId="7914BBF5" w:rsidR="00A353E5" w:rsidRPr="00DC1F45" w:rsidRDefault="000551BE" w:rsidP="00DC1F45">
      <w:pPr>
        <w:pStyle w:val="OATliststyle"/>
        <w:numPr>
          <w:ilvl w:val="0"/>
          <w:numId w:val="12"/>
        </w:numPr>
        <w:tabs>
          <w:tab w:val="clear" w:pos="284"/>
          <w:tab w:val="left" w:pos="709"/>
        </w:tabs>
        <w:ind w:hanging="720"/>
        <w:rPr>
          <w:rFonts w:asciiTheme="majorHAnsi" w:hAnsiTheme="majorHAnsi" w:cstheme="majorHAnsi"/>
        </w:rPr>
      </w:pPr>
      <w:r w:rsidRPr="00DC1F45">
        <w:rPr>
          <w:rFonts w:asciiTheme="majorHAnsi" w:hAnsiTheme="majorHAnsi" w:cstheme="majorHAnsi"/>
        </w:rPr>
        <w:t>R</w:t>
      </w:r>
      <w:r w:rsidR="00F56CDC" w:rsidRPr="00DC1F45">
        <w:rPr>
          <w:rFonts w:asciiTheme="majorHAnsi" w:hAnsiTheme="majorHAnsi" w:cstheme="majorHAnsi"/>
        </w:rPr>
        <w:t>eport as necessary to the relevant bod</w:t>
      </w:r>
      <w:r w:rsidR="0021096C" w:rsidRPr="00DC1F45">
        <w:rPr>
          <w:rFonts w:asciiTheme="majorHAnsi" w:hAnsiTheme="majorHAnsi" w:cstheme="majorHAnsi"/>
        </w:rPr>
        <w:t>i</w:t>
      </w:r>
      <w:r w:rsidR="00F56CDC" w:rsidRPr="00DC1F45">
        <w:rPr>
          <w:rFonts w:asciiTheme="majorHAnsi" w:hAnsiTheme="majorHAnsi" w:cstheme="majorHAnsi"/>
        </w:rPr>
        <w:t>es.</w:t>
      </w:r>
    </w:p>
    <w:p w14:paraId="66F90361" w14:textId="38F88EE5" w:rsidR="00C129DA" w:rsidRDefault="00C129DA" w:rsidP="00AD77EA">
      <w:pPr>
        <w:pStyle w:val="OATliststyle"/>
        <w:numPr>
          <w:ilvl w:val="0"/>
          <w:numId w:val="12"/>
        </w:numPr>
        <w:tabs>
          <w:tab w:val="clear" w:pos="284"/>
          <w:tab w:val="left" w:pos="709"/>
        </w:tabs>
        <w:spacing w:after="0"/>
        <w:ind w:hanging="720"/>
        <w:rPr>
          <w:rFonts w:asciiTheme="majorHAnsi" w:hAnsiTheme="majorHAnsi" w:cstheme="majorHAnsi"/>
        </w:rPr>
      </w:pPr>
      <w:r w:rsidRPr="00DC1F45">
        <w:rPr>
          <w:rFonts w:asciiTheme="majorHAnsi" w:hAnsiTheme="majorHAnsi" w:cstheme="majorHAnsi"/>
        </w:rPr>
        <w:t>Re emphasize that the Trust has a</w:t>
      </w:r>
      <w:r w:rsidR="002569B0" w:rsidRPr="00DC1F45">
        <w:rPr>
          <w:rFonts w:asciiTheme="majorHAnsi" w:hAnsiTheme="majorHAnsi" w:cstheme="majorHAnsi"/>
        </w:rPr>
        <w:t xml:space="preserve"> </w:t>
      </w:r>
      <w:r w:rsidR="00DC1F45" w:rsidRPr="00DC1F45">
        <w:rPr>
          <w:rFonts w:asciiTheme="majorHAnsi" w:hAnsiTheme="majorHAnsi" w:cstheme="majorHAnsi"/>
        </w:rPr>
        <w:t>zero-tolerance</w:t>
      </w:r>
      <w:r w:rsidR="002569B0" w:rsidRPr="00DC1F45">
        <w:rPr>
          <w:rFonts w:asciiTheme="majorHAnsi" w:hAnsiTheme="majorHAnsi" w:cstheme="majorHAnsi"/>
        </w:rPr>
        <w:t xml:space="preserve"> culture to fraud</w:t>
      </w:r>
    </w:p>
    <w:p w14:paraId="2045B5F3" w14:textId="77777777" w:rsidR="00AD77EA" w:rsidRPr="00DC1F45" w:rsidRDefault="00AD77EA" w:rsidP="00AD77EA">
      <w:pPr>
        <w:pStyle w:val="OATliststyle"/>
        <w:tabs>
          <w:tab w:val="clear" w:pos="284"/>
          <w:tab w:val="left" w:pos="709"/>
        </w:tabs>
        <w:spacing w:after="0"/>
        <w:ind w:left="720"/>
        <w:rPr>
          <w:rFonts w:asciiTheme="majorHAnsi" w:hAnsiTheme="majorHAnsi" w:cstheme="majorHAnsi"/>
        </w:rPr>
      </w:pPr>
    </w:p>
    <w:p w14:paraId="392AC3A5" w14:textId="77777777" w:rsidR="000D7019" w:rsidRPr="007A7AFA" w:rsidRDefault="000D7019" w:rsidP="00453BAC">
      <w:pPr>
        <w:pStyle w:val="OATbodystyle"/>
        <w:spacing w:after="0"/>
        <w:rPr>
          <w:color w:val="00B0F0"/>
          <w:sz w:val="24"/>
          <w:szCs w:val="24"/>
        </w:rPr>
      </w:pPr>
      <w:r w:rsidRPr="007A7AFA">
        <w:rPr>
          <w:color w:val="00B0F0"/>
          <w:sz w:val="24"/>
          <w:szCs w:val="24"/>
        </w:rPr>
        <w:t>Reporting a Suspected Fraud</w:t>
      </w:r>
    </w:p>
    <w:p w14:paraId="678BBBCE" w14:textId="77777777" w:rsidR="0013092D" w:rsidRPr="00CE1343" w:rsidRDefault="000D7019" w:rsidP="00453BAC">
      <w:pPr>
        <w:pStyle w:val="OATbodystyle"/>
        <w:jc w:val="both"/>
        <w:rPr>
          <w:rFonts w:asciiTheme="majorHAnsi" w:hAnsiTheme="majorHAnsi" w:cstheme="majorHAnsi"/>
        </w:rPr>
      </w:pPr>
      <w:r w:rsidRPr="00CE1343">
        <w:rPr>
          <w:rFonts w:asciiTheme="majorHAnsi" w:hAnsiTheme="majorHAnsi" w:cstheme="majorHAnsi"/>
        </w:rPr>
        <w:t xml:space="preserve">All </w:t>
      </w:r>
      <w:r w:rsidR="00D02E74" w:rsidRPr="00CE1343">
        <w:rPr>
          <w:rFonts w:asciiTheme="majorHAnsi" w:hAnsiTheme="majorHAnsi" w:cstheme="majorHAnsi"/>
        </w:rPr>
        <w:t xml:space="preserve">members of staff, students and the local governing body may be </w:t>
      </w:r>
      <w:proofErr w:type="gramStart"/>
      <w:r w:rsidR="00D02E74" w:rsidRPr="00CE1343">
        <w:rPr>
          <w:rFonts w:asciiTheme="majorHAnsi" w:hAnsiTheme="majorHAnsi" w:cstheme="majorHAnsi"/>
        </w:rPr>
        <w:t>in a position</w:t>
      </w:r>
      <w:proofErr w:type="gramEnd"/>
      <w:r w:rsidR="00D02E74" w:rsidRPr="00CE1343">
        <w:rPr>
          <w:rFonts w:asciiTheme="majorHAnsi" w:hAnsiTheme="majorHAnsi" w:cstheme="majorHAnsi"/>
        </w:rPr>
        <w:t xml:space="preserve"> to suspect fraud at</w:t>
      </w:r>
      <w:r w:rsidR="0017406A" w:rsidRPr="00CE1343">
        <w:rPr>
          <w:rFonts w:asciiTheme="majorHAnsi" w:hAnsiTheme="majorHAnsi" w:cstheme="majorHAnsi"/>
        </w:rPr>
        <w:t xml:space="preserve"> an academy or at head office</w:t>
      </w:r>
      <w:r w:rsidR="00D02E74" w:rsidRPr="00CE1343">
        <w:rPr>
          <w:rFonts w:asciiTheme="majorHAnsi" w:hAnsiTheme="majorHAnsi" w:cstheme="majorHAnsi"/>
        </w:rPr>
        <w:t xml:space="preserve">.  </w:t>
      </w:r>
      <w:r w:rsidR="00CA7640" w:rsidRPr="00CE1343">
        <w:rPr>
          <w:rFonts w:asciiTheme="majorHAnsi" w:hAnsiTheme="majorHAnsi" w:cstheme="majorHAnsi"/>
        </w:rPr>
        <w:t>If a suspected fraud is identified</w:t>
      </w:r>
      <w:r w:rsidR="00DD0FF9" w:rsidRPr="00CE1343">
        <w:rPr>
          <w:rFonts w:asciiTheme="majorHAnsi" w:hAnsiTheme="majorHAnsi" w:cstheme="majorHAnsi"/>
        </w:rPr>
        <w:t xml:space="preserve"> at an academy,</w:t>
      </w:r>
      <w:r w:rsidR="00CA7640" w:rsidRPr="00CE1343">
        <w:rPr>
          <w:rFonts w:asciiTheme="majorHAnsi" w:hAnsiTheme="majorHAnsi" w:cstheme="majorHAnsi"/>
        </w:rPr>
        <w:t xml:space="preserve"> all </w:t>
      </w:r>
      <w:r w:rsidRPr="00CE1343">
        <w:rPr>
          <w:rFonts w:asciiTheme="majorHAnsi" w:hAnsiTheme="majorHAnsi" w:cstheme="majorHAnsi"/>
        </w:rPr>
        <w:t xml:space="preserve">allegations </w:t>
      </w:r>
      <w:r w:rsidR="00CA7640" w:rsidRPr="00CE1343">
        <w:rPr>
          <w:rFonts w:asciiTheme="majorHAnsi" w:hAnsiTheme="majorHAnsi" w:cstheme="majorHAnsi"/>
        </w:rPr>
        <w:t xml:space="preserve">must </w:t>
      </w:r>
      <w:r w:rsidRPr="00CE1343">
        <w:rPr>
          <w:rFonts w:asciiTheme="majorHAnsi" w:hAnsiTheme="majorHAnsi" w:cstheme="majorHAnsi"/>
        </w:rPr>
        <w:t xml:space="preserve">be brought to the attention of the </w:t>
      </w:r>
      <w:r w:rsidR="00AD4E0F" w:rsidRPr="00CE1343">
        <w:rPr>
          <w:rFonts w:asciiTheme="majorHAnsi" w:hAnsiTheme="majorHAnsi" w:cstheme="majorHAnsi"/>
        </w:rPr>
        <w:t>F</w:t>
      </w:r>
      <w:r w:rsidRPr="00CE1343">
        <w:rPr>
          <w:rFonts w:asciiTheme="majorHAnsi" w:hAnsiTheme="majorHAnsi" w:cstheme="majorHAnsi"/>
        </w:rPr>
        <w:t xml:space="preserve">inance </w:t>
      </w:r>
      <w:r w:rsidR="00AD4E0F" w:rsidRPr="00CE1343">
        <w:rPr>
          <w:rFonts w:asciiTheme="majorHAnsi" w:hAnsiTheme="majorHAnsi" w:cstheme="majorHAnsi"/>
        </w:rPr>
        <w:t>D</w:t>
      </w:r>
      <w:r w:rsidRPr="00CE1343">
        <w:rPr>
          <w:rFonts w:asciiTheme="majorHAnsi" w:hAnsiTheme="majorHAnsi" w:cstheme="majorHAnsi"/>
        </w:rPr>
        <w:t xml:space="preserve">irector and the </w:t>
      </w:r>
      <w:r w:rsidR="00AD4E0F" w:rsidRPr="00CE1343">
        <w:rPr>
          <w:rFonts w:asciiTheme="majorHAnsi" w:hAnsiTheme="majorHAnsi" w:cstheme="majorHAnsi"/>
        </w:rPr>
        <w:t>P</w:t>
      </w:r>
      <w:r w:rsidRPr="00CE1343">
        <w:rPr>
          <w:rFonts w:asciiTheme="majorHAnsi" w:hAnsiTheme="majorHAnsi" w:cstheme="majorHAnsi"/>
        </w:rPr>
        <w:t xml:space="preserve">rincipal, unless this individual is involved in the irregularity in which case the </w:t>
      </w:r>
      <w:r w:rsidR="00DD0FF9" w:rsidRPr="00CE1343">
        <w:rPr>
          <w:rFonts w:asciiTheme="majorHAnsi" w:hAnsiTheme="majorHAnsi" w:cstheme="majorHAnsi"/>
        </w:rPr>
        <w:t>C</w:t>
      </w:r>
      <w:r w:rsidRPr="00CE1343">
        <w:rPr>
          <w:rFonts w:asciiTheme="majorHAnsi" w:hAnsiTheme="majorHAnsi" w:cstheme="majorHAnsi"/>
        </w:rPr>
        <w:t xml:space="preserve">hair of </w:t>
      </w:r>
      <w:r w:rsidR="00DD0FF9" w:rsidRPr="00CE1343">
        <w:rPr>
          <w:rFonts w:asciiTheme="majorHAnsi" w:hAnsiTheme="majorHAnsi" w:cstheme="majorHAnsi"/>
        </w:rPr>
        <w:t>G</w:t>
      </w:r>
      <w:r w:rsidRPr="00CE1343">
        <w:rPr>
          <w:rFonts w:asciiTheme="majorHAnsi" w:hAnsiTheme="majorHAnsi" w:cstheme="majorHAnsi"/>
        </w:rPr>
        <w:t>overnors should be informed.</w:t>
      </w:r>
      <w:r w:rsidR="00B2637B" w:rsidRPr="00CE1343">
        <w:rPr>
          <w:rFonts w:asciiTheme="majorHAnsi" w:hAnsiTheme="majorHAnsi" w:cstheme="majorHAnsi"/>
        </w:rPr>
        <w:t xml:space="preserve">  If a fraud is suspected at head office the National Director of Finance and Strategy should be informed.  If the fraud involves this individual the Chair of Trustees should be informed.</w:t>
      </w:r>
    </w:p>
    <w:p w14:paraId="38A073C6" w14:textId="7CC9F9E9" w:rsidR="000D7019" w:rsidRPr="00CE1343" w:rsidRDefault="0013092D" w:rsidP="000D7019">
      <w:pPr>
        <w:pStyle w:val="OATbodystyle"/>
        <w:spacing w:before="240"/>
        <w:jc w:val="both"/>
        <w:rPr>
          <w:rFonts w:asciiTheme="majorHAnsi" w:hAnsiTheme="majorHAnsi" w:cstheme="majorHAnsi"/>
        </w:rPr>
      </w:pPr>
      <w:r w:rsidRPr="00CE1343">
        <w:rPr>
          <w:rFonts w:asciiTheme="majorHAnsi" w:hAnsiTheme="majorHAnsi" w:cstheme="majorHAnsi"/>
        </w:rPr>
        <w:t xml:space="preserve">If a suspected fraud is observed and it is not reported in accordance with this policy, this may also result in disciplinary procedures on the individuals for not following the correct reporting lines. </w:t>
      </w:r>
      <w:r w:rsidR="00B2637B" w:rsidRPr="00CE1343">
        <w:rPr>
          <w:rFonts w:asciiTheme="majorHAnsi" w:hAnsiTheme="majorHAnsi" w:cstheme="majorHAnsi"/>
        </w:rPr>
        <w:t xml:space="preserve">  </w:t>
      </w:r>
    </w:p>
    <w:p w14:paraId="1B96FE38" w14:textId="53484C5E" w:rsidR="004857A5" w:rsidRPr="00CE1343" w:rsidRDefault="004857A5" w:rsidP="000D7019">
      <w:pPr>
        <w:pStyle w:val="OATbodystyle"/>
        <w:spacing w:before="240"/>
        <w:jc w:val="both"/>
        <w:rPr>
          <w:rFonts w:asciiTheme="majorHAnsi" w:hAnsiTheme="majorHAnsi" w:cstheme="majorHAnsi"/>
        </w:rPr>
      </w:pPr>
      <w:r w:rsidRPr="00CE1343">
        <w:rPr>
          <w:rFonts w:asciiTheme="majorHAnsi" w:hAnsiTheme="majorHAnsi" w:cstheme="majorHAnsi"/>
        </w:rPr>
        <w:t>Individuals who report the fraud should provide as much detail</w:t>
      </w:r>
      <w:r w:rsidR="00915F8D" w:rsidRPr="00CE1343">
        <w:rPr>
          <w:rFonts w:asciiTheme="majorHAnsi" w:hAnsiTheme="majorHAnsi" w:cstheme="majorHAnsi"/>
        </w:rPr>
        <w:t xml:space="preserve"> as possible</w:t>
      </w:r>
      <w:r w:rsidRPr="00CE1343">
        <w:rPr>
          <w:rFonts w:asciiTheme="majorHAnsi" w:hAnsiTheme="majorHAnsi" w:cstheme="majorHAnsi"/>
        </w:rPr>
        <w:t xml:space="preserve"> to enable the initial investigations to start, whilst at the same time ensuring that t</w:t>
      </w:r>
      <w:r w:rsidR="0055046A" w:rsidRPr="00CE1343">
        <w:rPr>
          <w:rFonts w:asciiTheme="majorHAnsi" w:hAnsiTheme="majorHAnsi" w:cstheme="majorHAnsi"/>
        </w:rPr>
        <w:t>heir actions</w:t>
      </w:r>
      <w:r w:rsidRPr="00CE1343">
        <w:rPr>
          <w:rFonts w:asciiTheme="majorHAnsi" w:hAnsiTheme="majorHAnsi" w:cstheme="majorHAnsi"/>
        </w:rPr>
        <w:t xml:space="preserve"> do not raise the suspicion of the individuals in question. </w:t>
      </w:r>
    </w:p>
    <w:p w14:paraId="3A78EB8A" w14:textId="793E73B1" w:rsidR="00B63664" w:rsidRPr="00CE1343" w:rsidRDefault="000D7019" w:rsidP="000D7019">
      <w:pPr>
        <w:pStyle w:val="OATbodystyle"/>
        <w:jc w:val="both"/>
        <w:rPr>
          <w:rFonts w:asciiTheme="majorHAnsi" w:hAnsiTheme="majorHAnsi" w:cstheme="majorHAnsi"/>
        </w:rPr>
      </w:pPr>
      <w:r w:rsidRPr="00CE1343">
        <w:rPr>
          <w:rFonts w:asciiTheme="majorHAnsi" w:hAnsiTheme="majorHAnsi" w:cstheme="majorHAnsi"/>
        </w:rPr>
        <w:t>If the suspected fraud is from an external party, such as a supplier fraud, please refer to the Mandate Fraud Policy in the first instance</w:t>
      </w:r>
      <w:r w:rsidR="004C16AE" w:rsidRPr="00CE1343">
        <w:rPr>
          <w:rFonts w:asciiTheme="majorHAnsi" w:hAnsiTheme="majorHAnsi" w:cstheme="majorHAnsi"/>
        </w:rPr>
        <w:t xml:space="preserve"> and the flow charts at the end of this policy.</w:t>
      </w:r>
      <w:r w:rsidRPr="00CE1343">
        <w:rPr>
          <w:rFonts w:asciiTheme="majorHAnsi" w:hAnsiTheme="majorHAnsi" w:cstheme="majorHAnsi"/>
        </w:rPr>
        <w:t xml:space="preserve"> </w:t>
      </w:r>
    </w:p>
    <w:p w14:paraId="7ED7AEC8" w14:textId="4C7187F0" w:rsidR="000D7019" w:rsidRPr="00CE1343" w:rsidRDefault="000D7019" w:rsidP="000D7019">
      <w:pPr>
        <w:pStyle w:val="OATbodystyle"/>
        <w:jc w:val="both"/>
        <w:rPr>
          <w:rFonts w:asciiTheme="majorHAnsi" w:hAnsiTheme="majorHAnsi" w:cstheme="majorHAnsi"/>
        </w:rPr>
      </w:pPr>
      <w:r w:rsidRPr="00CE1343">
        <w:rPr>
          <w:rFonts w:asciiTheme="majorHAnsi" w:hAnsiTheme="majorHAnsi" w:cstheme="majorHAnsi"/>
        </w:rPr>
        <w:t xml:space="preserve">If there is another type of external </w:t>
      </w:r>
      <w:proofErr w:type="gramStart"/>
      <w:r w:rsidRPr="00CE1343">
        <w:rPr>
          <w:rFonts w:asciiTheme="majorHAnsi" w:hAnsiTheme="majorHAnsi" w:cstheme="majorHAnsi"/>
        </w:rPr>
        <w:t>fraud</w:t>
      </w:r>
      <w:proofErr w:type="gramEnd"/>
      <w:r w:rsidRPr="00CE1343">
        <w:rPr>
          <w:rFonts w:asciiTheme="majorHAnsi" w:hAnsiTheme="majorHAnsi" w:cstheme="majorHAnsi"/>
        </w:rPr>
        <w:t xml:space="preserve"> please refer to your Head of Academy Finance and your HO team, who will take the necessary steps to inform the relevant individuals. </w:t>
      </w:r>
    </w:p>
    <w:p w14:paraId="7EA9C833" w14:textId="77777777" w:rsidR="000D7019" w:rsidRPr="00CE1343" w:rsidRDefault="000D7019" w:rsidP="000D7019">
      <w:pPr>
        <w:pStyle w:val="OATbodystyle"/>
        <w:rPr>
          <w:rFonts w:asciiTheme="majorHAnsi" w:hAnsiTheme="majorHAnsi" w:cstheme="majorHAnsi"/>
        </w:rPr>
      </w:pPr>
      <w:r w:rsidRPr="00CE1343">
        <w:rPr>
          <w:rFonts w:asciiTheme="majorHAnsi" w:hAnsiTheme="majorHAnsi" w:cstheme="majorHAnsi"/>
        </w:rPr>
        <w:t>If the fraud relates to a potential data breach, please follow the data protection policy for further guidelines.</w:t>
      </w:r>
    </w:p>
    <w:p w14:paraId="788D9B59" w14:textId="77777777" w:rsidR="005F00D9" w:rsidRPr="007A7AFA" w:rsidRDefault="005F00D9" w:rsidP="00453BAC">
      <w:pPr>
        <w:pStyle w:val="OATbodystyle"/>
        <w:spacing w:after="0"/>
        <w:rPr>
          <w:color w:val="00B0F0"/>
          <w:sz w:val="24"/>
          <w:szCs w:val="24"/>
        </w:rPr>
      </w:pPr>
      <w:r w:rsidRPr="007A7AFA">
        <w:rPr>
          <w:color w:val="00B0F0"/>
          <w:sz w:val="24"/>
          <w:szCs w:val="24"/>
        </w:rPr>
        <w:t>Response to Allegations</w:t>
      </w:r>
    </w:p>
    <w:p w14:paraId="6B8D8E4E" w14:textId="0637FA94" w:rsidR="005F00D9" w:rsidRPr="00CE1343" w:rsidRDefault="005F00D9" w:rsidP="001B1740">
      <w:pPr>
        <w:pStyle w:val="OATbodystyle"/>
        <w:spacing w:after="0"/>
        <w:rPr>
          <w:rFonts w:asciiTheme="majorHAnsi" w:hAnsiTheme="majorHAnsi" w:cstheme="majorHAnsi"/>
        </w:rPr>
      </w:pPr>
      <w:r w:rsidRPr="001B1740">
        <w:rPr>
          <w:rFonts w:asciiTheme="majorHAnsi" w:hAnsiTheme="majorHAnsi" w:cstheme="majorHAnsi"/>
        </w:rPr>
        <w:t xml:space="preserve">The </w:t>
      </w:r>
      <w:proofErr w:type="gramStart"/>
      <w:r w:rsidR="00AD4E0F" w:rsidRPr="001B1740">
        <w:rPr>
          <w:rFonts w:asciiTheme="majorHAnsi" w:hAnsiTheme="majorHAnsi" w:cstheme="majorHAnsi"/>
        </w:rPr>
        <w:t>P</w:t>
      </w:r>
      <w:r w:rsidRPr="001B1740">
        <w:rPr>
          <w:rFonts w:asciiTheme="majorHAnsi" w:hAnsiTheme="majorHAnsi" w:cstheme="majorHAnsi"/>
        </w:rPr>
        <w:t>rincipal</w:t>
      </w:r>
      <w:proofErr w:type="gramEnd"/>
      <w:r w:rsidRPr="001B1740">
        <w:rPr>
          <w:rFonts w:asciiTheme="majorHAnsi" w:hAnsiTheme="majorHAnsi" w:cstheme="majorHAnsi"/>
        </w:rPr>
        <w:t xml:space="preserve"> will have responsibility for </w:t>
      </w:r>
      <w:r w:rsidR="00915F8D" w:rsidRPr="001B1740">
        <w:rPr>
          <w:rFonts w:asciiTheme="majorHAnsi" w:hAnsiTheme="majorHAnsi" w:cstheme="majorHAnsi"/>
        </w:rPr>
        <w:t>coordinating</w:t>
      </w:r>
      <w:r w:rsidRPr="001B1740">
        <w:rPr>
          <w:rFonts w:asciiTheme="majorHAnsi" w:hAnsiTheme="majorHAnsi" w:cstheme="majorHAnsi"/>
        </w:rPr>
        <w:t xml:space="preserve"> the initial response. In doing this he/she will consult with the human resource advisors regarding</w:t>
      </w:r>
      <w:r w:rsidRPr="00CE1343">
        <w:rPr>
          <w:rFonts w:asciiTheme="majorHAnsi" w:hAnsiTheme="majorHAnsi" w:cstheme="majorHAnsi"/>
        </w:rPr>
        <w:t xml:space="preserve"> potential employment issues. The </w:t>
      </w:r>
      <w:proofErr w:type="gramStart"/>
      <w:r w:rsidR="00A10E78" w:rsidRPr="00CE1343">
        <w:rPr>
          <w:rFonts w:asciiTheme="majorHAnsi" w:hAnsiTheme="majorHAnsi" w:cstheme="majorHAnsi"/>
        </w:rPr>
        <w:t>P</w:t>
      </w:r>
      <w:r w:rsidRPr="00CE1343">
        <w:rPr>
          <w:rFonts w:asciiTheme="majorHAnsi" w:hAnsiTheme="majorHAnsi" w:cstheme="majorHAnsi"/>
        </w:rPr>
        <w:t>rincipal</w:t>
      </w:r>
      <w:proofErr w:type="gramEnd"/>
      <w:r w:rsidRPr="00CE1343">
        <w:rPr>
          <w:rFonts w:asciiTheme="majorHAnsi" w:hAnsiTheme="majorHAnsi" w:cstheme="majorHAnsi"/>
        </w:rPr>
        <w:t xml:space="preserve"> will also see</w:t>
      </w:r>
      <w:r w:rsidR="002A6FA7" w:rsidRPr="00CE1343">
        <w:rPr>
          <w:rFonts w:asciiTheme="majorHAnsi" w:hAnsiTheme="majorHAnsi" w:cstheme="majorHAnsi"/>
        </w:rPr>
        <w:t>k</w:t>
      </w:r>
      <w:r w:rsidRPr="00CE1343">
        <w:rPr>
          <w:rFonts w:asciiTheme="majorHAnsi" w:hAnsiTheme="majorHAnsi" w:cstheme="majorHAnsi"/>
        </w:rPr>
        <w:t xml:space="preserve"> legal advice from the academy’s solicitors on both employment and litigation issues before taking any further action.</w:t>
      </w:r>
    </w:p>
    <w:p w14:paraId="331B2357" w14:textId="2B012042" w:rsidR="00FD43DB" w:rsidRPr="00CE1343" w:rsidRDefault="005F00D9" w:rsidP="005F00D9">
      <w:pPr>
        <w:pStyle w:val="OATbodystyle"/>
        <w:spacing w:before="240"/>
        <w:jc w:val="both"/>
        <w:rPr>
          <w:rFonts w:asciiTheme="majorHAnsi" w:hAnsiTheme="majorHAnsi" w:cstheme="majorHAnsi"/>
        </w:rPr>
      </w:pPr>
      <w:r w:rsidRPr="00CE1343">
        <w:rPr>
          <w:rFonts w:asciiTheme="majorHAnsi" w:hAnsiTheme="majorHAnsi" w:cstheme="majorHAnsi"/>
        </w:rPr>
        <w:t xml:space="preserve">The </w:t>
      </w:r>
      <w:r w:rsidR="00AD4E0F" w:rsidRPr="00CE1343">
        <w:rPr>
          <w:rFonts w:asciiTheme="majorHAnsi" w:hAnsiTheme="majorHAnsi" w:cstheme="majorHAnsi"/>
        </w:rPr>
        <w:t>F</w:t>
      </w:r>
      <w:r w:rsidRPr="00CE1343">
        <w:rPr>
          <w:rFonts w:asciiTheme="majorHAnsi" w:hAnsiTheme="majorHAnsi" w:cstheme="majorHAnsi"/>
        </w:rPr>
        <w:t xml:space="preserve">inance </w:t>
      </w:r>
      <w:r w:rsidR="00AD4E0F" w:rsidRPr="00CE1343">
        <w:rPr>
          <w:rFonts w:asciiTheme="majorHAnsi" w:hAnsiTheme="majorHAnsi" w:cstheme="majorHAnsi"/>
        </w:rPr>
        <w:t>D</w:t>
      </w:r>
      <w:r w:rsidRPr="00CE1343">
        <w:rPr>
          <w:rFonts w:asciiTheme="majorHAnsi" w:hAnsiTheme="majorHAnsi" w:cstheme="majorHAnsi"/>
        </w:rPr>
        <w:t xml:space="preserve">irector and </w:t>
      </w:r>
      <w:r w:rsidR="00AD4E0F" w:rsidRPr="00CE1343">
        <w:rPr>
          <w:rFonts w:asciiTheme="majorHAnsi" w:hAnsiTheme="majorHAnsi" w:cstheme="majorHAnsi"/>
        </w:rPr>
        <w:t>P</w:t>
      </w:r>
      <w:r w:rsidRPr="00CE1343">
        <w:rPr>
          <w:rFonts w:asciiTheme="majorHAnsi" w:hAnsiTheme="majorHAnsi" w:cstheme="majorHAnsi"/>
        </w:rPr>
        <w:t xml:space="preserve">rincipal will ascertain </w:t>
      </w:r>
      <w:proofErr w:type="gramStart"/>
      <w:r w:rsidRPr="00CE1343">
        <w:rPr>
          <w:rFonts w:asciiTheme="majorHAnsi" w:hAnsiTheme="majorHAnsi" w:cstheme="majorHAnsi"/>
        </w:rPr>
        <w:t>whether or not</w:t>
      </w:r>
      <w:proofErr w:type="gramEnd"/>
      <w:r w:rsidRPr="00CE1343">
        <w:rPr>
          <w:rFonts w:asciiTheme="majorHAnsi" w:hAnsiTheme="majorHAnsi" w:cstheme="majorHAnsi"/>
        </w:rPr>
        <w:t xml:space="preserve"> the suspicions aroused have substance. In every case, and as soon as possible after the initial investigation, they will pass the matter on to the </w:t>
      </w:r>
      <w:r w:rsidR="00A10E78" w:rsidRPr="00CE1343">
        <w:rPr>
          <w:rFonts w:asciiTheme="majorHAnsi" w:hAnsiTheme="majorHAnsi" w:cstheme="majorHAnsi"/>
        </w:rPr>
        <w:t>C</w:t>
      </w:r>
      <w:r w:rsidRPr="00CE1343">
        <w:rPr>
          <w:rFonts w:asciiTheme="majorHAnsi" w:hAnsiTheme="majorHAnsi" w:cstheme="majorHAnsi"/>
        </w:rPr>
        <w:t>hair of the</w:t>
      </w:r>
      <w:r w:rsidR="00EE30B7" w:rsidRPr="00CE1343">
        <w:rPr>
          <w:rFonts w:asciiTheme="majorHAnsi" w:hAnsiTheme="majorHAnsi" w:cstheme="majorHAnsi"/>
        </w:rPr>
        <w:t xml:space="preserve"> local</w:t>
      </w:r>
      <w:r w:rsidRPr="00CE1343">
        <w:rPr>
          <w:rFonts w:asciiTheme="majorHAnsi" w:hAnsiTheme="majorHAnsi" w:cstheme="majorHAnsi"/>
        </w:rPr>
        <w:t xml:space="preserve"> governing bo</w:t>
      </w:r>
      <w:r w:rsidR="002A6FA7" w:rsidRPr="00CE1343">
        <w:rPr>
          <w:rFonts w:asciiTheme="majorHAnsi" w:hAnsiTheme="majorHAnsi" w:cstheme="majorHAnsi"/>
        </w:rPr>
        <w:t>dy</w:t>
      </w:r>
      <w:r w:rsidR="00D516E4" w:rsidRPr="00CE1343">
        <w:rPr>
          <w:rFonts w:asciiTheme="majorHAnsi" w:hAnsiTheme="majorHAnsi" w:cstheme="majorHAnsi"/>
        </w:rPr>
        <w:t xml:space="preserve"> (LGB)</w:t>
      </w:r>
      <w:r w:rsidRPr="00CE1343">
        <w:rPr>
          <w:rFonts w:asciiTheme="majorHAnsi" w:hAnsiTheme="majorHAnsi" w:cstheme="majorHAnsi"/>
        </w:rPr>
        <w:t xml:space="preserve"> Even if there is no evidence to support the allegation, the matter must be reported.</w:t>
      </w:r>
      <w:r w:rsidR="00662074" w:rsidRPr="00CE1343">
        <w:rPr>
          <w:rFonts w:asciiTheme="majorHAnsi" w:hAnsiTheme="majorHAnsi" w:cstheme="majorHAnsi"/>
        </w:rPr>
        <w:t xml:space="preserve">  This </w:t>
      </w:r>
      <w:r w:rsidR="005940E2" w:rsidRPr="00CE1343">
        <w:rPr>
          <w:rFonts w:asciiTheme="majorHAnsi" w:hAnsiTheme="majorHAnsi" w:cstheme="majorHAnsi"/>
        </w:rPr>
        <w:t>must</w:t>
      </w:r>
      <w:r w:rsidR="00662074" w:rsidRPr="00CE1343">
        <w:rPr>
          <w:rFonts w:asciiTheme="majorHAnsi" w:hAnsiTheme="majorHAnsi" w:cstheme="majorHAnsi"/>
        </w:rPr>
        <w:t xml:space="preserve"> be done within 24 hours of the </w:t>
      </w:r>
      <w:r w:rsidR="001958EB" w:rsidRPr="00CE1343">
        <w:rPr>
          <w:rFonts w:asciiTheme="majorHAnsi" w:hAnsiTheme="majorHAnsi" w:cstheme="majorHAnsi"/>
        </w:rPr>
        <w:t xml:space="preserve">initial suspicions being raised. </w:t>
      </w:r>
    </w:p>
    <w:p w14:paraId="108B0288" w14:textId="0BA7B176" w:rsidR="00FD43DB" w:rsidRPr="00CE1343" w:rsidRDefault="00FD43DB" w:rsidP="005F00D9">
      <w:pPr>
        <w:pStyle w:val="OATbodystyle"/>
        <w:spacing w:before="240"/>
        <w:jc w:val="both"/>
        <w:rPr>
          <w:rFonts w:asciiTheme="majorHAnsi" w:hAnsiTheme="majorHAnsi" w:cstheme="majorHAnsi"/>
        </w:rPr>
      </w:pPr>
      <w:r w:rsidRPr="00CE1343">
        <w:rPr>
          <w:rFonts w:asciiTheme="majorHAnsi" w:hAnsiTheme="majorHAnsi" w:cstheme="majorHAnsi"/>
        </w:rPr>
        <w:lastRenderedPageBreak/>
        <w:t xml:space="preserve">The </w:t>
      </w:r>
      <w:proofErr w:type="gramStart"/>
      <w:r w:rsidRPr="00CE1343">
        <w:rPr>
          <w:rFonts w:asciiTheme="majorHAnsi" w:hAnsiTheme="majorHAnsi" w:cstheme="majorHAnsi"/>
        </w:rPr>
        <w:t>Principal</w:t>
      </w:r>
      <w:proofErr w:type="gramEnd"/>
      <w:r w:rsidRPr="00CE1343">
        <w:rPr>
          <w:rFonts w:asciiTheme="majorHAnsi" w:hAnsiTheme="majorHAnsi" w:cstheme="majorHAnsi"/>
        </w:rPr>
        <w:t xml:space="preserve"> is required to notify the LGB of any serious financial irregularities. This action </w:t>
      </w:r>
      <w:r w:rsidR="005940E2" w:rsidRPr="00CE1343">
        <w:rPr>
          <w:rFonts w:asciiTheme="majorHAnsi" w:hAnsiTheme="majorHAnsi" w:cstheme="majorHAnsi"/>
        </w:rPr>
        <w:t>must</w:t>
      </w:r>
      <w:r w:rsidRPr="00CE1343">
        <w:rPr>
          <w:rFonts w:asciiTheme="majorHAnsi" w:hAnsiTheme="majorHAnsi" w:cstheme="majorHAnsi"/>
        </w:rPr>
        <w:t xml:space="preserve"> be taken at the first opportunity following the completion of the initial investigations and will involve keeping the chair of the governing board fully informed between governor meetings of any developments relating to serious control weaknesses, </w:t>
      </w:r>
      <w:proofErr w:type="gramStart"/>
      <w:r w:rsidRPr="00CE1343">
        <w:rPr>
          <w:rFonts w:asciiTheme="majorHAnsi" w:hAnsiTheme="majorHAnsi" w:cstheme="majorHAnsi"/>
        </w:rPr>
        <w:t>fraud</w:t>
      </w:r>
      <w:proofErr w:type="gramEnd"/>
      <w:r w:rsidRPr="00CE1343">
        <w:rPr>
          <w:rFonts w:asciiTheme="majorHAnsi" w:hAnsiTheme="majorHAnsi" w:cstheme="majorHAnsi"/>
        </w:rPr>
        <w:t xml:space="preserve"> or major accounting breakdowns.</w:t>
      </w:r>
    </w:p>
    <w:p w14:paraId="22B8DEFB" w14:textId="137A4CBC" w:rsidR="006D2E0F" w:rsidRPr="00CE1343" w:rsidRDefault="005F00D9" w:rsidP="00915F8D">
      <w:pPr>
        <w:pStyle w:val="OATbodystyle"/>
        <w:spacing w:before="240"/>
        <w:jc w:val="both"/>
        <w:rPr>
          <w:rFonts w:asciiTheme="majorHAnsi" w:hAnsiTheme="majorHAnsi" w:cstheme="majorHAnsi"/>
        </w:rPr>
      </w:pPr>
      <w:r w:rsidRPr="00CE1343">
        <w:rPr>
          <w:rFonts w:asciiTheme="majorHAnsi" w:hAnsiTheme="majorHAnsi" w:cstheme="majorHAnsi"/>
        </w:rPr>
        <w:t>The</w:t>
      </w:r>
      <w:r w:rsidR="001572AD" w:rsidRPr="00CE1343">
        <w:rPr>
          <w:rFonts w:asciiTheme="majorHAnsi" w:hAnsiTheme="majorHAnsi" w:cstheme="majorHAnsi"/>
        </w:rPr>
        <w:t xml:space="preserve"> </w:t>
      </w:r>
      <w:r w:rsidR="00DC062F" w:rsidRPr="00CE1343">
        <w:rPr>
          <w:rFonts w:asciiTheme="majorHAnsi" w:hAnsiTheme="majorHAnsi" w:cstheme="majorHAnsi"/>
        </w:rPr>
        <w:t>LGB</w:t>
      </w:r>
      <w:r w:rsidRPr="00CE1343">
        <w:rPr>
          <w:rFonts w:asciiTheme="majorHAnsi" w:hAnsiTheme="majorHAnsi" w:cstheme="majorHAnsi"/>
        </w:rPr>
        <w:t xml:space="preserve"> will undertake the management of the investigation.</w:t>
      </w:r>
      <w:r w:rsidR="002B1C94" w:rsidRPr="00CE1343">
        <w:rPr>
          <w:rFonts w:asciiTheme="majorHAnsi" w:hAnsiTheme="majorHAnsi" w:cstheme="majorHAnsi"/>
        </w:rPr>
        <w:t xml:space="preserve">  T</w:t>
      </w:r>
      <w:r w:rsidRPr="00CE1343">
        <w:rPr>
          <w:rFonts w:asciiTheme="majorHAnsi" w:hAnsiTheme="majorHAnsi" w:cstheme="majorHAnsi"/>
        </w:rPr>
        <w:t xml:space="preserve">hey will, if appropriate, conduct a preliminary investigation to gather </w:t>
      </w:r>
      <w:proofErr w:type="gramStart"/>
      <w:r w:rsidRPr="00CE1343">
        <w:rPr>
          <w:rFonts w:asciiTheme="majorHAnsi" w:hAnsiTheme="majorHAnsi" w:cstheme="majorHAnsi"/>
        </w:rPr>
        <w:t>factual information</w:t>
      </w:r>
      <w:proofErr w:type="gramEnd"/>
      <w:r w:rsidRPr="00CE1343">
        <w:rPr>
          <w:rFonts w:asciiTheme="majorHAnsi" w:hAnsiTheme="majorHAnsi" w:cstheme="majorHAnsi"/>
        </w:rPr>
        <w:t xml:space="preserve"> and reach an initial view as to whether further action is required.</w:t>
      </w:r>
      <w:r w:rsidR="002B1C94" w:rsidRPr="00CE1343">
        <w:rPr>
          <w:rFonts w:asciiTheme="majorHAnsi" w:hAnsiTheme="majorHAnsi" w:cstheme="majorHAnsi"/>
        </w:rPr>
        <w:t xml:space="preserve">  </w:t>
      </w:r>
      <w:r w:rsidRPr="00CE1343">
        <w:rPr>
          <w:rFonts w:asciiTheme="majorHAnsi" w:hAnsiTheme="majorHAnsi" w:cstheme="majorHAnsi"/>
        </w:rPr>
        <w:t>If further investigations are required, they will determine which outside agencies should be involved (police, auditors).</w:t>
      </w:r>
      <w:r w:rsidR="001C3E4B" w:rsidRPr="00CE1343">
        <w:rPr>
          <w:rFonts w:asciiTheme="majorHAnsi" w:hAnsiTheme="majorHAnsi" w:cstheme="majorHAnsi"/>
        </w:rPr>
        <w:t xml:space="preserve">  At this point if further investigations are required</w:t>
      </w:r>
      <w:r w:rsidR="00AD4E0F" w:rsidRPr="00CE1343">
        <w:rPr>
          <w:rFonts w:asciiTheme="majorHAnsi" w:hAnsiTheme="majorHAnsi" w:cstheme="majorHAnsi"/>
        </w:rPr>
        <w:t xml:space="preserve"> the Chair of the LGB will inform the National Director of Finance and Strategy. </w:t>
      </w:r>
    </w:p>
    <w:p w14:paraId="47673649" w14:textId="748CCD09" w:rsidR="00915F8D" w:rsidRPr="00CE1343" w:rsidRDefault="00915F8D" w:rsidP="00915F8D">
      <w:pPr>
        <w:pStyle w:val="OATbodystyle"/>
        <w:spacing w:before="240"/>
        <w:jc w:val="both"/>
        <w:rPr>
          <w:rFonts w:asciiTheme="majorHAnsi" w:hAnsiTheme="majorHAnsi" w:cstheme="majorHAnsi"/>
        </w:rPr>
      </w:pPr>
      <w:r w:rsidRPr="00CE1343">
        <w:rPr>
          <w:rFonts w:asciiTheme="majorHAnsi" w:hAnsiTheme="majorHAnsi" w:cstheme="majorHAnsi"/>
        </w:rPr>
        <w:t>The Chair of the LGB will also keep in close contact with the HR team at head office to determine if an</w:t>
      </w:r>
      <w:r w:rsidR="004C16AE" w:rsidRPr="00CE1343">
        <w:rPr>
          <w:rFonts w:asciiTheme="majorHAnsi" w:hAnsiTheme="majorHAnsi" w:cstheme="majorHAnsi"/>
        </w:rPr>
        <w:t xml:space="preserve">y </w:t>
      </w:r>
      <w:r w:rsidRPr="00CE1343">
        <w:rPr>
          <w:rFonts w:asciiTheme="majorHAnsi" w:hAnsiTheme="majorHAnsi" w:cstheme="majorHAnsi"/>
        </w:rPr>
        <w:t>disciplinary procedures need to be followed</w:t>
      </w:r>
      <w:r w:rsidR="004C16AE" w:rsidRPr="00CE1343">
        <w:rPr>
          <w:rFonts w:asciiTheme="majorHAnsi" w:hAnsiTheme="majorHAnsi" w:cstheme="majorHAnsi"/>
        </w:rPr>
        <w:t>, and if required these will be led by HR and will progress with the investigation.</w:t>
      </w:r>
    </w:p>
    <w:p w14:paraId="5ECE6689" w14:textId="4A3AF811" w:rsidR="00AD0122" w:rsidRPr="007A7AFA" w:rsidRDefault="00AD0122" w:rsidP="00043997">
      <w:pPr>
        <w:pStyle w:val="OATbodystyle"/>
        <w:spacing w:after="0"/>
        <w:rPr>
          <w:color w:val="00B0F0"/>
          <w:sz w:val="24"/>
          <w:szCs w:val="24"/>
        </w:rPr>
      </w:pPr>
      <w:r w:rsidRPr="007A7AFA">
        <w:rPr>
          <w:color w:val="00B0F0"/>
          <w:sz w:val="24"/>
          <w:szCs w:val="24"/>
        </w:rPr>
        <w:t>Prevention of Further Loss</w:t>
      </w:r>
    </w:p>
    <w:p w14:paraId="2FE32C05" w14:textId="3E961EBC" w:rsidR="00C564B6" w:rsidRPr="00CE1343" w:rsidRDefault="00C564B6" w:rsidP="00043997">
      <w:pPr>
        <w:pStyle w:val="OATbodystyle"/>
        <w:jc w:val="both"/>
        <w:rPr>
          <w:rFonts w:asciiTheme="majorHAnsi" w:hAnsiTheme="majorHAnsi" w:cstheme="majorHAnsi"/>
        </w:rPr>
      </w:pPr>
      <w:r w:rsidRPr="00CE1343">
        <w:rPr>
          <w:rFonts w:asciiTheme="majorHAnsi" w:hAnsiTheme="majorHAnsi" w:cstheme="majorHAnsi"/>
        </w:rPr>
        <w:t xml:space="preserve">Where the investigation provides </w:t>
      </w:r>
      <w:r w:rsidR="00AB3721" w:rsidRPr="00CE1343">
        <w:rPr>
          <w:rFonts w:asciiTheme="majorHAnsi" w:hAnsiTheme="majorHAnsi" w:cstheme="majorHAnsi"/>
        </w:rPr>
        <w:t xml:space="preserve">a </w:t>
      </w:r>
      <w:r w:rsidRPr="00CE1343">
        <w:rPr>
          <w:rFonts w:asciiTheme="majorHAnsi" w:hAnsiTheme="majorHAnsi" w:cstheme="majorHAnsi"/>
        </w:rPr>
        <w:t>reasonable ground for suspecting a member of staff or others or fraud, the investigating team</w:t>
      </w:r>
      <w:r w:rsidR="002A749A" w:rsidRPr="00CE1343">
        <w:rPr>
          <w:rFonts w:asciiTheme="majorHAnsi" w:hAnsiTheme="majorHAnsi" w:cstheme="majorHAnsi"/>
        </w:rPr>
        <w:t xml:space="preserve"> will need to decide on how to prevent further loss.  This may involve liaising with HR </w:t>
      </w:r>
      <w:r w:rsidR="00D81968" w:rsidRPr="00CE1343">
        <w:rPr>
          <w:rFonts w:asciiTheme="majorHAnsi" w:hAnsiTheme="majorHAnsi" w:cstheme="majorHAnsi"/>
        </w:rPr>
        <w:t>and under the appropriate disciplinary procedure</w:t>
      </w:r>
      <w:r w:rsidR="002A749A" w:rsidRPr="00CE1343">
        <w:rPr>
          <w:rFonts w:asciiTheme="majorHAnsi" w:hAnsiTheme="majorHAnsi" w:cstheme="majorHAnsi"/>
        </w:rPr>
        <w:t xml:space="preserve"> suspending the individual</w:t>
      </w:r>
      <w:r w:rsidR="00D81968" w:rsidRPr="00CE1343">
        <w:rPr>
          <w:rFonts w:asciiTheme="majorHAnsi" w:hAnsiTheme="majorHAnsi" w:cstheme="majorHAnsi"/>
        </w:rPr>
        <w:t xml:space="preserve">.  This will need careful consideration to ensure that the suspect </w:t>
      </w:r>
      <w:r w:rsidR="009A16B5" w:rsidRPr="00CE1343">
        <w:rPr>
          <w:rFonts w:asciiTheme="majorHAnsi" w:hAnsiTheme="majorHAnsi" w:cstheme="majorHAnsi"/>
        </w:rPr>
        <w:t>does not become aware of the investigation so only the individuals involved in the main inves</w:t>
      </w:r>
      <w:r w:rsidR="00F810AE" w:rsidRPr="00CE1343">
        <w:rPr>
          <w:rFonts w:asciiTheme="majorHAnsi" w:hAnsiTheme="majorHAnsi" w:cstheme="majorHAnsi"/>
        </w:rPr>
        <w:t>tigation need to be aware of this plan of action.</w:t>
      </w:r>
    </w:p>
    <w:p w14:paraId="66E42EC9" w14:textId="773D7DF8" w:rsidR="00AB3721" w:rsidRPr="00CE1343" w:rsidRDefault="00AB3721" w:rsidP="005F00D9">
      <w:pPr>
        <w:pStyle w:val="OATbodystyle"/>
        <w:spacing w:before="240"/>
        <w:jc w:val="both"/>
        <w:rPr>
          <w:rFonts w:asciiTheme="majorHAnsi" w:hAnsiTheme="majorHAnsi" w:cstheme="majorHAnsi"/>
        </w:rPr>
      </w:pPr>
      <w:r w:rsidRPr="00CE1343">
        <w:rPr>
          <w:rFonts w:asciiTheme="majorHAnsi" w:hAnsiTheme="majorHAnsi" w:cstheme="majorHAnsi"/>
        </w:rPr>
        <w:t xml:space="preserve">If the individual concerned needs to be </w:t>
      </w:r>
      <w:proofErr w:type="gramStart"/>
      <w:r w:rsidRPr="00CE1343">
        <w:rPr>
          <w:rFonts w:asciiTheme="majorHAnsi" w:hAnsiTheme="majorHAnsi" w:cstheme="majorHAnsi"/>
        </w:rPr>
        <w:t>suspended</w:t>
      </w:r>
      <w:proofErr w:type="gramEnd"/>
      <w:r w:rsidRPr="00CE1343">
        <w:rPr>
          <w:rFonts w:asciiTheme="majorHAnsi" w:hAnsiTheme="majorHAnsi" w:cstheme="majorHAnsi"/>
        </w:rPr>
        <w:t xml:space="preserve"> </w:t>
      </w:r>
      <w:r w:rsidR="002C5CC4" w:rsidRPr="00CE1343">
        <w:rPr>
          <w:rFonts w:asciiTheme="majorHAnsi" w:hAnsiTheme="majorHAnsi" w:cstheme="majorHAnsi"/>
        </w:rPr>
        <w:t xml:space="preserve">they should be supervised at all times before leaving the academy.  They should be allowed to collect personal </w:t>
      </w:r>
      <w:r w:rsidR="000970E6" w:rsidRPr="00CE1343">
        <w:rPr>
          <w:rFonts w:asciiTheme="majorHAnsi" w:hAnsiTheme="majorHAnsi" w:cstheme="majorHAnsi"/>
        </w:rPr>
        <w:t xml:space="preserve">equipment, but all passes and keys will need to be returned to the academy.  </w:t>
      </w:r>
    </w:p>
    <w:p w14:paraId="096A7DFE" w14:textId="3F2BA2A5" w:rsidR="00F810AE" w:rsidRPr="00CE1343" w:rsidRDefault="000970E6" w:rsidP="005F00D9">
      <w:pPr>
        <w:pStyle w:val="OATbodystyle"/>
        <w:spacing w:before="240"/>
        <w:jc w:val="both"/>
        <w:rPr>
          <w:rFonts w:asciiTheme="majorHAnsi" w:hAnsiTheme="majorHAnsi" w:cstheme="majorHAnsi"/>
        </w:rPr>
      </w:pPr>
      <w:r w:rsidRPr="00CE1343">
        <w:rPr>
          <w:rFonts w:asciiTheme="majorHAnsi" w:hAnsiTheme="majorHAnsi" w:cstheme="majorHAnsi"/>
        </w:rPr>
        <w:t xml:space="preserve">The </w:t>
      </w:r>
      <w:r w:rsidR="00CF5FDB" w:rsidRPr="00CE1343">
        <w:rPr>
          <w:rFonts w:asciiTheme="majorHAnsi" w:hAnsiTheme="majorHAnsi" w:cstheme="majorHAnsi"/>
        </w:rPr>
        <w:t xml:space="preserve">ICT team should also be informed </w:t>
      </w:r>
      <w:proofErr w:type="gramStart"/>
      <w:r w:rsidR="00CF5FDB" w:rsidRPr="00CE1343">
        <w:rPr>
          <w:rFonts w:asciiTheme="majorHAnsi" w:hAnsiTheme="majorHAnsi" w:cstheme="majorHAnsi"/>
        </w:rPr>
        <w:t>so as to</w:t>
      </w:r>
      <w:proofErr w:type="gramEnd"/>
      <w:r w:rsidR="00CF5FDB" w:rsidRPr="00CE1343">
        <w:rPr>
          <w:rFonts w:asciiTheme="majorHAnsi" w:hAnsiTheme="majorHAnsi" w:cstheme="majorHAnsi"/>
        </w:rPr>
        <w:t xml:space="preserve"> ensure that access rights are stopped to all </w:t>
      </w:r>
      <w:r w:rsidR="006F30ED" w:rsidRPr="00CE1343">
        <w:rPr>
          <w:rFonts w:asciiTheme="majorHAnsi" w:hAnsiTheme="majorHAnsi" w:cstheme="majorHAnsi"/>
        </w:rPr>
        <w:t xml:space="preserve">of the academy’s computer systems. </w:t>
      </w:r>
    </w:p>
    <w:p w14:paraId="18D9C9C1" w14:textId="2DC68A99" w:rsidR="0046398D" w:rsidRPr="007A7AFA" w:rsidRDefault="00905807" w:rsidP="00043997">
      <w:pPr>
        <w:pStyle w:val="OATbodystyle"/>
        <w:spacing w:after="0"/>
        <w:rPr>
          <w:color w:val="00B0F0"/>
          <w:sz w:val="24"/>
          <w:szCs w:val="24"/>
        </w:rPr>
      </w:pPr>
      <w:r w:rsidRPr="007A7AFA">
        <w:rPr>
          <w:color w:val="00B0F0"/>
          <w:sz w:val="24"/>
          <w:szCs w:val="24"/>
        </w:rPr>
        <w:t>Securing Evidence</w:t>
      </w:r>
    </w:p>
    <w:p w14:paraId="40E94BBA" w14:textId="6C9F83CC" w:rsidR="00905807" w:rsidRPr="00CE1343" w:rsidRDefault="009263CB" w:rsidP="00043997">
      <w:pPr>
        <w:pStyle w:val="OATbodystyle"/>
        <w:jc w:val="both"/>
        <w:rPr>
          <w:rFonts w:asciiTheme="majorHAnsi" w:hAnsiTheme="majorHAnsi" w:cstheme="majorHAnsi"/>
        </w:rPr>
      </w:pPr>
      <w:r w:rsidRPr="00CE1343">
        <w:rPr>
          <w:rFonts w:asciiTheme="majorHAnsi" w:hAnsiTheme="majorHAnsi" w:cstheme="majorHAnsi"/>
        </w:rPr>
        <w:t>All information should be fully documented f</w:t>
      </w:r>
      <w:r w:rsidR="008F4518" w:rsidRPr="00CE1343">
        <w:rPr>
          <w:rFonts w:asciiTheme="majorHAnsi" w:hAnsiTheme="majorHAnsi" w:cstheme="majorHAnsi"/>
        </w:rPr>
        <w:t>rom the date that the initial fraud was suspected.  Written notes should cover</w:t>
      </w:r>
      <w:r w:rsidR="002B1C5B" w:rsidRPr="00CE1343">
        <w:rPr>
          <w:rFonts w:asciiTheme="majorHAnsi" w:hAnsiTheme="majorHAnsi" w:cstheme="majorHAnsi"/>
        </w:rPr>
        <w:t xml:space="preserve"> at least</w:t>
      </w:r>
      <w:r w:rsidR="008F4518" w:rsidRPr="00CE1343">
        <w:rPr>
          <w:rFonts w:asciiTheme="majorHAnsi" w:hAnsiTheme="majorHAnsi" w:cstheme="majorHAnsi"/>
        </w:rPr>
        <w:t xml:space="preserve"> the following areas:</w:t>
      </w:r>
    </w:p>
    <w:p w14:paraId="7F413273" w14:textId="0A2679BB" w:rsidR="008F4518" w:rsidRPr="00CE1343" w:rsidRDefault="002B1C5B" w:rsidP="002B1C5B">
      <w:pPr>
        <w:pStyle w:val="OATbodystyle"/>
        <w:spacing w:after="0"/>
        <w:jc w:val="both"/>
        <w:rPr>
          <w:rFonts w:asciiTheme="majorHAnsi" w:hAnsiTheme="majorHAnsi" w:cstheme="majorHAnsi"/>
        </w:rPr>
      </w:pPr>
      <w:r w:rsidRPr="00CE1343">
        <w:rPr>
          <w:rFonts w:asciiTheme="majorHAnsi" w:hAnsiTheme="majorHAnsi" w:cstheme="majorHAnsi"/>
        </w:rPr>
        <w:t>-</w:t>
      </w:r>
      <w:r w:rsidR="008F4518" w:rsidRPr="00CE1343">
        <w:rPr>
          <w:rFonts w:asciiTheme="majorHAnsi" w:hAnsiTheme="majorHAnsi" w:cstheme="majorHAnsi"/>
        </w:rPr>
        <w:t xml:space="preserve">Name, </w:t>
      </w:r>
      <w:proofErr w:type="gramStart"/>
      <w:r w:rsidR="008F4518" w:rsidRPr="00CE1343">
        <w:rPr>
          <w:rFonts w:asciiTheme="majorHAnsi" w:hAnsiTheme="majorHAnsi" w:cstheme="majorHAnsi"/>
        </w:rPr>
        <w:t>address</w:t>
      </w:r>
      <w:proofErr w:type="gramEnd"/>
      <w:r w:rsidR="008F4518" w:rsidRPr="00CE1343">
        <w:rPr>
          <w:rFonts w:asciiTheme="majorHAnsi" w:hAnsiTheme="majorHAnsi" w:cstheme="majorHAnsi"/>
        </w:rPr>
        <w:t xml:space="preserve"> and DOB of all individuals involved in the investigation</w:t>
      </w:r>
    </w:p>
    <w:p w14:paraId="00146EDE" w14:textId="0118C33E" w:rsidR="008F4518" w:rsidRPr="00CE1343" w:rsidRDefault="002B1C5B" w:rsidP="002B1C5B">
      <w:pPr>
        <w:pStyle w:val="OATbodystyle"/>
        <w:spacing w:after="0"/>
        <w:jc w:val="both"/>
        <w:rPr>
          <w:rFonts w:asciiTheme="majorHAnsi" w:hAnsiTheme="majorHAnsi" w:cstheme="majorHAnsi"/>
        </w:rPr>
      </w:pPr>
      <w:r w:rsidRPr="00CE1343">
        <w:rPr>
          <w:rFonts w:asciiTheme="majorHAnsi" w:hAnsiTheme="majorHAnsi" w:cstheme="majorHAnsi"/>
        </w:rPr>
        <w:t>-</w:t>
      </w:r>
      <w:r w:rsidR="00A55364" w:rsidRPr="00CE1343">
        <w:rPr>
          <w:rFonts w:asciiTheme="majorHAnsi" w:hAnsiTheme="majorHAnsi" w:cstheme="majorHAnsi"/>
        </w:rPr>
        <w:t>Dates and times of key events</w:t>
      </w:r>
    </w:p>
    <w:p w14:paraId="671636EA" w14:textId="2E06DFDD" w:rsidR="00A55364" w:rsidRPr="00CE1343" w:rsidRDefault="002B1C5B" w:rsidP="002B1C5B">
      <w:pPr>
        <w:pStyle w:val="OATbodystyle"/>
        <w:spacing w:after="0"/>
        <w:jc w:val="both"/>
        <w:rPr>
          <w:rFonts w:asciiTheme="majorHAnsi" w:hAnsiTheme="majorHAnsi" w:cstheme="majorHAnsi"/>
        </w:rPr>
      </w:pPr>
      <w:r w:rsidRPr="00CE1343">
        <w:rPr>
          <w:rFonts w:asciiTheme="majorHAnsi" w:hAnsiTheme="majorHAnsi" w:cstheme="majorHAnsi"/>
        </w:rPr>
        <w:t>-</w:t>
      </w:r>
      <w:r w:rsidR="00A55364" w:rsidRPr="00CE1343">
        <w:rPr>
          <w:rFonts w:asciiTheme="majorHAnsi" w:hAnsiTheme="majorHAnsi" w:cstheme="majorHAnsi"/>
        </w:rPr>
        <w:t>Details of all conversations or incidents that were observed</w:t>
      </w:r>
    </w:p>
    <w:p w14:paraId="2E157B3F" w14:textId="34DBBA33" w:rsidR="00A23D5D" w:rsidRPr="00CE1343" w:rsidRDefault="00A23D5D" w:rsidP="002B1C5B">
      <w:pPr>
        <w:pStyle w:val="OATbodystyle"/>
        <w:spacing w:after="0"/>
        <w:jc w:val="both"/>
        <w:rPr>
          <w:rFonts w:asciiTheme="majorHAnsi" w:hAnsiTheme="majorHAnsi" w:cstheme="majorHAnsi"/>
        </w:rPr>
      </w:pPr>
      <w:r w:rsidRPr="00CE1343">
        <w:rPr>
          <w:rFonts w:asciiTheme="majorHAnsi" w:hAnsiTheme="majorHAnsi" w:cstheme="majorHAnsi"/>
        </w:rPr>
        <w:t>- Any other data relevant to the case such as telephone numbers, car registrations, bank accounts etc</w:t>
      </w:r>
    </w:p>
    <w:p w14:paraId="290603AE" w14:textId="77777777" w:rsidR="00F76FB7" w:rsidRPr="00CE1343" w:rsidRDefault="00F76FB7" w:rsidP="002B1C5B">
      <w:pPr>
        <w:pStyle w:val="OATbodystyle"/>
        <w:spacing w:after="0"/>
        <w:jc w:val="both"/>
        <w:rPr>
          <w:rFonts w:asciiTheme="majorHAnsi" w:hAnsiTheme="majorHAnsi" w:cstheme="majorHAnsi"/>
        </w:rPr>
      </w:pPr>
    </w:p>
    <w:p w14:paraId="0B3C54CE" w14:textId="58A2C9A1" w:rsidR="00D20941" w:rsidRDefault="00F76FB7" w:rsidP="002B1C5B">
      <w:pPr>
        <w:pStyle w:val="OATbodystyle"/>
        <w:spacing w:after="0"/>
        <w:jc w:val="both"/>
        <w:rPr>
          <w:rFonts w:asciiTheme="majorHAnsi" w:hAnsiTheme="majorHAnsi" w:cstheme="majorHAnsi"/>
        </w:rPr>
      </w:pPr>
      <w:r w:rsidRPr="00CE1343">
        <w:rPr>
          <w:rFonts w:asciiTheme="majorHAnsi" w:hAnsiTheme="majorHAnsi" w:cstheme="majorHAnsi"/>
        </w:rPr>
        <w:t>Any physical evidence such as invoices, receipts or</w:t>
      </w:r>
      <w:r w:rsidR="00915F8D" w:rsidRPr="00CE1343">
        <w:rPr>
          <w:rFonts w:asciiTheme="majorHAnsi" w:hAnsiTheme="majorHAnsi" w:cstheme="majorHAnsi"/>
        </w:rPr>
        <w:t xml:space="preserve"> printed</w:t>
      </w:r>
      <w:r w:rsidRPr="00CE1343">
        <w:rPr>
          <w:rFonts w:asciiTheme="majorHAnsi" w:hAnsiTheme="majorHAnsi" w:cstheme="majorHAnsi"/>
        </w:rPr>
        <w:t xml:space="preserve"> emails should be secured in a lockable safe and should be handled by as few people as possible</w:t>
      </w:r>
      <w:r w:rsidR="00D20277" w:rsidRPr="00CE1343">
        <w:rPr>
          <w:rFonts w:asciiTheme="majorHAnsi" w:hAnsiTheme="majorHAnsi" w:cstheme="majorHAnsi"/>
        </w:rPr>
        <w:t>.</w:t>
      </w:r>
    </w:p>
    <w:p w14:paraId="0088F190" w14:textId="77777777" w:rsidR="007A7AFA" w:rsidRPr="00CE1343" w:rsidRDefault="007A7AFA" w:rsidP="002B1C5B">
      <w:pPr>
        <w:pStyle w:val="OATbodystyle"/>
        <w:spacing w:after="0"/>
        <w:jc w:val="both"/>
        <w:rPr>
          <w:rFonts w:asciiTheme="majorHAnsi" w:hAnsiTheme="majorHAnsi" w:cstheme="majorHAnsi"/>
        </w:rPr>
      </w:pPr>
    </w:p>
    <w:p w14:paraId="7D4226F8" w14:textId="553C4DD3" w:rsidR="00D20941" w:rsidRPr="007A7AFA" w:rsidRDefault="00AC1E86" w:rsidP="00043997">
      <w:pPr>
        <w:pStyle w:val="OATbodystyle"/>
        <w:spacing w:after="0"/>
        <w:rPr>
          <w:color w:val="00B0F0"/>
          <w:sz w:val="24"/>
          <w:szCs w:val="24"/>
        </w:rPr>
      </w:pPr>
      <w:r w:rsidRPr="007A7AFA">
        <w:rPr>
          <w:color w:val="00B0F0"/>
          <w:sz w:val="24"/>
          <w:szCs w:val="24"/>
        </w:rPr>
        <w:t>Progress</w:t>
      </w:r>
    </w:p>
    <w:p w14:paraId="12B9BD4C" w14:textId="6CC58023" w:rsidR="007B2F34" w:rsidRPr="00CE1343" w:rsidRDefault="007B2F34" w:rsidP="00D20941">
      <w:pPr>
        <w:pStyle w:val="OATbodystyle"/>
        <w:spacing w:after="0"/>
        <w:jc w:val="both"/>
        <w:rPr>
          <w:rFonts w:asciiTheme="majorHAnsi" w:eastAsia="MS Mincho" w:hAnsiTheme="majorHAnsi" w:cstheme="majorHAnsi"/>
        </w:rPr>
      </w:pPr>
      <w:r w:rsidRPr="00CE1343">
        <w:rPr>
          <w:rFonts w:asciiTheme="majorHAnsi" w:eastAsia="MS Mincho" w:hAnsiTheme="majorHAnsi" w:cstheme="majorHAnsi"/>
        </w:rPr>
        <w:t xml:space="preserve"> The LBG should </w:t>
      </w:r>
      <w:r w:rsidR="00AC1E86" w:rsidRPr="00CE1343">
        <w:rPr>
          <w:rFonts w:asciiTheme="majorHAnsi" w:eastAsia="MS Mincho" w:hAnsiTheme="majorHAnsi" w:cstheme="majorHAnsi"/>
        </w:rPr>
        <w:t xml:space="preserve">prepare regular reports informing the National Director of Finance and Strategy </w:t>
      </w:r>
      <w:r w:rsidR="005C7E5E" w:rsidRPr="00CE1343">
        <w:rPr>
          <w:rFonts w:asciiTheme="majorHAnsi" w:eastAsia="MS Mincho" w:hAnsiTheme="majorHAnsi" w:cstheme="majorHAnsi"/>
        </w:rPr>
        <w:t>of the progress of their investigation</w:t>
      </w:r>
      <w:r w:rsidR="0008174D" w:rsidRPr="00CE1343">
        <w:rPr>
          <w:rFonts w:asciiTheme="majorHAnsi" w:eastAsia="MS Mincho" w:hAnsiTheme="majorHAnsi" w:cstheme="majorHAnsi"/>
        </w:rPr>
        <w:t>, on at least a weekly basis following the start of the investigation.</w:t>
      </w:r>
    </w:p>
    <w:p w14:paraId="7A7205BD" w14:textId="77777777" w:rsidR="005C7E5E" w:rsidRPr="00CE1343" w:rsidRDefault="005C7E5E" w:rsidP="00D20941">
      <w:pPr>
        <w:pStyle w:val="OATbodystyle"/>
        <w:spacing w:after="0"/>
        <w:jc w:val="both"/>
        <w:rPr>
          <w:rFonts w:asciiTheme="majorHAnsi" w:eastAsia="MS Mincho" w:hAnsiTheme="majorHAnsi" w:cstheme="majorHAnsi"/>
        </w:rPr>
      </w:pPr>
    </w:p>
    <w:p w14:paraId="27B345B0" w14:textId="0209771D" w:rsidR="005C7E5E" w:rsidRPr="00CE1343" w:rsidRDefault="005C7E5E" w:rsidP="00D20941">
      <w:pPr>
        <w:pStyle w:val="OATbodystyle"/>
        <w:spacing w:after="0"/>
        <w:jc w:val="both"/>
        <w:rPr>
          <w:rFonts w:asciiTheme="majorHAnsi" w:eastAsia="MS Mincho" w:hAnsiTheme="majorHAnsi" w:cstheme="majorHAnsi"/>
        </w:rPr>
      </w:pPr>
      <w:r w:rsidRPr="00CE1343">
        <w:rPr>
          <w:rFonts w:asciiTheme="majorHAnsi" w:eastAsia="MS Mincho" w:hAnsiTheme="majorHAnsi" w:cstheme="majorHAnsi"/>
        </w:rPr>
        <w:t>This should include progress with regards to recovery of funds/assets, update on any disciplinary action or if it has escalated to criminal action, actions taken to prevent further incidents and timeline for completion.</w:t>
      </w:r>
    </w:p>
    <w:p w14:paraId="5B4E3B1F" w14:textId="69F2AAD0" w:rsidR="005C7E5E" w:rsidRPr="00CE1343" w:rsidRDefault="005C7E5E" w:rsidP="00D20941">
      <w:pPr>
        <w:pStyle w:val="OATbodystyle"/>
        <w:spacing w:after="0"/>
        <w:jc w:val="both"/>
        <w:rPr>
          <w:rFonts w:asciiTheme="majorHAnsi" w:eastAsia="MS Mincho" w:hAnsiTheme="majorHAnsi" w:cstheme="majorHAnsi"/>
        </w:rPr>
      </w:pPr>
    </w:p>
    <w:p w14:paraId="4253C201" w14:textId="3566C0C8" w:rsidR="00A004AA" w:rsidRPr="00CE1343" w:rsidRDefault="004133F1" w:rsidP="00D20941">
      <w:pPr>
        <w:pStyle w:val="OATbodystyle"/>
        <w:spacing w:after="0"/>
        <w:jc w:val="both"/>
        <w:rPr>
          <w:rFonts w:asciiTheme="majorHAnsi" w:eastAsia="MS Mincho" w:hAnsiTheme="majorHAnsi" w:cstheme="majorHAnsi"/>
        </w:rPr>
      </w:pPr>
      <w:r w:rsidRPr="00CE1343">
        <w:rPr>
          <w:rFonts w:asciiTheme="majorHAnsi" w:eastAsia="MS Mincho" w:hAnsiTheme="majorHAnsi" w:cstheme="majorHAnsi"/>
        </w:rPr>
        <w:t xml:space="preserve">The report will also state at this point if the ESFA need to be informed. </w:t>
      </w:r>
    </w:p>
    <w:p w14:paraId="6A8AC32A" w14:textId="2122106F" w:rsidR="0046398D" w:rsidRPr="007A7AFA" w:rsidRDefault="00905807" w:rsidP="00A004AA">
      <w:pPr>
        <w:pStyle w:val="OATbodystyle"/>
        <w:spacing w:after="0"/>
        <w:rPr>
          <w:color w:val="00B0F0"/>
          <w:sz w:val="24"/>
          <w:szCs w:val="24"/>
        </w:rPr>
      </w:pPr>
      <w:r w:rsidRPr="007A7AFA">
        <w:rPr>
          <w:color w:val="00B0F0"/>
          <w:sz w:val="24"/>
          <w:szCs w:val="24"/>
        </w:rPr>
        <w:lastRenderedPageBreak/>
        <w:t>Reporting to the ESFA</w:t>
      </w:r>
    </w:p>
    <w:p w14:paraId="2B73108D" w14:textId="2CFC98BD" w:rsidR="005F00D9" w:rsidRPr="00CE1343" w:rsidRDefault="005F00D9" w:rsidP="00A004AA">
      <w:pPr>
        <w:pStyle w:val="OATbodystyle"/>
        <w:jc w:val="both"/>
        <w:rPr>
          <w:rFonts w:asciiTheme="majorHAnsi" w:hAnsiTheme="majorHAnsi" w:cstheme="majorHAnsi"/>
        </w:rPr>
      </w:pPr>
      <w:r w:rsidRPr="00CE1343">
        <w:rPr>
          <w:rFonts w:asciiTheme="majorHAnsi" w:hAnsiTheme="majorHAnsi" w:cstheme="majorHAnsi"/>
        </w:rPr>
        <w:t>The Trust</w:t>
      </w:r>
      <w:r w:rsidR="003A5905" w:rsidRPr="00CE1343">
        <w:rPr>
          <w:rFonts w:asciiTheme="majorHAnsi" w:hAnsiTheme="majorHAnsi" w:cstheme="majorHAnsi"/>
        </w:rPr>
        <w:t xml:space="preserve"> (the National Director of Finance and </w:t>
      </w:r>
      <w:r w:rsidR="00320FA6" w:rsidRPr="00CE1343">
        <w:rPr>
          <w:rFonts w:asciiTheme="majorHAnsi" w:hAnsiTheme="majorHAnsi" w:cstheme="majorHAnsi"/>
        </w:rPr>
        <w:t>Strategy) must</w:t>
      </w:r>
      <w:r w:rsidRPr="00CE1343">
        <w:rPr>
          <w:rFonts w:asciiTheme="majorHAnsi" w:hAnsiTheme="majorHAnsi" w:cstheme="majorHAnsi"/>
        </w:rPr>
        <w:t xml:space="preserve"> notify the ESFA as soon as it is operationally practical based on its </w:t>
      </w:r>
      <w:proofErr w:type="gramStart"/>
      <w:r w:rsidRPr="00CE1343">
        <w:rPr>
          <w:rFonts w:asciiTheme="majorHAnsi" w:hAnsiTheme="majorHAnsi" w:cstheme="majorHAnsi"/>
        </w:rPr>
        <w:t>particular circumstances</w:t>
      </w:r>
      <w:proofErr w:type="gramEnd"/>
      <w:r w:rsidRPr="00CE1343">
        <w:rPr>
          <w:rFonts w:asciiTheme="majorHAnsi" w:hAnsiTheme="majorHAnsi" w:cstheme="majorHAnsi"/>
        </w:rPr>
        <w:t xml:space="preserve"> of any instances of fraud, theft and or irregularity, exceeding £5,000 individually or £5,000 cumulatively in any accounting financial year.</w:t>
      </w:r>
    </w:p>
    <w:p w14:paraId="784EC643" w14:textId="77777777" w:rsidR="005F00D9" w:rsidRPr="00CE1343" w:rsidRDefault="005F00D9" w:rsidP="005F00D9">
      <w:pPr>
        <w:pStyle w:val="OATbodystyle"/>
        <w:spacing w:before="240"/>
        <w:jc w:val="both"/>
        <w:rPr>
          <w:rFonts w:asciiTheme="majorHAnsi" w:hAnsiTheme="majorHAnsi" w:cstheme="majorHAnsi"/>
        </w:rPr>
      </w:pPr>
      <w:r w:rsidRPr="00CE1343">
        <w:rPr>
          <w:rFonts w:asciiTheme="majorHAnsi" w:hAnsiTheme="majorHAnsi" w:cstheme="majorHAnsi"/>
        </w:rPr>
        <w:t>Any unusual or systematic fraud, regardless of value must be reported.  The following information is required:</w:t>
      </w:r>
    </w:p>
    <w:p w14:paraId="0118FEC4" w14:textId="77777777" w:rsidR="005F00D9" w:rsidRPr="00CE1343" w:rsidRDefault="005F00D9" w:rsidP="007A5166">
      <w:pPr>
        <w:pStyle w:val="OATliststyle"/>
        <w:numPr>
          <w:ilvl w:val="0"/>
          <w:numId w:val="12"/>
        </w:numPr>
        <w:tabs>
          <w:tab w:val="clear" w:pos="284"/>
          <w:tab w:val="left" w:pos="709"/>
        </w:tabs>
        <w:ind w:hanging="720"/>
        <w:rPr>
          <w:rFonts w:asciiTheme="majorHAnsi" w:hAnsiTheme="majorHAnsi" w:cstheme="majorHAnsi"/>
        </w:rPr>
      </w:pPr>
      <w:r w:rsidRPr="00CE1343">
        <w:rPr>
          <w:rFonts w:asciiTheme="majorHAnsi" w:hAnsiTheme="majorHAnsi" w:cstheme="majorHAnsi"/>
        </w:rPr>
        <w:t>Full details of the event(s) with dates</w:t>
      </w:r>
    </w:p>
    <w:p w14:paraId="36F25396" w14:textId="77777777" w:rsidR="005F00D9" w:rsidRPr="00CE1343" w:rsidRDefault="005F00D9" w:rsidP="007A5166">
      <w:pPr>
        <w:pStyle w:val="OATliststyle"/>
        <w:numPr>
          <w:ilvl w:val="0"/>
          <w:numId w:val="12"/>
        </w:numPr>
        <w:tabs>
          <w:tab w:val="clear" w:pos="284"/>
          <w:tab w:val="left" w:pos="709"/>
        </w:tabs>
        <w:ind w:hanging="720"/>
        <w:rPr>
          <w:rFonts w:asciiTheme="majorHAnsi" w:hAnsiTheme="majorHAnsi" w:cstheme="majorHAnsi"/>
        </w:rPr>
      </w:pPr>
      <w:r w:rsidRPr="00CE1343">
        <w:rPr>
          <w:rFonts w:asciiTheme="majorHAnsi" w:hAnsiTheme="majorHAnsi" w:cstheme="majorHAnsi"/>
        </w:rPr>
        <w:t>The financial value of the loss</w:t>
      </w:r>
    </w:p>
    <w:p w14:paraId="2C643673" w14:textId="77777777" w:rsidR="00C35968" w:rsidRPr="00CE1343" w:rsidRDefault="005F00D9" w:rsidP="007A5166">
      <w:pPr>
        <w:pStyle w:val="OATliststyle"/>
        <w:numPr>
          <w:ilvl w:val="0"/>
          <w:numId w:val="12"/>
        </w:numPr>
        <w:tabs>
          <w:tab w:val="clear" w:pos="284"/>
          <w:tab w:val="left" w:pos="709"/>
        </w:tabs>
        <w:ind w:hanging="720"/>
        <w:rPr>
          <w:rFonts w:asciiTheme="majorHAnsi" w:hAnsiTheme="majorHAnsi" w:cstheme="majorHAnsi"/>
        </w:rPr>
      </w:pPr>
      <w:r w:rsidRPr="00CE1343">
        <w:rPr>
          <w:rFonts w:asciiTheme="majorHAnsi" w:hAnsiTheme="majorHAnsi" w:cstheme="majorHAnsi"/>
        </w:rPr>
        <w:t xml:space="preserve">Measures taken by the Trust to prevent </w:t>
      </w:r>
      <w:proofErr w:type="gramStart"/>
      <w:r w:rsidRPr="00CE1343">
        <w:rPr>
          <w:rFonts w:asciiTheme="majorHAnsi" w:hAnsiTheme="majorHAnsi" w:cstheme="majorHAnsi"/>
        </w:rPr>
        <w:t>recurrence</w:t>
      </w:r>
      <w:proofErr w:type="gramEnd"/>
    </w:p>
    <w:p w14:paraId="2AB28E64" w14:textId="63897BEE" w:rsidR="005F00D9" w:rsidRPr="00CE1343" w:rsidRDefault="005F00D9" w:rsidP="007A5166">
      <w:pPr>
        <w:pStyle w:val="OATliststyle"/>
        <w:numPr>
          <w:ilvl w:val="0"/>
          <w:numId w:val="12"/>
        </w:numPr>
        <w:tabs>
          <w:tab w:val="clear" w:pos="284"/>
          <w:tab w:val="left" w:pos="709"/>
        </w:tabs>
        <w:ind w:hanging="720"/>
        <w:rPr>
          <w:rFonts w:asciiTheme="majorHAnsi" w:hAnsiTheme="majorHAnsi" w:cstheme="majorHAnsi"/>
        </w:rPr>
      </w:pPr>
      <w:r w:rsidRPr="00CE1343">
        <w:rPr>
          <w:rFonts w:asciiTheme="majorHAnsi" w:hAnsiTheme="majorHAnsi" w:cstheme="majorHAnsi"/>
        </w:rPr>
        <w:t>Whether the matter was referred to the police (and why if not)</w:t>
      </w:r>
    </w:p>
    <w:p w14:paraId="2350D149" w14:textId="2E9B57BB" w:rsidR="00BC4006" w:rsidRPr="00CE1343" w:rsidRDefault="005F00D9" w:rsidP="00B74F36">
      <w:pPr>
        <w:pStyle w:val="OATbodystyle"/>
        <w:rPr>
          <w:rFonts w:asciiTheme="majorHAnsi" w:hAnsiTheme="majorHAnsi" w:cstheme="majorHAnsi"/>
        </w:rPr>
      </w:pPr>
      <w:r w:rsidRPr="00CE1343">
        <w:rPr>
          <w:rFonts w:asciiTheme="majorHAnsi" w:hAnsiTheme="majorHAnsi" w:cstheme="majorHAnsi"/>
        </w:rPr>
        <w:t>Whether insurance cover or</w:t>
      </w:r>
      <w:r w:rsidR="00C965B2" w:rsidRPr="00CE1343">
        <w:rPr>
          <w:rFonts w:asciiTheme="majorHAnsi" w:hAnsiTheme="majorHAnsi" w:cstheme="majorHAnsi"/>
        </w:rPr>
        <w:t xml:space="preserve"> the</w:t>
      </w:r>
      <w:r w:rsidRPr="00CE1343">
        <w:rPr>
          <w:rFonts w:asciiTheme="majorHAnsi" w:hAnsiTheme="majorHAnsi" w:cstheme="majorHAnsi"/>
        </w:rPr>
        <w:t xml:space="preserve"> risk protection arrangement have offset any loss.</w:t>
      </w:r>
    </w:p>
    <w:p w14:paraId="3FE89DC4" w14:textId="6B445281" w:rsidR="005F00D9" w:rsidRPr="00A004AA" w:rsidRDefault="00B74F36" w:rsidP="00A004AA">
      <w:pPr>
        <w:pStyle w:val="OATbodystyle"/>
        <w:spacing w:before="240" w:after="0"/>
        <w:rPr>
          <w:color w:val="00B0F0"/>
          <w:sz w:val="24"/>
          <w:szCs w:val="24"/>
        </w:rPr>
      </w:pPr>
      <w:r w:rsidRPr="007A7AFA">
        <w:rPr>
          <w:color w:val="00B0F0"/>
          <w:sz w:val="24"/>
          <w:szCs w:val="24"/>
        </w:rPr>
        <w:t>Reporting to the Audit and Risk Committee</w:t>
      </w:r>
    </w:p>
    <w:p w14:paraId="1EAF1343" w14:textId="30561C92" w:rsidR="004133F1" w:rsidRPr="00CE1343" w:rsidRDefault="004133F1" w:rsidP="00A004AA">
      <w:pPr>
        <w:rPr>
          <w:rFonts w:asciiTheme="majorHAnsi" w:hAnsiTheme="majorHAnsi" w:cstheme="majorHAnsi"/>
          <w:sz w:val="20"/>
          <w:szCs w:val="20"/>
        </w:rPr>
      </w:pPr>
      <w:r w:rsidRPr="00CE1343">
        <w:rPr>
          <w:rFonts w:asciiTheme="majorHAnsi" w:hAnsiTheme="majorHAnsi" w:cstheme="majorHAnsi"/>
          <w:sz w:val="20"/>
          <w:szCs w:val="20"/>
        </w:rPr>
        <w:t xml:space="preserve">The final report prepared by the LGB will then </w:t>
      </w:r>
      <w:r w:rsidR="002752F5" w:rsidRPr="00CE1343">
        <w:rPr>
          <w:rFonts w:asciiTheme="majorHAnsi" w:hAnsiTheme="majorHAnsi" w:cstheme="majorHAnsi"/>
          <w:sz w:val="20"/>
          <w:szCs w:val="20"/>
        </w:rPr>
        <w:t>include documentation from the National Director of Finance and Strategy informing the ESFA of the fraud</w:t>
      </w:r>
      <w:r w:rsidR="00B74F36" w:rsidRPr="00CE1343">
        <w:rPr>
          <w:rFonts w:asciiTheme="majorHAnsi" w:hAnsiTheme="majorHAnsi" w:cstheme="majorHAnsi"/>
          <w:sz w:val="20"/>
          <w:szCs w:val="20"/>
        </w:rPr>
        <w:t xml:space="preserve"> and their response. </w:t>
      </w:r>
    </w:p>
    <w:p w14:paraId="68863A8B" w14:textId="77777777" w:rsidR="00320FA6" w:rsidRPr="00CE1343" w:rsidRDefault="00320FA6" w:rsidP="00566B99">
      <w:pPr>
        <w:rPr>
          <w:rFonts w:asciiTheme="majorHAnsi" w:hAnsiTheme="majorHAnsi" w:cstheme="majorHAnsi"/>
          <w:sz w:val="20"/>
          <w:szCs w:val="20"/>
        </w:rPr>
      </w:pPr>
    </w:p>
    <w:p w14:paraId="301E9BE9" w14:textId="71677774" w:rsidR="00B74F36" w:rsidRPr="00CE1343" w:rsidRDefault="00B74F36" w:rsidP="00566B99">
      <w:pPr>
        <w:rPr>
          <w:rFonts w:asciiTheme="majorHAnsi" w:hAnsiTheme="majorHAnsi" w:cstheme="majorHAnsi"/>
          <w:sz w:val="20"/>
          <w:szCs w:val="20"/>
        </w:rPr>
      </w:pPr>
      <w:r w:rsidRPr="00CE1343">
        <w:rPr>
          <w:rFonts w:asciiTheme="majorHAnsi" w:hAnsiTheme="majorHAnsi" w:cstheme="majorHAnsi"/>
          <w:sz w:val="20"/>
          <w:szCs w:val="20"/>
        </w:rPr>
        <w:t>This report will then be shared with the Audit and Risk Committee.</w:t>
      </w:r>
    </w:p>
    <w:p w14:paraId="15C1DC0B" w14:textId="77777777" w:rsidR="005F00D9" w:rsidRPr="00CE1343" w:rsidRDefault="005F00D9" w:rsidP="00566B99">
      <w:pPr>
        <w:rPr>
          <w:rFonts w:asciiTheme="majorHAnsi" w:hAnsiTheme="majorHAnsi" w:cstheme="majorHAnsi"/>
          <w:sz w:val="20"/>
          <w:szCs w:val="20"/>
        </w:rPr>
      </w:pPr>
    </w:p>
    <w:p w14:paraId="09057C38" w14:textId="1696CA2D" w:rsidR="00953EF6" w:rsidRPr="00CE1343" w:rsidRDefault="00953EF6" w:rsidP="005F00D9">
      <w:pPr>
        <w:rPr>
          <w:rFonts w:asciiTheme="majorHAnsi" w:hAnsiTheme="majorHAnsi" w:cstheme="majorHAnsi"/>
          <w:sz w:val="20"/>
          <w:szCs w:val="20"/>
        </w:rPr>
        <w:sectPr w:rsidR="00953EF6" w:rsidRPr="00CE1343" w:rsidSect="00246A28">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p>
    <w:p w14:paraId="0C9AF170" w14:textId="75681F36" w:rsidR="008F53B7" w:rsidRPr="00CE1343" w:rsidRDefault="008F53B7" w:rsidP="00D761BE">
      <w:pPr>
        <w:pStyle w:val="OATheader"/>
        <w:rPr>
          <w:rFonts w:asciiTheme="majorHAnsi" w:hAnsiTheme="majorHAnsi" w:cstheme="majorHAnsi"/>
        </w:rPr>
      </w:pPr>
    </w:p>
    <w:p w14:paraId="0D73E400" w14:textId="493B7662" w:rsidR="006E6BE1" w:rsidRPr="003763AD" w:rsidRDefault="003C07E6" w:rsidP="00D761BE">
      <w:pPr>
        <w:pStyle w:val="OATheader"/>
        <w:rPr>
          <w:rFonts w:asciiTheme="majorHAnsi" w:hAnsiTheme="majorHAnsi" w:cstheme="majorHAnsi"/>
          <w:sz w:val="36"/>
          <w:szCs w:val="36"/>
        </w:rPr>
      </w:pPr>
      <w:bookmarkStart w:id="12" w:name="_Toc146726369"/>
      <w:r w:rsidRPr="003763AD">
        <w:rPr>
          <w:rFonts w:asciiTheme="majorHAnsi" w:hAnsiTheme="majorHAnsi" w:cstheme="majorHAnsi"/>
          <w:noProof/>
          <w:sz w:val="36"/>
          <w:szCs w:val="36"/>
        </w:rPr>
        <w:drawing>
          <wp:anchor distT="0" distB="0" distL="114300" distR="114300" simplePos="0" relativeHeight="251658243" behindDoc="0" locked="0" layoutInCell="1" allowOverlap="1" wp14:anchorId="4895CD43" wp14:editId="34E1AC6B">
            <wp:simplePos x="0" y="0"/>
            <wp:positionH relativeFrom="column">
              <wp:posOffset>-245110</wp:posOffset>
            </wp:positionH>
            <wp:positionV relativeFrom="paragraph">
              <wp:posOffset>626745</wp:posOffset>
            </wp:positionV>
            <wp:extent cx="8442960" cy="45275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42960" cy="4527550"/>
                    </a:xfrm>
                    <a:prstGeom prst="rect">
                      <a:avLst/>
                    </a:prstGeom>
                  </pic:spPr>
                </pic:pic>
              </a:graphicData>
            </a:graphic>
            <wp14:sizeRelH relativeFrom="page">
              <wp14:pctWidth>0</wp14:pctWidth>
            </wp14:sizeRelH>
            <wp14:sizeRelV relativeFrom="page">
              <wp14:pctHeight>0</wp14:pctHeight>
            </wp14:sizeRelV>
          </wp:anchor>
        </w:drawing>
      </w:r>
      <w:r w:rsidR="00D761BE" w:rsidRPr="003763AD">
        <w:rPr>
          <w:rFonts w:asciiTheme="majorHAnsi" w:hAnsiTheme="majorHAnsi" w:cstheme="majorHAnsi"/>
          <w:sz w:val="36"/>
          <w:szCs w:val="36"/>
        </w:rPr>
        <w:t>Appendix</w:t>
      </w:r>
      <w:r w:rsidR="005F751E" w:rsidRPr="003763AD">
        <w:rPr>
          <w:rFonts w:asciiTheme="majorHAnsi" w:hAnsiTheme="majorHAnsi" w:cstheme="majorHAnsi"/>
          <w:sz w:val="36"/>
          <w:szCs w:val="36"/>
        </w:rPr>
        <w:t xml:space="preserve"> </w:t>
      </w:r>
      <w:r w:rsidR="00412ED2" w:rsidRPr="003763AD">
        <w:rPr>
          <w:rFonts w:asciiTheme="majorHAnsi" w:hAnsiTheme="majorHAnsi" w:cstheme="majorHAnsi"/>
          <w:sz w:val="36"/>
          <w:szCs w:val="36"/>
        </w:rPr>
        <w:t>–</w:t>
      </w:r>
      <w:r w:rsidR="005F751E" w:rsidRPr="003763AD">
        <w:rPr>
          <w:rFonts w:asciiTheme="majorHAnsi" w:hAnsiTheme="majorHAnsi" w:cstheme="majorHAnsi"/>
          <w:sz w:val="36"/>
          <w:szCs w:val="36"/>
        </w:rPr>
        <w:t xml:space="preserve"> </w:t>
      </w:r>
      <w:r w:rsidR="00412ED2" w:rsidRPr="003763AD">
        <w:rPr>
          <w:rFonts w:asciiTheme="majorHAnsi" w:hAnsiTheme="majorHAnsi" w:cstheme="majorHAnsi"/>
          <w:sz w:val="36"/>
          <w:szCs w:val="36"/>
        </w:rPr>
        <w:t>flowcharts</w:t>
      </w:r>
      <w:bookmarkEnd w:id="12"/>
    </w:p>
    <w:p w14:paraId="09397C0D" w14:textId="7D58A828" w:rsidR="00122125" w:rsidRPr="00CE1343" w:rsidRDefault="00122125" w:rsidP="00D761BE">
      <w:pPr>
        <w:pStyle w:val="OATheader"/>
        <w:rPr>
          <w:rFonts w:asciiTheme="majorHAnsi" w:hAnsiTheme="majorHAnsi" w:cstheme="majorHAnsi"/>
        </w:rPr>
      </w:pPr>
    </w:p>
    <w:p w14:paraId="4D37F187" w14:textId="7639B091" w:rsidR="00122125" w:rsidRPr="00CE1343" w:rsidRDefault="00122125" w:rsidP="00D761BE">
      <w:pPr>
        <w:pStyle w:val="OATheader"/>
        <w:rPr>
          <w:rFonts w:asciiTheme="majorHAnsi" w:hAnsiTheme="majorHAnsi" w:cstheme="majorHAnsi"/>
        </w:rPr>
      </w:pPr>
    </w:p>
    <w:p w14:paraId="1E37936E" w14:textId="77777777" w:rsidR="00122125" w:rsidRPr="00CE1343" w:rsidRDefault="00122125" w:rsidP="00D761BE">
      <w:pPr>
        <w:pStyle w:val="OATheader"/>
        <w:rPr>
          <w:rFonts w:asciiTheme="majorHAnsi" w:hAnsiTheme="majorHAnsi" w:cstheme="majorHAnsi"/>
        </w:rPr>
      </w:pPr>
    </w:p>
    <w:p w14:paraId="0BD58966" w14:textId="1A04CA73" w:rsidR="006E6BE1" w:rsidRPr="00CE1343" w:rsidRDefault="006E6BE1" w:rsidP="00D761BE">
      <w:pPr>
        <w:pStyle w:val="OATheader"/>
        <w:rPr>
          <w:rFonts w:asciiTheme="majorHAnsi" w:hAnsiTheme="majorHAnsi" w:cstheme="majorHAnsi"/>
        </w:rPr>
      </w:pPr>
    </w:p>
    <w:p w14:paraId="44D760B0" w14:textId="15A521A6" w:rsidR="006E6BE1" w:rsidRPr="00CE1343" w:rsidRDefault="006E6BE1" w:rsidP="00D761BE">
      <w:pPr>
        <w:pStyle w:val="OATheader"/>
        <w:rPr>
          <w:rFonts w:asciiTheme="majorHAnsi" w:hAnsiTheme="majorHAnsi" w:cstheme="majorHAnsi"/>
        </w:rPr>
      </w:pPr>
    </w:p>
    <w:p w14:paraId="7B088B62" w14:textId="11D823A5" w:rsidR="006E6BE1" w:rsidRPr="00CE1343" w:rsidRDefault="006E6BE1" w:rsidP="00D761BE">
      <w:pPr>
        <w:pStyle w:val="OATheader"/>
        <w:rPr>
          <w:rFonts w:asciiTheme="majorHAnsi" w:hAnsiTheme="majorHAnsi" w:cstheme="majorHAnsi"/>
        </w:rPr>
      </w:pPr>
    </w:p>
    <w:p w14:paraId="05244DE4" w14:textId="5CCCDA99" w:rsidR="00EB1BA6" w:rsidRPr="00CE1343" w:rsidRDefault="00EB1BA6" w:rsidP="00D761BE">
      <w:pPr>
        <w:pStyle w:val="OATheader"/>
        <w:rPr>
          <w:rFonts w:asciiTheme="majorHAnsi" w:hAnsiTheme="majorHAnsi" w:cstheme="majorHAnsi"/>
        </w:rPr>
      </w:pPr>
    </w:p>
    <w:p w14:paraId="38CE145D" w14:textId="5CA0A55A" w:rsidR="008D22F2" w:rsidRPr="00CE1343" w:rsidRDefault="008D22F2" w:rsidP="008D22F2">
      <w:pPr>
        <w:rPr>
          <w:rFonts w:asciiTheme="majorHAnsi" w:hAnsiTheme="majorHAnsi" w:cstheme="majorHAnsi"/>
          <w:lang w:val="en-US"/>
        </w:rPr>
      </w:pPr>
    </w:p>
    <w:p w14:paraId="19F46582" w14:textId="4FE6F0B6" w:rsidR="003F1AA8" w:rsidRPr="00CE1343" w:rsidRDefault="003F1AA8" w:rsidP="008D22F2">
      <w:pPr>
        <w:rPr>
          <w:rFonts w:asciiTheme="majorHAnsi" w:hAnsiTheme="majorHAnsi" w:cstheme="majorHAnsi"/>
          <w:lang w:val="en-US"/>
        </w:rPr>
      </w:pPr>
    </w:p>
    <w:p w14:paraId="69AD50B4" w14:textId="38FDFA62" w:rsidR="003F1AA8" w:rsidRPr="00CE1343" w:rsidRDefault="003F1AA8" w:rsidP="008D22F2">
      <w:pPr>
        <w:rPr>
          <w:rFonts w:asciiTheme="majorHAnsi" w:hAnsiTheme="majorHAnsi" w:cstheme="majorHAnsi"/>
          <w:lang w:val="en-US"/>
        </w:rPr>
      </w:pPr>
    </w:p>
    <w:p w14:paraId="60423C1C" w14:textId="63693A1E" w:rsidR="00A92FA3" w:rsidRPr="00CE1343" w:rsidRDefault="00B32821" w:rsidP="00A92FA3">
      <w:pPr>
        <w:pStyle w:val="OATsubheader1"/>
        <w:rPr>
          <w:rFonts w:asciiTheme="majorHAnsi" w:hAnsiTheme="majorHAnsi" w:cstheme="majorHAnsi"/>
        </w:rPr>
      </w:pPr>
      <w:bookmarkStart w:id="13" w:name="_Toc109301599"/>
      <w:bookmarkStart w:id="14" w:name="_Toc146725336"/>
      <w:bookmarkStart w:id="15" w:name="_Toc146725710"/>
      <w:bookmarkStart w:id="16" w:name="_Toc146726370"/>
      <w:r w:rsidRPr="00CE1343">
        <w:rPr>
          <w:rFonts w:asciiTheme="majorHAnsi" w:hAnsiTheme="majorHAnsi" w:cstheme="majorHAnsi"/>
          <w:noProof/>
        </w:rPr>
        <w:drawing>
          <wp:anchor distT="0" distB="0" distL="114300" distR="114300" simplePos="0" relativeHeight="251659267" behindDoc="1" locked="0" layoutInCell="1" allowOverlap="1" wp14:anchorId="2879523A" wp14:editId="75A4E4C0">
            <wp:simplePos x="0" y="0"/>
            <wp:positionH relativeFrom="margin">
              <wp:posOffset>-47625</wp:posOffset>
            </wp:positionH>
            <wp:positionV relativeFrom="paragraph">
              <wp:posOffset>13970</wp:posOffset>
            </wp:positionV>
            <wp:extent cx="8334375" cy="5607023"/>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8334375" cy="5607023"/>
                    </a:xfrm>
                    <a:prstGeom prst="rect">
                      <a:avLst/>
                    </a:prstGeom>
                  </pic:spPr>
                </pic:pic>
              </a:graphicData>
            </a:graphic>
            <wp14:sizeRelH relativeFrom="margin">
              <wp14:pctWidth>0</wp14:pctWidth>
            </wp14:sizeRelH>
            <wp14:sizeRelV relativeFrom="margin">
              <wp14:pctHeight>0</wp14:pctHeight>
            </wp14:sizeRelV>
          </wp:anchor>
        </w:drawing>
      </w:r>
      <w:bookmarkEnd w:id="13"/>
      <w:bookmarkEnd w:id="14"/>
      <w:bookmarkEnd w:id="15"/>
      <w:bookmarkEnd w:id="16"/>
    </w:p>
    <w:p w14:paraId="38B80137" w14:textId="7CC66DA4" w:rsidR="00A92FA3" w:rsidRPr="00CE1343" w:rsidRDefault="00A92FA3" w:rsidP="00A92FA3">
      <w:pPr>
        <w:pStyle w:val="OATsubheader1"/>
        <w:rPr>
          <w:rFonts w:asciiTheme="majorHAnsi" w:hAnsiTheme="majorHAnsi" w:cstheme="majorHAnsi"/>
        </w:rPr>
      </w:pPr>
    </w:p>
    <w:p w14:paraId="24C633F8" w14:textId="79D58EAE" w:rsidR="00A92FA3" w:rsidRPr="00D841C8" w:rsidRDefault="000E1740" w:rsidP="00A92FA3">
      <w:pPr>
        <w:pStyle w:val="OATsubheader1"/>
        <w:rPr>
          <w:rFonts w:asciiTheme="majorHAnsi" w:hAnsiTheme="majorHAnsi" w:cstheme="majorHAnsi"/>
          <w:sz w:val="36"/>
          <w:szCs w:val="36"/>
        </w:rPr>
      </w:pPr>
      <w:bookmarkStart w:id="17" w:name="_Toc146726371"/>
      <w:r w:rsidRPr="00D841C8">
        <w:rPr>
          <w:rFonts w:asciiTheme="majorHAnsi" w:hAnsiTheme="majorHAnsi" w:cstheme="majorHAnsi"/>
          <w:sz w:val="36"/>
          <w:szCs w:val="36"/>
        </w:rPr>
        <w:t>Appendix</w:t>
      </w:r>
      <w:r w:rsidR="00A92FA3" w:rsidRPr="00D841C8">
        <w:rPr>
          <w:rFonts w:asciiTheme="majorHAnsi" w:hAnsiTheme="majorHAnsi" w:cstheme="majorHAnsi"/>
          <w:sz w:val="36"/>
          <w:szCs w:val="36"/>
        </w:rPr>
        <w:t xml:space="preserve"> A</w:t>
      </w:r>
      <w:bookmarkEnd w:id="17"/>
    </w:p>
    <w:p w14:paraId="0C0DA8FF" w14:textId="31D4B92C" w:rsidR="00A0283B" w:rsidRPr="00CE1343" w:rsidRDefault="00A0283B" w:rsidP="00A92FA3">
      <w:pPr>
        <w:pStyle w:val="OATsubheader1"/>
        <w:rPr>
          <w:rFonts w:asciiTheme="majorHAnsi" w:hAnsiTheme="majorHAnsi" w:cstheme="majorHAnsi"/>
        </w:rPr>
      </w:pPr>
    </w:p>
    <w:p w14:paraId="48D0913E" w14:textId="0D41CF8E" w:rsidR="00813DC2" w:rsidRPr="00CE1343" w:rsidRDefault="00813DC2" w:rsidP="00A92FA3">
      <w:pPr>
        <w:pStyle w:val="OATsubheader1"/>
        <w:rPr>
          <w:rFonts w:asciiTheme="majorHAnsi" w:hAnsiTheme="majorHAnsi" w:cstheme="majorHAnsi"/>
        </w:rPr>
      </w:pPr>
    </w:p>
    <w:p w14:paraId="7248EEF5" w14:textId="73E7FCDA" w:rsidR="00A0283B" w:rsidRPr="00CE1343" w:rsidRDefault="00A0283B" w:rsidP="00A92FA3">
      <w:pPr>
        <w:pStyle w:val="OATsubheader1"/>
        <w:rPr>
          <w:rFonts w:asciiTheme="majorHAnsi" w:hAnsiTheme="majorHAnsi" w:cstheme="majorHAnsi"/>
        </w:rPr>
      </w:pPr>
    </w:p>
    <w:p w14:paraId="611D7830" w14:textId="6FA308E5" w:rsidR="007E6708" w:rsidRPr="00CE1343" w:rsidRDefault="007E6708" w:rsidP="005E59DA">
      <w:pPr>
        <w:pStyle w:val="OATsubheader1"/>
        <w:rPr>
          <w:rFonts w:asciiTheme="majorHAnsi" w:hAnsiTheme="majorHAnsi" w:cstheme="majorHAnsi"/>
        </w:rPr>
      </w:pPr>
    </w:p>
    <w:p w14:paraId="150AB4AF" w14:textId="3E68B610" w:rsidR="00062E25" w:rsidRPr="00CE1343" w:rsidRDefault="00062E25" w:rsidP="00062E25">
      <w:pPr>
        <w:rPr>
          <w:rFonts w:asciiTheme="majorHAnsi" w:hAnsiTheme="majorHAnsi" w:cstheme="majorHAnsi"/>
          <w:lang w:val="en-US"/>
        </w:rPr>
      </w:pPr>
    </w:p>
    <w:p w14:paraId="0B81EE5F" w14:textId="4E73685E" w:rsidR="002842B1" w:rsidRPr="00CE1343" w:rsidRDefault="002842B1" w:rsidP="002842B1">
      <w:pPr>
        <w:rPr>
          <w:rFonts w:asciiTheme="majorHAnsi" w:hAnsiTheme="majorHAnsi" w:cstheme="majorHAnsi"/>
        </w:rPr>
      </w:pPr>
    </w:p>
    <w:p w14:paraId="3C77C4BA" w14:textId="59C2E098" w:rsidR="00EB6D0E" w:rsidRPr="00CE1343" w:rsidRDefault="00EB6D0E" w:rsidP="002842B1">
      <w:pPr>
        <w:rPr>
          <w:rFonts w:asciiTheme="majorHAnsi" w:hAnsiTheme="majorHAnsi" w:cstheme="majorHAnsi"/>
        </w:rPr>
      </w:pPr>
    </w:p>
    <w:p w14:paraId="242F1CEF" w14:textId="3E75BE03" w:rsidR="00EB6D0E" w:rsidRPr="00CE1343" w:rsidRDefault="00EB6D0E" w:rsidP="002842B1">
      <w:pPr>
        <w:rPr>
          <w:rFonts w:asciiTheme="majorHAnsi" w:hAnsiTheme="majorHAnsi" w:cstheme="majorHAnsi"/>
        </w:rPr>
      </w:pPr>
    </w:p>
    <w:p w14:paraId="460753FA" w14:textId="222D8453" w:rsidR="00EB6D0E" w:rsidRPr="00CE1343" w:rsidRDefault="00EB6D0E" w:rsidP="002842B1">
      <w:pPr>
        <w:rPr>
          <w:rFonts w:asciiTheme="majorHAnsi" w:hAnsiTheme="majorHAnsi" w:cstheme="majorHAnsi"/>
        </w:rPr>
      </w:pPr>
    </w:p>
    <w:p w14:paraId="473A2A36" w14:textId="1D722D17" w:rsidR="00EB6D0E" w:rsidRPr="00CE1343" w:rsidRDefault="00EB6D0E" w:rsidP="002842B1">
      <w:pPr>
        <w:rPr>
          <w:rFonts w:asciiTheme="majorHAnsi" w:hAnsiTheme="majorHAnsi" w:cstheme="majorHAnsi"/>
        </w:rPr>
      </w:pPr>
    </w:p>
    <w:p w14:paraId="40388C2B" w14:textId="54662C08" w:rsidR="00EB6D0E" w:rsidRPr="00CE1343" w:rsidRDefault="00EB6D0E" w:rsidP="002842B1">
      <w:pPr>
        <w:rPr>
          <w:rFonts w:asciiTheme="majorHAnsi" w:hAnsiTheme="majorHAnsi" w:cstheme="majorHAnsi"/>
        </w:rPr>
      </w:pPr>
    </w:p>
    <w:p w14:paraId="6EB403A6" w14:textId="0AFCE1DB" w:rsidR="00EB6D0E" w:rsidRPr="00CE1343" w:rsidRDefault="00EB6D0E" w:rsidP="002842B1">
      <w:pPr>
        <w:rPr>
          <w:rFonts w:asciiTheme="majorHAnsi" w:hAnsiTheme="majorHAnsi" w:cstheme="majorHAnsi"/>
        </w:rPr>
      </w:pPr>
    </w:p>
    <w:p w14:paraId="22714D6D" w14:textId="6FB41148" w:rsidR="00EB6D0E" w:rsidRPr="00CE1343" w:rsidRDefault="00EB6D0E" w:rsidP="002842B1">
      <w:pPr>
        <w:rPr>
          <w:rFonts w:asciiTheme="majorHAnsi" w:hAnsiTheme="majorHAnsi" w:cstheme="majorHAnsi"/>
        </w:rPr>
      </w:pPr>
    </w:p>
    <w:p w14:paraId="6A07EA52" w14:textId="4CB52CAC" w:rsidR="00EB6D0E" w:rsidRPr="00CE1343" w:rsidRDefault="00EB6D0E" w:rsidP="002842B1">
      <w:pPr>
        <w:rPr>
          <w:rFonts w:asciiTheme="majorHAnsi" w:hAnsiTheme="majorHAnsi" w:cstheme="majorHAnsi"/>
        </w:rPr>
      </w:pPr>
    </w:p>
    <w:p w14:paraId="5D7F9701" w14:textId="02D0D703" w:rsidR="00EB6D0E" w:rsidRPr="00CE1343" w:rsidRDefault="00EB6D0E" w:rsidP="002842B1">
      <w:pPr>
        <w:rPr>
          <w:rFonts w:asciiTheme="majorHAnsi" w:hAnsiTheme="majorHAnsi" w:cstheme="majorHAnsi"/>
        </w:rPr>
      </w:pPr>
    </w:p>
    <w:p w14:paraId="20D532CF" w14:textId="2E0AE2D4" w:rsidR="00EB6D0E" w:rsidRPr="00CE1343" w:rsidRDefault="00EB6D0E" w:rsidP="002842B1">
      <w:pPr>
        <w:rPr>
          <w:rFonts w:asciiTheme="majorHAnsi" w:hAnsiTheme="majorHAnsi" w:cstheme="majorHAnsi"/>
        </w:rPr>
      </w:pPr>
    </w:p>
    <w:p w14:paraId="72ACAF43" w14:textId="65CC8BC8" w:rsidR="00EB6D0E" w:rsidRPr="00CE1343" w:rsidRDefault="00EB6D0E" w:rsidP="002842B1">
      <w:pPr>
        <w:rPr>
          <w:rFonts w:asciiTheme="majorHAnsi" w:hAnsiTheme="majorHAnsi" w:cstheme="majorHAnsi"/>
        </w:rPr>
      </w:pPr>
    </w:p>
    <w:p w14:paraId="731B6DF7" w14:textId="7E5695A9" w:rsidR="00EB6D0E" w:rsidRPr="00CE1343" w:rsidRDefault="00EB6D0E" w:rsidP="002842B1">
      <w:pPr>
        <w:rPr>
          <w:rFonts w:asciiTheme="majorHAnsi" w:hAnsiTheme="majorHAnsi" w:cstheme="majorHAnsi"/>
        </w:rPr>
      </w:pPr>
    </w:p>
    <w:p w14:paraId="5AB87B30" w14:textId="725AD7F2" w:rsidR="00EB6D0E" w:rsidRPr="00CE1343" w:rsidRDefault="00EB6D0E" w:rsidP="002842B1">
      <w:pPr>
        <w:rPr>
          <w:rFonts w:asciiTheme="majorHAnsi" w:hAnsiTheme="majorHAnsi" w:cstheme="majorHAnsi"/>
        </w:rPr>
      </w:pPr>
    </w:p>
    <w:p w14:paraId="221B5441" w14:textId="0D7C067A" w:rsidR="00EB6D0E" w:rsidRPr="00CE1343" w:rsidRDefault="00EB6D0E" w:rsidP="002842B1">
      <w:pPr>
        <w:rPr>
          <w:rFonts w:asciiTheme="majorHAnsi" w:hAnsiTheme="majorHAnsi" w:cstheme="majorHAnsi"/>
        </w:rPr>
      </w:pPr>
    </w:p>
    <w:p w14:paraId="6A112705" w14:textId="2F12ED91" w:rsidR="00EB6D0E" w:rsidRPr="00CE1343" w:rsidRDefault="00EB6D0E" w:rsidP="002842B1">
      <w:pPr>
        <w:rPr>
          <w:rFonts w:asciiTheme="majorHAnsi" w:hAnsiTheme="majorHAnsi" w:cstheme="majorHAnsi"/>
        </w:rPr>
      </w:pPr>
    </w:p>
    <w:p w14:paraId="08BED277" w14:textId="7237BF84" w:rsidR="00F037E9" w:rsidRPr="00CE1343" w:rsidRDefault="00F037E9" w:rsidP="002842B1">
      <w:pPr>
        <w:rPr>
          <w:rFonts w:asciiTheme="majorHAnsi" w:hAnsiTheme="majorHAnsi" w:cstheme="majorHAnsi"/>
        </w:rPr>
      </w:pPr>
    </w:p>
    <w:p w14:paraId="5FBB1619" w14:textId="2C7F81F5" w:rsidR="00541C14" w:rsidRPr="00D841C8" w:rsidRDefault="000E1740" w:rsidP="00541C14">
      <w:pPr>
        <w:pStyle w:val="OATsubheader1"/>
        <w:rPr>
          <w:rFonts w:asciiTheme="majorHAnsi" w:hAnsiTheme="majorHAnsi" w:cstheme="majorHAnsi"/>
          <w:sz w:val="36"/>
          <w:szCs w:val="36"/>
        </w:rPr>
      </w:pPr>
      <w:bookmarkStart w:id="18" w:name="_Toc146726372"/>
      <w:r w:rsidRPr="00D841C8">
        <w:rPr>
          <w:rFonts w:asciiTheme="majorHAnsi" w:hAnsiTheme="majorHAnsi" w:cstheme="majorHAnsi"/>
          <w:sz w:val="36"/>
          <w:szCs w:val="36"/>
        </w:rPr>
        <w:t>Appendix</w:t>
      </w:r>
      <w:r w:rsidR="00541C14" w:rsidRPr="00D841C8">
        <w:rPr>
          <w:rFonts w:asciiTheme="majorHAnsi" w:hAnsiTheme="majorHAnsi" w:cstheme="majorHAnsi"/>
          <w:sz w:val="36"/>
          <w:szCs w:val="36"/>
        </w:rPr>
        <w:t xml:space="preserve"> B</w:t>
      </w:r>
      <w:r w:rsidR="00B730CA" w:rsidRPr="00D841C8">
        <w:rPr>
          <w:rFonts w:asciiTheme="majorHAnsi" w:hAnsiTheme="majorHAnsi" w:cstheme="majorHAnsi"/>
          <w:sz w:val="36"/>
          <w:szCs w:val="36"/>
        </w:rPr>
        <w:t xml:space="preserve"> – Fraud flow chart</w:t>
      </w:r>
      <w:bookmarkEnd w:id="18"/>
    </w:p>
    <w:p w14:paraId="7C2FCCC0" w14:textId="53E2D949" w:rsidR="000A1953" w:rsidRPr="00CE1343" w:rsidRDefault="00F037E9" w:rsidP="002842B1">
      <w:pPr>
        <w:rPr>
          <w:rFonts w:asciiTheme="majorHAnsi" w:hAnsiTheme="majorHAnsi" w:cstheme="majorHAnsi"/>
        </w:rPr>
      </w:pPr>
      <w:r w:rsidRPr="00CE1343">
        <w:rPr>
          <w:rFonts w:asciiTheme="majorHAnsi" w:hAnsiTheme="majorHAnsi" w:cstheme="majorHAnsi"/>
          <w:noProof/>
        </w:rPr>
        <w:drawing>
          <wp:inline distT="0" distB="0" distL="0" distR="0" wp14:anchorId="40B6AC06" wp14:editId="31C0DA3D">
            <wp:extent cx="7486843" cy="4791075"/>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97218" cy="4797714"/>
                    </a:xfrm>
                    <a:prstGeom prst="rect">
                      <a:avLst/>
                    </a:prstGeom>
                    <a:noFill/>
                  </pic:spPr>
                </pic:pic>
              </a:graphicData>
            </a:graphic>
          </wp:inline>
        </w:drawing>
      </w:r>
    </w:p>
    <w:p w14:paraId="2D20AF8F" w14:textId="27827B87" w:rsidR="000A1953" w:rsidRPr="00CE1343" w:rsidRDefault="000A1953" w:rsidP="002842B1">
      <w:pPr>
        <w:rPr>
          <w:rFonts w:asciiTheme="majorHAnsi" w:hAnsiTheme="majorHAnsi" w:cstheme="majorHAnsi"/>
        </w:rPr>
      </w:pPr>
    </w:p>
    <w:p w14:paraId="2911A217" w14:textId="2BFECFD7" w:rsidR="000A1953" w:rsidRPr="00CE1343" w:rsidRDefault="000A1953" w:rsidP="002842B1">
      <w:pPr>
        <w:rPr>
          <w:rFonts w:asciiTheme="majorHAnsi" w:hAnsiTheme="majorHAnsi" w:cstheme="majorHAnsi"/>
        </w:rPr>
      </w:pPr>
    </w:p>
    <w:p w14:paraId="790E281F" w14:textId="24AE0A9F" w:rsidR="000A1953" w:rsidRPr="00D841C8" w:rsidRDefault="00733D2F" w:rsidP="000A1953">
      <w:pPr>
        <w:pStyle w:val="OATsubheader1"/>
        <w:rPr>
          <w:rFonts w:asciiTheme="majorHAnsi" w:hAnsiTheme="majorHAnsi" w:cstheme="majorHAnsi"/>
          <w:sz w:val="36"/>
          <w:szCs w:val="36"/>
        </w:rPr>
      </w:pPr>
      <w:bookmarkStart w:id="19" w:name="_Toc146726373"/>
      <w:r w:rsidRPr="00D841C8">
        <w:rPr>
          <w:rFonts w:asciiTheme="majorHAnsi" w:hAnsiTheme="majorHAnsi" w:cstheme="majorHAnsi"/>
          <w:noProof/>
          <w:sz w:val="36"/>
          <w:szCs w:val="36"/>
        </w:rPr>
        <w:drawing>
          <wp:anchor distT="0" distB="0" distL="114300" distR="114300" simplePos="0" relativeHeight="251660291" behindDoc="1" locked="0" layoutInCell="1" allowOverlap="1" wp14:anchorId="79BFA16A" wp14:editId="7DE8FB8C">
            <wp:simplePos x="0" y="0"/>
            <wp:positionH relativeFrom="margin">
              <wp:posOffset>335915</wp:posOffset>
            </wp:positionH>
            <wp:positionV relativeFrom="paragraph">
              <wp:posOffset>39100</wp:posOffset>
            </wp:positionV>
            <wp:extent cx="7515225" cy="52009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23375" cy="5206560"/>
                    </a:xfrm>
                    <a:prstGeom prst="rect">
                      <a:avLst/>
                    </a:prstGeom>
                    <a:noFill/>
                  </pic:spPr>
                </pic:pic>
              </a:graphicData>
            </a:graphic>
            <wp14:sizeRelH relativeFrom="margin">
              <wp14:pctWidth>0</wp14:pctWidth>
            </wp14:sizeRelH>
            <wp14:sizeRelV relativeFrom="margin">
              <wp14:pctHeight>0</wp14:pctHeight>
            </wp14:sizeRelV>
          </wp:anchor>
        </w:drawing>
      </w:r>
      <w:r w:rsidRPr="00D841C8">
        <w:rPr>
          <w:rFonts w:asciiTheme="majorHAnsi" w:hAnsiTheme="majorHAnsi" w:cstheme="majorHAnsi"/>
          <w:sz w:val="36"/>
          <w:szCs w:val="36"/>
        </w:rPr>
        <w:t xml:space="preserve">Appendix C </w:t>
      </w:r>
      <w:r w:rsidR="00B730CA" w:rsidRPr="00D841C8">
        <w:rPr>
          <w:rFonts w:asciiTheme="majorHAnsi" w:hAnsiTheme="majorHAnsi" w:cstheme="majorHAnsi"/>
          <w:sz w:val="36"/>
          <w:szCs w:val="36"/>
        </w:rPr>
        <w:t>– Procurement card flow chart</w:t>
      </w:r>
      <w:bookmarkEnd w:id="19"/>
    </w:p>
    <w:p w14:paraId="769DA543" w14:textId="06CE5453" w:rsidR="00F37DE3" w:rsidRPr="00CE1343" w:rsidRDefault="00F37DE3" w:rsidP="000A1953">
      <w:pPr>
        <w:pStyle w:val="OATsubheader1"/>
        <w:rPr>
          <w:rFonts w:asciiTheme="majorHAnsi" w:hAnsiTheme="majorHAnsi" w:cstheme="majorHAnsi"/>
        </w:rPr>
      </w:pPr>
    </w:p>
    <w:p w14:paraId="17E9A046" w14:textId="38CC7FF9" w:rsidR="00F037E9" w:rsidRPr="00CE1343" w:rsidRDefault="00F037E9" w:rsidP="000A1953">
      <w:pPr>
        <w:pStyle w:val="OATsubheader1"/>
        <w:rPr>
          <w:rFonts w:asciiTheme="majorHAnsi" w:hAnsiTheme="majorHAnsi" w:cstheme="majorHAnsi"/>
        </w:rPr>
      </w:pPr>
    </w:p>
    <w:p w14:paraId="6754986B" w14:textId="0C615E4A" w:rsidR="000A1953" w:rsidRPr="00CE1343" w:rsidRDefault="000A1953" w:rsidP="002842B1">
      <w:pPr>
        <w:rPr>
          <w:rFonts w:asciiTheme="majorHAnsi" w:hAnsiTheme="majorHAnsi" w:cstheme="majorHAnsi"/>
        </w:rPr>
      </w:pPr>
    </w:p>
    <w:p w14:paraId="41A966AB" w14:textId="40D3F6D9" w:rsidR="000A1953" w:rsidRPr="00CE1343" w:rsidRDefault="000A1953" w:rsidP="002842B1">
      <w:pPr>
        <w:rPr>
          <w:rFonts w:asciiTheme="majorHAnsi" w:hAnsiTheme="majorHAnsi" w:cstheme="majorHAnsi"/>
        </w:rPr>
      </w:pPr>
    </w:p>
    <w:p w14:paraId="67CC8A63" w14:textId="2CE5F7CB" w:rsidR="000A1953" w:rsidRPr="00CE1343" w:rsidRDefault="000A1953" w:rsidP="002842B1">
      <w:pPr>
        <w:rPr>
          <w:rFonts w:asciiTheme="majorHAnsi" w:hAnsiTheme="majorHAnsi" w:cstheme="majorHAnsi"/>
        </w:rPr>
      </w:pPr>
    </w:p>
    <w:p w14:paraId="0D5FFBF1" w14:textId="3651142F" w:rsidR="000A1953" w:rsidRPr="00CE1343" w:rsidRDefault="000A1953" w:rsidP="002842B1">
      <w:pPr>
        <w:rPr>
          <w:rFonts w:asciiTheme="majorHAnsi" w:hAnsiTheme="majorHAnsi" w:cstheme="majorHAnsi"/>
        </w:rPr>
      </w:pPr>
    </w:p>
    <w:p w14:paraId="5F801B6D" w14:textId="50A901F5" w:rsidR="000A1953" w:rsidRPr="00CE1343" w:rsidRDefault="000A1953" w:rsidP="002842B1">
      <w:pPr>
        <w:rPr>
          <w:rFonts w:asciiTheme="majorHAnsi" w:hAnsiTheme="majorHAnsi" w:cstheme="majorHAnsi"/>
        </w:rPr>
      </w:pPr>
    </w:p>
    <w:p w14:paraId="7EBCFA47" w14:textId="32DA73AC" w:rsidR="000A1953" w:rsidRPr="00CE1343" w:rsidRDefault="000A1953" w:rsidP="002842B1">
      <w:pPr>
        <w:rPr>
          <w:rFonts w:asciiTheme="majorHAnsi" w:hAnsiTheme="majorHAnsi" w:cstheme="majorHAnsi"/>
        </w:rPr>
      </w:pPr>
    </w:p>
    <w:p w14:paraId="01946D52" w14:textId="3632A27B" w:rsidR="000A1953" w:rsidRPr="00CE1343" w:rsidRDefault="000A1953" w:rsidP="002842B1">
      <w:pPr>
        <w:rPr>
          <w:rFonts w:asciiTheme="majorHAnsi" w:hAnsiTheme="majorHAnsi" w:cstheme="majorHAnsi"/>
        </w:rPr>
      </w:pPr>
    </w:p>
    <w:p w14:paraId="4F900B4C" w14:textId="640E33E8" w:rsidR="000A1953" w:rsidRPr="00CE1343" w:rsidRDefault="000A1953" w:rsidP="002842B1">
      <w:pPr>
        <w:rPr>
          <w:rFonts w:asciiTheme="majorHAnsi" w:hAnsiTheme="majorHAnsi" w:cstheme="majorHAnsi"/>
        </w:rPr>
      </w:pPr>
    </w:p>
    <w:p w14:paraId="0FEA2832" w14:textId="2514C2A2" w:rsidR="000A1953" w:rsidRPr="00CE1343" w:rsidRDefault="000A1953" w:rsidP="002842B1">
      <w:pPr>
        <w:rPr>
          <w:rFonts w:asciiTheme="majorHAnsi" w:hAnsiTheme="majorHAnsi" w:cstheme="majorHAnsi"/>
        </w:rPr>
      </w:pPr>
    </w:p>
    <w:p w14:paraId="287B8ABC" w14:textId="26860585" w:rsidR="000A1953" w:rsidRPr="00CE1343" w:rsidRDefault="000A1953" w:rsidP="002842B1">
      <w:pPr>
        <w:rPr>
          <w:rFonts w:asciiTheme="majorHAnsi" w:hAnsiTheme="majorHAnsi" w:cstheme="majorHAnsi"/>
        </w:rPr>
      </w:pPr>
    </w:p>
    <w:p w14:paraId="7E8E9422" w14:textId="3ED5CDDE" w:rsidR="000A1953" w:rsidRPr="00CE1343" w:rsidRDefault="000A1953" w:rsidP="002842B1">
      <w:pPr>
        <w:rPr>
          <w:rFonts w:asciiTheme="majorHAnsi" w:hAnsiTheme="majorHAnsi" w:cstheme="majorHAnsi"/>
        </w:rPr>
      </w:pPr>
    </w:p>
    <w:p w14:paraId="2B479EAF" w14:textId="759F5BAA" w:rsidR="000A1953" w:rsidRPr="00CE1343" w:rsidRDefault="000A1953" w:rsidP="002842B1">
      <w:pPr>
        <w:rPr>
          <w:rFonts w:asciiTheme="majorHAnsi" w:hAnsiTheme="majorHAnsi" w:cstheme="majorHAnsi"/>
        </w:rPr>
      </w:pPr>
    </w:p>
    <w:p w14:paraId="7D8C7C85" w14:textId="1191EC96" w:rsidR="000A1953" w:rsidRPr="00CE1343" w:rsidRDefault="000A1953" w:rsidP="002842B1">
      <w:pPr>
        <w:rPr>
          <w:rFonts w:asciiTheme="majorHAnsi" w:hAnsiTheme="majorHAnsi" w:cstheme="majorHAnsi"/>
        </w:rPr>
      </w:pPr>
    </w:p>
    <w:p w14:paraId="262DEA1F" w14:textId="4A7B6082" w:rsidR="000A1953" w:rsidRPr="00CE1343" w:rsidRDefault="000A1953" w:rsidP="002842B1">
      <w:pPr>
        <w:rPr>
          <w:rFonts w:asciiTheme="majorHAnsi" w:hAnsiTheme="majorHAnsi" w:cstheme="majorHAnsi"/>
        </w:rPr>
      </w:pPr>
    </w:p>
    <w:p w14:paraId="7A322C5F" w14:textId="71DD2DD9" w:rsidR="000A1953" w:rsidRPr="00CE1343" w:rsidRDefault="000A1953" w:rsidP="002842B1">
      <w:pPr>
        <w:rPr>
          <w:rFonts w:asciiTheme="majorHAnsi" w:hAnsiTheme="majorHAnsi" w:cstheme="majorHAnsi"/>
        </w:rPr>
      </w:pPr>
    </w:p>
    <w:p w14:paraId="4D34C90E" w14:textId="7D11F539" w:rsidR="000A1953" w:rsidRPr="00CE1343" w:rsidRDefault="000A1953" w:rsidP="002842B1">
      <w:pPr>
        <w:rPr>
          <w:rFonts w:asciiTheme="majorHAnsi" w:hAnsiTheme="majorHAnsi" w:cstheme="majorHAnsi"/>
        </w:rPr>
      </w:pPr>
    </w:p>
    <w:p w14:paraId="34F9956D" w14:textId="65E64B0A" w:rsidR="000A1953" w:rsidRPr="00CE1343" w:rsidRDefault="000A1953" w:rsidP="002842B1">
      <w:pPr>
        <w:rPr>
          <w:rFonts w:asciiTheme="majorHAnsi" w:hAnsiTheme="majorHAnsi" w:cstheme="majorHAnsi"/>
        </w:rPr>
      </w:pPr>
    </w:p>
    <w:p w14:paraId="4ED9B3AC" w14:textId="10CE9CB0" w:rsidR="000A1953" w:rsidRPr="00CE1343" w:rsidRDefault="000A1953" w:rsidP="002842B1">
      <w:pPr>
        <w:rPr>
          <w:rFonts w:asciiTheme="majorHAnsi" w:hAnsiTheme="majorHAnsi" w:cstheme="majorHAnsi"/>
        </w:rPr>
      </w:pPr>
    </w:p>
    <w:p w14:paraId="615DBF30" w14:textId="647C7791" w:rsidR="000A1953" w:rsidRPr="00CE1343" w:rsidRDefault="000A1953" w:rsidP="002842B1">
      <w:pPr>
        <w:rPr>
          <w:rFonts w:asciiTheme="majorHAnsi" w:hAnsiTheme="majorHAnsi" w:cstheme="majorHAnsi"/>
        </w:rPr>
      </w:pPr>
    </w:p>
    <w:p w14:paraId="1603DB6E" w14:textId="2D05D810" w:rsidR="000A1953" w:rsidRPr="00CE1343" w:rsidRDefault="000A1953" w:rsidP="002842B1">
      <w:pPr>
        <w:rPr>
          <w:rFonts w:asciiTheme="majorHAnsi" w:hAnsiTheme="majorHAnsi" w:cstheme="majorHAnsi"/>
        </w:rPr>
      </w:pPr>
    </w:p>
    <w:p w14:paraId="543EB421" w14:textId="0491396C" w:rsidR="000A1953" w:rsidRPr="00CE1343" w:rsidRDefault="000A1953" w:rsidP="002842B1">
      <w:pPr>
        <w:rPr>
          <w:rFonts w:asciiTheme="majorHAnsi" w:hAnsiTheme="majorHAnsi" w:cstheme="majorHAnsi"/>
        </w:rPr>
      </w:pPr>
    </w:p>
    <w:p w14:paraId="52549922" w14:textId="12839056" w:rsidR="000A1953" w:rsidRPr="00CE1343" w:rsidRDefault="000A1953" w:rsidP="002842B1">
      <w:pPr>
        <w:rPr>
          <w:rFonts w:asciiTheme="majorHAnsi" w:hAnsiTheme="majorHAnsi" w:cstheme="majorHAnsi"/>
        </w:rPr>
      </w:pPr>
    </w:p>
    <w:p w14:paraId="34D1890B" w14:textId="249A95D6" w:rsidR="000A1953" w:rsidRPr="00CE1343" w:rsidRDefault="000A1953" w:rsidP="00D33ECA">
      <w:pPr>
        <w:pStyle w:val="OATsubheader1"/>
        <w:rPr>
          <w:rFonts w:asciiTheme="majorHAnsi" w:hAnsiTheme="majorHAnsi" w:cstheme="majorHAnsi"/>
        </w:rPr>
      </w:pPr>
    </w:p>
    <w:sectPr w:rsidR="000A1953" w:rsidRPr="00CE1343" w:rsidSect="00CE0BA8">
      <w:pgSz w:w="16840" w:h="11900" w:orient="landscape"/>
      <w:pgMar w:top="1418" w:right="141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E80EC" w14:textId="77777777" w:rsidR="002257E6" w:rsidRDefault="002257E6" w:rsidP="00DE543D">
      <w:r>
        <w:separator/>
      </w:r>
    </w:p>
  </w:endnote>
  <w:endnote w:type="continuationSeparator" w:id="0">
    <w:p w14:paraId="075F202E" w14:textId="77777777" w:rsidR="002257E6" w:rsidRDefault="002257E6" w:rsidP="00DE543D">
      <w:r>
        <w:continuationSeparator/>
      </w:r>
    </w:p>
  </w:endnote>
  <w:endnote w:type="continuationNotice" w:id="1">
    <w:p w14:paraId="3BE1D454" w14:textId="77777777" w:rsidR="002257E6" w:rsidRDefault="002257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19D03050" w14:textId="77777777" w:rsidR="00D4303D" w:rsidRPr="0076286B" w:rsidRDefault="00D4303D" w:rsidP="00CE5E9B">
        <w:pPr>
          <w:pStyle w:val="OATbodystyle"/>
        </w:pPr>
        <w:r w:rsidRPr="0076286B">
          <w:t xml:space="preserve">                                         </w:t>
        </w:r>
      </w:p>
      <w:p w14:paraId="48E53D9F" w14:textId="352223F5" w:rsidR="00D4303D" w:rsidRPr="0076286B" w:rsidRDefault="00CE3CE7" w:rsidP="00CE5E9B">
        <w:pPr>
          <w:pStyle w:val="OATbodystyle"/>
        </w:pPr>
        <w:r>
          <w:rPr>
            <w:rFonts w:eastAsia="MS Mincho" w:cs="Times New Roman"/>
          </w:rPr>
          <w:t>Anti-fraud policy</w:t>
        </w:r>
        <w:r w:rsidR="00D4303D" w:rsidRPr="0076286B">
          <w:rPr>
            <w:rFonts w:eastAsia="MS Mincho" w:cs="Times New Roman"/>
          </w:rPr>
          <w:t xml:space="preserve">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7287342D" w14:textId="77373ABA"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AE9CB" w14:textId="77777777" w:rsidR="002257E6" w:rsidRDefault="002257E6" w:rsidP="00DE543D">
      <w:r>
        <w:separator/>
      </w:r>
    </w:p>
  </w:footnote>
  <w:footnote w:type="continuationSeparator" w:id="0">
    <w:p w14:paraId="4163A32C" w14:textId="77777777" w:rsidR="002257E6" w:rsidRDefault="002257E6" w:rsidP="00DE543D">
      <w:r>
        <w:continuationSeparator/>
      </w:r>
    </w:p>
  </w:footnote>
  <w:footnote w:type="continuationNotice" w:id="1">
    <w:p w14:paraId="56C2A1C4" w14:textId="77777777" w:rsidR="002257E6" w:rsidRDefault="002257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F37E" w14:textId="7441A99E" w:rsidR="00337969" w:rsidRDefault="00764250" w:rsidP="00475EF7">
    <w:pPr>
      <w:pStyle w:val="OATbodystyle"/>
    </w:pPr>
    <w:r>
      <w:rPr>
        <w:noProof/>
      </w:rPr>
      <w:drawing>
        <wp:anchor distT="0" distB="0" distL="114300" distR="114300" simplePos="0" relativeHeight="251658241" behindDoc="0" locked="0" layoutInCell="1" allowOverlap="1" wp14:anchorId="04B0A554" wp14:editId="44E703DF">
          <wp:simplePos x="0" y="0"/>
          <wp:positionH relativeFrom="column">
            <wp:posOffset>-52705</wp:posOffset>
          </wp:positionH>
          <wp:positionV relativeFrom="paragraph">
            <wp:posOffset>-106045</wp:posOffset>
          </wp:positionV>
          <wp:extent cx="1595120" cy="760296"/>
          <wp:effectExtent l="0" t="0" r="508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120" cy="760296"/>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B666" w14:textId="3C40FE18" w:rsidR="00337969" w:rsidRDefault="002661BC" w:rsidP="00475EF7">
    <w:pPr>
      <w:pStyle w:val="OATbodystyle"/>
    </w:pPr>
    <w:r>
      <w:rPr>
        <w:noProof/>
      </w:rPr>
      <w:drawing>
        <wp:anchor distT="0" distB="0" distL="114300" distR="114300" simplePos="0" relativeHeight="251658240" behindDoc="0" locked="0" layoutInCell="1" allowOverlap="1" wp14:anchorId="2460AE4B" wp14:editId="78226F17">
          <wp:simplePos x="0" y="0"/>
          <wp:positionH relativeFrom="column">
            <wp:posOffset>-33655</wp:posOffset>
          </wp:positionH>
          <wp:positionV relativeFrom="paragraph">
            <wp:posOffset>-78740</wp:posOffset>
          </wp:positionV>
          <wp:extent cx="1552575" cy="73740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552575" cy="7374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10A"/>
    <w:multiLevelType w:val="hybridMultilevel"/>
    <w:tmpl w:val="4002180A"/>
    <w:lvl w:ilvl="0" w:tplc="DDAC968E">
      <w:start w:val="1"/>
      <w:numFmt w:val="bullet"/>
      <w:lvlText w:val="-"/>
      <w:lvlJc w:val="left"/>
      <w:pPr>
        <w:ind w:left="420" w:hanging="360"/>
      </w:pPr>
      <w:rPr>
        <w:rFonts w:ascii="Arial" w:eastAsiaTheme="minorEastAsia"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050A11F4"/>
    <w:multiLevelType w:val="hybridMultilevel"/>
    <w:tmpl w:val="2D4E955A"/>
    <w:lvl w:ilvl="0" w:tplc="8634F7C6">
      <w:start w:val="1"/>
      <w:numFmt w:val="bullet"/>
      <w:lvlText w:val="-"/>
      <w:lvlJc w:val="left"/>
      <w:pPr>
        <w:ind w:left="420" w:hanging="360"/>
      </w:pPr>
      <w:rPr>
        <w:rFonts w:ascii="Arial" w:eastAsiaTheme="minorEastAsia"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08F428EC"/>
    <w:multiLevelType w:val="hybridMultilevel"/>
    <w:tmpl w:val="40E4BFE8"/>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EDC037F"/>
    <w:multiLevelType w:val="hybridMultilevel"/>
    <w:tmpl w:val="A50AE6AA"/>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9690657">
    <w:abstractNumId w:val="3"/>
  </w:num>
  <w:num w:numId="2" w16cid:durableId="385103262">
    <w:abstractNumId w:val="11"/>
  </w:num>
  <w:num w:numId="3" w16cid:durableId="235827807">
    <w:abstractNumId w:val="4"/>
  </w:num>
  <w:num w:numId="4" w16cid:durableId="2041858297">
    <w:abstractNumId w:val="9"/>
  </w:num>
  <w:num w:numId="5" w16cid:durableId="914708930">
    <w:abstractNumId w:val="8"/>
  </w:num>
  <w:num w:numId="6" w16cid:durableId="486746436">
    <w:abstractNumId w:val="7"/>
  </w:num>
  <w:num w:numId="7" w16cid:durableId="1668552394">
    <w:abstractNumId w:val="10"/>
  </w:num>
  <w:num w:numId="8" w16cid:durableId="606697463">
    <w:abstractNumId w:val="5"/>
  </w:num>
  <w:num w:numId="9" w16cid:durableId="174728691">
    <w:abstractNumId w:val="6"/>
  </w:num>
  <w:num w:numId="10" w16cid:durableId="1814717798">
    <w:abstractNumId w:val="1"/>
  </w:num>
  <w:num w:numId="11" w16cid:durableId="1236285893">
    <w:abstractNumId w:val="0"/>
  </w:num>
  <w:num w:numId="12" w16cid:durableId="222954975">
    <w:abstractNumId w:val="12"/>
  </w:num>
  <w:num w:numId="13" w16cid:durableId="176403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99"/>
    <w:rsid w:val="00011F43"/>
    <w:rsid w:val="000262F4"/>
    <w:rsid w:val="00032278"/>
    <w:rsid w:val="000339CE"/>
    <w:rsid w:val="0003788C"/>
    <w:rsid w:val="00042AC4"/>
    <w:rsid w:val="00043997"/>
    <w:rsid w:val="00053389"/>
    <w:rsid w:val="000551BE"/>
    <w:rsid w:val="0005771C"/>
    <w:rsid w:val="000615BA"/>
    <w:rsid w:val="00062E25"/>
    <w:rsid w:val="000639E1"/>
    <w:rsid w:val="00064BDA"/>
    <w:rsid w:val="00071872"/>
    <w:rsid w:val="000751EF"/>
    <w:rsid w:val="0008174D"/>
    <w:rsid w:val="000970E6"/>
    <w:rsid w:val="000A1953"/>
    <w:rsid w:val="000A2D81"/>
    <w:rsid w:val="000D6054"/>
    <w:rsid w:val="000D6E86"/>
    <w:rsid w:val="000D7019"/>
    <w:rsid w:val="000E1740"/>
    <w:rsid w:val="00121422"/>
    <w:rsid w:val="00122125"/>
    <w:rsid w:val="0012243F"/>
    <w:rsid w:val="0012318C"/>
    <w:rsid w:val="00127623"/>
    <w:rsid w:val="0013092D"/>
    <w:rsid w:val="0013375D"/>
    <w:rsid w:val="00146B54"/>
    <w:rsid w:val="00155072"/>
    <w:rsid w:val="001562E0"/>
    <w:rsid w:val="00156F67"/>
    <w:rsid w:val="001572AD"/>
    <w:rsid w:val="001653A2"/>
    <w:rsid w:val="00171C62"/>
    <w:rsid w:val="0017406A"/>
    <w:rsid w:val="001904BD"/>
    <w:rsid w:val="001958EB"/>
    <w:rsid w:val="0019762B"/>
    <w:rsid w:val="001B1740"/>
    <w:rsid w:val="001C3E4B"/>
    <w:rsid w:val="001D3E60"/>
    <w:rsid w:val="001F227F"/>
    <w:rsid w:val="002002C8"/>
    <w:rsid w:val="0021096C"/>
    <w:rsid w:val="00211452"/>
    <w:rsid w:val="00211DCE"/>
    <w:rsid w:val="00221921"/>
    <w:rsid w:val="00222E80"/>
    <w:rsid w:val="002257E6"/>
    <w:rsid w:val="002414E2"/>
    <w:rsid w:val="002460CA"/>
    <w:rsid w:val="00246A28"/>
    <w:rsid w:val="002569B0"/>
    <w:rsid w:val="00262C2C"/>
    <w:rsid w:val="002661BC"/>
    <w:rsid w:val="002752F5"/>
    <w:rsid w:val="002842B1"/>
    <w:rsid w:val="0029024D"/>
    <w:rsid w:val="00291DFF"/>
    <w:rsid w:val="002A6FA7"/>
    <w:rsid w:val="002A749A"/>
    <w:rsid w:val="002B1C5B"/>
    <w:rsid w:val="002B1C94"/>
    <w:rsid w:val="002B3A39"/>
    <w:rsid w:val="002B3C47"/>
    <w:rsid w:val="002B7375"/>
    <w:rsid w:val="002B7B8E"/>
    <w:rsid w:val="002B7C6C"/>
    <w:rsid w:val="002C5BF5"/>
    <w:rsid w:val="002C5CC4"/>
    <w:rsid w:val="002E24BB"/>
    <w:rsid w:val="00305611"/>
    <w:rsid w:val="0031081A"/>
    <w:rsid w:val="00314236"/>
    <w:rsid w:val="003170D5"/>
    <w:rsid w:val="00320FA6"/>
    <w:rsid w:val="00337969"/>
    <w:rsid w:val="003412B8"/>
    <w:rsid w:val="00354EAD"/>
    <w:rsid w:val="00356EF6"/>
    <w:rsid w:val="0035747D"/>
    <w:rsid w:val="00362F32"/>
    <w:rsid w:val="00367960"/>
    <w:rsid w:val="003763AD"/>
    <w:rsid w:val="00376F26"/>
    <w:rsid w:val="00391ACA"/>
    <w:rsid w:val="00396D1F"/>
    <w:rsid w:val="003A5905"/>
    <w:rsid w:val="003B392C"/>
    <w:rsid w:val="003B7AFE"/>
    <w:rsid w:val="003C0649"/>
    <w:rsid w:val="003C07E6"/>
    <w:rsid w:val="003C2B0B"/>
    <w:rsid w:val="003F1AA8"/>
    <w:rsid w:val="00402B52"/>
    <w:rsid w:val="00407716"/>
    <w:rsid w:val="0041199C"/>
    <w:rsid w:val="00412ED2"/>
    <w:rsid w:val="004133F1"/>
    <w:rsid w:val="00425835"/>
    <w:rsid w:val="004304F0"/>
    <w:rsid w:val="0043398A"/>
    <w:rsid w:val="00453BAC"/>
    <w:rsid w:val="004604BD"/>
    <w:rsid w:val="0046398D"/>
    <w:rsid w:val="00466E44"/>
    <w:rsid w:val="00475EA3"/>
    <w:rsid w:val="00475EF7"/>
    <w:rsid w:val="004823A4"/>
    <w:rsid w:val="0048445B"/>
    <w:rsid w:val="004857A5"/>
    <w:rsid w:val="0048695F"/>
    <w:rsid w:val="004A017A"/>
    <w:rsid w:val="004A2941"/>
    <w:rsid w:val="004A51D7"/>
    <w:rsid w:val="004B2F4B"/>
    <w:rsid w:val="004B5E44"/>
    <w:rsid w:val="004B659F"/>
    <w:rsid w:val="004C16AE"/>
    <w:rsid w:val="004C7356"/>
    <w:rsid w:val="004E5206"/>
    <w:rsid w:val="004E59BE"/>
    <w:rsid w:val="004F5DE4"/>
    <w:rsid w:val="005044B3"/>
    <w:rsid w:val="0050759D"/>
    <w:rsid w:val="00511509"/>
    <w:rsid w:val="00514C3D"/>
    <w:rsid w:val="005161D8"/>
    <w:rsid w:val="005240D2"/>
    <w:rsid w:val="00525567"/>
    <w:rsid w:val="00541C14"/>
    <w:rsid w:val="0055046A"/>
    <w:rsid w:val="00561D44"/>
    <w:rsid w:val="00566B99"/>
    <w:rsid w:val="00572F4D"/>
    <w:rsid w:val="00592F89"/>
    <w:rsid w:val="005940E2"/>
    <w:rsid w:val="0059437C"/>
    <w:rsid w:val="005A59C5"/>
    <w:rsid w:val="005C6BD3"/>
    <w:rsid w:val="005C7E5E"/>
    <w:rsid w:val="005D3308"/>
    <w:rsid w:val="005D538C"/>
    <w:rsid w:val="005E59DA"/>
    <w:rsid w:val="005F00D9"/>
    <w:rsid w:val="005F751E"/>
    <w:rsid w:val="006029DF"/>
    <w:rsid w:val="00603352"/>
    <w:rsid w:val="00620731"/>
    <w:rsid w:val="00620DC0"/>
    <w:rsid w:val="00625176"/>
    <w:rsid w:val="006337F9"/>
    <w:rsid w:val="00642B18"/>
    <w:rsid w:val="00644F99"/>
    <w:rsid w:val="0064522E"/>
    <w:rsid w:val="00656533"/>
    <w:rsid w:val="006577D4"/>
    <w:rsid w:val="00662074"/>
    <w:rsid w:val="006C203C"/>
    <w:rsid w:val="006D1355"/>
    <w:rsid w:val="006D2E0F"/>
    <w:rsid w:val="006D4A24"/>
    <w:rsid w:val="006E33EB"/>
    <w:rsid w:val="006E6BE1"/>
    <w:rsid w:val="006F10CE"/>
    <w:rsid w:val="006F30ED"/>
    <w:rsid w:val="006F67B8"/>
    <w:rsid w:val="00701672"/>
    <w:rsid w:val="00702D17"/>
    <w:rsid w:val="00706496"/>
    <w:rsid w:val="00713F3D"/>
    <w:rsid w:val="00714625"/>
    <w:rsid w:val="00714DB1"/>
    <w:rsid w:val="00733353"/>
    <w:rsid w:val="00733D2F"/>
    <w:rsid w:val="00754F0A"/>
    <w:rsid w:val="0076286B"/>
    <w:rsid w:val="00763FFA"/>
    <w:rsid w:val="00764250"/>
    <w:rsid w:val="007645D2"/>
    <w:rsid w:val="00777693"/>
    <w:rsid w:val="00781658"/>
    <w:rsid w:val="00785F72"/>
    <w:rsid w:val="00792A28"/>
    <w:rsid w:val="007A0339"/>
    <w:rsid w:val="007A5166"/>
    <w:rsid w:val="007A7AFA"/>
    <w:rsid w:val="007B2F34"/>
    <w:rsid w:val="007B608C"/>
    <w:rsid w:val="007C2C58"/>
    <w:rsid w:val="007C49FD"/>
    <w:rsid w:val="007E6708"/>
    <w:rsid w:val="007F0A69"/>
    <w:rsid w:val="00813DC2"/>
    <w:rsid w:val="00814C27"/>
    <w:rsid w:val="008510BC"/>
    <w:rsid w:val="0087351C"/>
    <w:rsid w:val="00873866"/>
    <w:rsid w:val="00875920"/>
    <w:rsid w:val="00892285"/>
    <w:rsid w:val="008A249F"/>
    <w:rsid w:val="008B20CD"/>
    <w:rsid w:val="008C6876"/>
    <w:rsid w:val="008D1069"/>
    <w:rsid w:val="008D22F2"/>
    <w:rsid w:val="008D27CD"/>
    <w:rsid w:val="008D34AD"/>
    <w:rsid w:val="008E1665"/>
    <w:rsid w:val="008E7459"/>
    <w:rsid w:val="008F4518"/>
    <w:rsid w:val="008F53B7"/>
    <w:rsid w:val="008F6F42"/>
    <w:rsid w:val="00900450"/>
    <w:rsid w:val="00905807"/>
    <w:rsid w:val="0091388C"/>
    <w:rsid w:val="00915F8D"/>
    <w:rsid w:val="009263CB"/>
    <w:rsid w:val="00937CA3"/>
    <w:rsid w:val="0094253D"/>
    <w:rsid w:val="009528BE"/>
    <w:rsid w:val="00953EF6"/>
    <w:rsid w:val="00967212"/>
    <w:rsid w:val="00971785"/>
    <w:rsid w:val="00983389"/>
    <w:rsid w:val="009A16B5"/>
    <w:rsid w:val="009A36B5"/>
    <w:rsid w:val="009A4C70"/>
    <w:rsid w:val="009C3685"/>
    <w:rsid w:val="009E1570"/>
    <w:rsid w:val="009E43E7"/>
    <w:rsid w:val="009E5A38"/>
    <w:rsid w:val="009F09AF"/>
    <w:rsid w:val="00A004AA"/>
    <w:rsid w:val="00A01A37"/>
    <w:rsid w:val="00A0283B"/>
    <w:rsid w:val="00A0407A"/>
    <w:rsid w:val="00A10E78"/>
    <w:rsid w:val="00A12E70"/>
    <w:rsid w:val="00A23D5D"/>
    <w:rsid w:val="00A353E5"/>
    <w:rsid w:val="00A35E8F"/>
    <w:rsid w:val="00A55364"/>
    <w:rsid w:val="00A617DE"/>
    <w:rsid w:val="00A642D9"/>
    <w:rsid w:val="00A74A10"/>
    <w:rsid w:val="00A76463"/>
    <w:rsid w:val="00A81E6B"/>
    <w:rsid w:val="00A92FA3"/>
    <w:rsid w:val="00AB1C86"/>
    <w:rsid w:val="00AB3721"/>
    <w:rsid w:val="00AC01B9"/>
    <w:rsid w:val="00AC0383"/>
    <w:rsid w:val="00AC1E86"/>
    <w:rsid w:val="00AD0122"/>
    <w:rsid w:val="00AD212F"/>
    <w:rsid w:val="00AD4E0F"/>
    <w:rsid w:val="00AD77EA"/>
    <w:rsid w:val="00AE04AD"/>
    <w:rsid w:val="00AE0658"/>
    <w:rsid w:val="00AE205A"/>
    <w:rsid w:val="00AE3738"/>
    <w:rsid w:val="00AE47BF"/>
    <w:rsid w:val="00AE5992"/>
    <w:rsid w:val="00B04FD4"/>
    <w:rsid w:val="00B20996"/>
    <w:rsid w:val="00B2637B"/>
    <w:rsid w:val="00B32821"/>
    <w:rsid w:val="00B32B95"/>
    <w:rsid w:val="00B33E82"/>
    <w:rsid w:val="00B42598"/>
    <w:rsid w:val="00B44977"/>
    <w:rsid w:val="00B60711"/>
    <w:rsid w:val="00B63664"/>
    <w:rsid w:val="00B6392E"/>
    <w:rsid w:val="00B7180D"/>
    <w:rsid w:val="00B730CA"/>
    <w:rsid w:val="00B74B30"/>
    <w:rsid w:val="00B74F36"/>
    <w:rsid w:val="00B94938"/>
    <w:rsid w:val="00B9712D"/>
    <w:rsid w:val="00BC4006"/>
    <w:rsid w:val="00BE44FF"/>
    <w:rsid w:val="00BF5171"/>
    <w:rsid w:val="00C00DB6"/>
    <w:rsid w:val="00C050D0"/>
    <w:rsid w:val="00C129DA"/>
    <w:rsid w:val="00C20F89"/>
    <w:rsid w:val="00C26281"/>
    <w:rsid w:val="00C341FD"/>
    <w:rsid w:val="00C35968"/>
    <w:rsid w:val="00C37F3F"/>
    <w:rsid w:val="00C40B9F"/>
    <w:rsid w:val="00C51095"/>
    <w:rsid w:val="00C52954"/>
    <w:rsid w:val="00C564B6"/>
    <w:rsid w:val="00C608CD"/>
    <w:rsid w:val="00C622FE"/>
    <w:rsid w:val="00C721FC"/>
    <w:rsid w:val="00C77148"/>
    <w:rsid w:val="00C824DA"/>
    <w:rsid w:val="00C8406E"/>
    <w:rsid w:val="00C965B2"/>
    <w:rsid w:val="00CA7640"/>
    <w:rsid w:val="00CB2A7B"/>
    <w:rsid w:val="00CB371C"/>
    <w:rsid w:val="00CC2D4A"/>
    <w:rsid w:val="00CC72DB"/>
    <w:rsid w:val="00CE03F4"/>
    <w:rsid w:val="00CE0BA8"/>
    <w:rsid w:val="00CE1343"/>
    <w:rsid w:val="00CE3CE7"/>
    <w:rsid w:val="00CE5E9B"/>
    <w:rsid w:val="00CF5FDB"/>
    <w:rsid w:val="00D02E74"/>
    <w:rsid w:val="00D11738"/>
    <w:rsid w:val="00D20277"/>
    <w:rsid w:val="00D20941"/>
    <w:rsid w:val="00D22748"/>
    <w:rsid w:val="00D24326"/>
    <w:rsid w:val="00D25B60"/>
    <w:rsid w:val="00D33ECA"/>
    <w:rsid w:val="00D3544E"/>
    <w:rsid w:val="00D35ECC"/>
    <w:rsid w:val="00D37E5B"/>
    <w:rsid w:val="00D40A06"/>
    <w:rsid w:val="00D4303D"/>
    <w:rsid w:val="00D430A5"/>
    <w:rsid w:val="00D47D4F"/>
    <w:rsid w:val="00D516E4"/>
    <w:rsid w:val="00D64FFB"/>
    <w:rsid w:val="00D761BE"/>
    <w:rsid w:val="00D81968"/>
    <w:rsid w:val="00D8260A"/>
    <w:rsid w:val="00D841C8"/>
    <w:rsid w:val="00D97E67"/>
    <w:rsid w:val="00DA7E75"/>
    <w:rsid w:val="00DB0A88"/>
    <w:rsid w:val="00DC062F"/>
    <w:rsid w:val="00DC0879"/>
    <w:rsid w:val="00DC1F45"/>
    <w:rsid w:val="00DC49D3"/>
    <w:rsid w:val="00DD0FF9"/>
    <w:rsid w:val="00DE543D"/>
    <w:rsid w:val="00DF28C7"/>
    <w:rsid w:val="00DF63C4"/>
    <w:rsid w:val="00E0325D"/>
    <w:rsid w:val="00E212AC"/>
    <w:rsid w:val="00E2272D"/>
    <w:rsid w:val="00E3701C"/>
    <w:rsid w:val="00E6091D"/>
    <w:rsid w:val="00E740CB"/>
    <w:rsid w:val="00E848BB"/>
    <w:rsid w:val="00E85D2F"/>
    <w:rsid w:val="00E90485"/>
    <w:rsid w:val="00E90853"/>
    <w:rsid w:val="00EA328F"/>
    <w:rsid w:val="00EA3CED"/>
    <w:rsid w:val="00EB1BA6"/>
    <w:rsid w:val="00EB430E"/>
    <w:rsid w:val="00EB6D0E"/>
    <w:rsid w:val="00ED6E2E"/>
    <w:rsid w:val="00EE30B7"/>
    <w:rsid w:val="00EF6470"/>
    <w:rsid w:val="00F037E9"/>
    <w:rsid w:val="00F14213"/>
    <w:rsid w:val="00F15A19"/>
    <w:rsid w:val="00F2063C"/>
    <w:rsid w:val="00F2632A"/>
    <w:rsid w:val="00F36768"/>
    <w:rsid w:val="00F37DE3"/>
    <w:rsid w:val="00F40543"/>
    <w:rsid w:val="00F4102E"/>
    <w:rsid w:val="00F450A9"/>
    <w:rsid w:val="00F56CDC"/>
    <w:rsid w:val="00F76FB7"/>
    <w:rsid w:val="00F81010"/>
    <w:rsid w:val="00F810AE"/>
    <w:rsid w:val="00FA11AA"/>
    <w:rsid w:val="00FA7DF0"/>
    <w:rsid w:val="00FB01DE"/>
    <w:rsid w:val="00FC0F07"/>
    <w:rsid w:val="00FD43DB"/>
    <w:rsid w:val="00FE1737"/>
    <w:rsid w:val="00FE19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D0651B"/>
  <w14:defaultImageDpi w14:val="300"/>
  <w15:docId w15:val="{8D516EAC-2069-4D26-A315-CD455A7D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915F8D"/>
    <w:pPr>
      <w:tabs>
        <w:tab w:val="left" w:pos="440"/>
        <w:tab w:val="right" w:leader="dot" w:pos="9054"/>
      </w:tabs>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6D4A24"/>
    <w:rPr>
      <w:sz w:val="16"/>
      <w:szCs w:val="16"/>
    </w:rPr>
  </w:style>
  <w:style w:type="paragraph" w:styleId="CommentText">
    <w:name w:val="annotation text"/>
    <w:basedOn w:val="Normal"/>
    <w:link w:val="CommentTextChar"/>
    <w:uiPriority w:val="99"/>
    <w:unhideWhenUsed/>
    <w:rsid w:val="006D4A24"/>
    <w:rPr>
      <w:sz w:val="20"/>
      <w:szCs w:val="20"/>
    </w:rPr>
  </w:style>
  <w:style w:type="character" w:customStyle="1" w:styleId="CommentTextChar">
    <w:name w:val="Comment Text Char"/>
    <w:basedOn w:val="DefaultParagraphFont"/>
    <w:link w:val="CommentText"/>
    <w:uiPriority w:val="99"/>
    <w:rsid w:val="006D4A24"/>
    <w:rPr>
      <w:sz w:val="20"/>
      <w:szCs w:val="20"/>
    </w:rPr>
  </w:style>
  <w:style w:type="paragraph" w:styleId="CommentSubject">
    <w:name w:val="annotation subject"/>
    <w:basedOn w:val="CommentText"/>
    <w:next w:val="CommentText"/>
    <w:link w:val="CommentSubjectChar"/>
    <w:uiPriority w:val="99"/>
    <w:semiHidden/>
    <w:unhideWhenUsed/>
    <w:rsid w:val="006D4A24"/>
    <w:rPr>
      <w:b/>
      <w:bCs/>
    </w:rPr>
  </w:style>
  <w:style w:type="character" w:customStyle="1" w:styleId="CommentSubjectChar">
    <w:name w:val="Comment Subject Char"/>
    <w:basedOn w:val="CommentTextChar"/>
    <w:link w:val="CommentSubject"/>
    <w:uiPriority w:val="99"/>
    <w:semiHidden/>
    <w:rsid w:val="006D4A24"/>
    <w:rPr>
      <w:b/>
      <w:bCs/>
      <w:sz w:val="20"/>
      <w:szCs w:val="20"/>
    </w:rPr>
  </w:style>
  <w:style w:type="paragraph" w:styleId="Revision">
    <w:name w:val="Revision"/>
    <w:hidden/>
    <w:uiPriority w:val="99"/>
    <w:semiHidden/>
    <w:rsid w:val="0014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Anti Fraud</Document>
    <Website xmlns="dc471172-6ec0-410f-9f6e-10acaa34c523">No</Websit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2.xml><?xml version="1.0" encoding="utf-8"?>
<ds:datastoreItem xmlns:ds="http://schemas.openxmlformats.org/officeDocument/2006/customXml" ds:itemID="{A665A220-48A7-4455-B1A0-A6F773438455}">
  <ds:schemaRefs>
    <ds:schemaRef ds:uri="http://schemas.openxmlformats.org/officeDocument/2006/bibliography"/>
  </ds:schemaRefs>
</ds:datastoreItem>
</file>

<file path=customXml/itemProps3.xml><?xml version="1.0" encoding="utf-8"?>
<ds:datastoreItem xmlns:ds="http://schemas.openxmlformats.org/officeDocument/2006/customXml" ds:itemID="{BC09ADB5-81DD-4674-8572-EC1645F56B30}"/>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Brazier</dc:creator>
  <cp:keywords/>
  <dc:description/>
  <cp:lastModifiedBy>Emma Sheedy</cp:lastModifiedBy>
  <cp:revision>2</cp:revision>
  <cp:lastPrinted>2015-12-01T23:17:00Z</cp:lastPrinted>
  <dcterms:created xsi:type="dcterms:W3CDTF">2023-09-27T16:12:00Z</dcterms:created>
  <dcterms:modified xsi:type="dcterms:W3CDTF">2023-09-27T16:12:00Z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23900</vt:r8>
  </property>
  <property fmtid="{D5CDD505-2E9C-101B-9397-08002B2CF9AE}" pid="4" name="MediaServiceImageTags">
    <vt:lpwstr/>
  </property>
</Properties>
</file>