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3752" w14:textId="77777777" w:rsidR="00425835" w:rsidRDefault="00425835" w:rsidP="00425835">
      <w:pPr>
        <w:spacing w:after="240" w:line="240" w:lineRule="exact"/>
        <w:jc w:val="both"/>
        <w:rPr>
          <w:rFonts w:ascii="Cambria" w:eastAsia="MS Mincho" w:hAnsi="Cambria" w:cs="Times New Roman"/>
          <w:lang w:val="en-US"/>
        </w:rPr>
      </w:pPr>
    </w:p>
    <w:p w14:paraId="7B9939D3" w14:textId="77777777" w:rsidR="00D761BE" w:rsidRDefault="00D761BE" w:rsidP="00425835">
      <w:pPr>
        <w:spacing w:after="240" w:line="240" w:lineRule="exact"/>
        <w:jc w:val="both"/>
        <w:rPr>
          <w:rFonts w:ascii="Cambria" w:eastAsia="MS Mincho" w:hAnsi="Cambria" w:cs="Times New Roman"/>
          <w:lang w:val="en-US"/>
        </w:rPr>
      </w:pPr>
    </w:p>
    <w:p w14:paraId="404C495D" w14:textId="77777777" w:rsidR="00592F89" w:rsidRDefault="00592F89" w:rsidP="00425835">
      <w:pPr>
        <w:spacing w:after="240" w:line="240" w:lineRule="exact"/>
        <w:jc w:val="both"/>
        <w:rPr>
          <w:rFonts w:ascii="Cambria" w:eastAsia="MS Mincho" w:hAnsi="Cambria" w:cs="Times New Roman"/>
          <w:lang w:val="en-US"/>
        </w:rPr>
      </w:pPr>
    </w:p>
    <w:p w14:paraId="49A75C69" w14:textId="77777777" w:rsidR="00D761BE" w:rsidRDefault="00D761BE" w:rsidP="00425835">
      <w:pPr>
        <w:spacing w:after="240" w:line="240" w:lineRule="exact"/>
        <w:jc w:val="both"/>
        <w:rPr>
          <w:rFonts w:ascii="Cambria" w:eastAsia="MS Mincho" w:hAnsi="Cambria" w:cs="Times New Roman"/>
          <w:lang w:val="en-US"/>
        </w:rPr>
      </w:pPr>
    </w:p>
    <w:p w14:paraId="34910A00" w14:textId="77777777" w:rsidR="00D761BE" w:rsidRDefault="00D761BE" w:rsidP="00425835">
      <w:pPr>
        <w:spacing w:after="240" w:line="240" w:lineRule="exact"/>
        <w:jc w:val="both"/>
        <w:rPr>
          <w:rFonts w:ascii="Cambria" w:eastAsia="MS Mincho" w:hAnsi="Cambria" w:cs="Times New Roman"/>
          <w:lang w:val="en-US"/>
        </w:rPr>
      </w:pPr>
    </w:p>
    <w:p w14:paraId="3B398462" w14:textId="77777777" w:rsidR="00D761BE" w:rsidRDefault="00D761BE" w:rsidP="00425835">
      <w:pPr>
        <w:spacing w:after="240" w:line="240" w:lineRule="exact"/>
        <w:jc w:val="both"/>
        <w:rPr>
          <w:rFonts w:ascii="Cambria" w:eastAsia="MS Mincho" w:hAnsi="Cambria" w:cs="Times New Roman"/>
          <w:lang w:val="en-US"/>
        </w:rPr>
      </w:pPr>
    </w:p>
    <w:p w14:paraId="28986A09" w14:textId="77777777" w:rsidR="003338EA" w:rsidRPr="00425835" w:rsidRDefault="003338EA" w:rsidP="00425835">
      <w:pPr>
        <w:spacing w:after="240" w:line="240" w:lineRule="exact"/>
        <w:jc w:val="both"/>
        <w:rPr>
          <w:rFonts w:ascii="Cambria" w:eastAsia="MS Mincho" w:hAnsi="Cambria" w:cs="Times New Roman"/>
          <w:lang w:val="en-US"/>
        </w:rPr>
      </w:pPr>
    </w:p>
    <w:p w14:paraId="7A28AB37"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 xml:space="preserve">Ormiston Academies </w:t>
      </w:r>
      <w:r w:rsidR="00BE56B6">
        <w:rPr>
          <w:rFonts w:ascii="Arial" w:eastAsia="Cambria" w:hAnsi="Arial" w:cs="Arial"/>
          <w:sz w:val="26"/>
          <w:szCs w:val="26"/>
        </w:rPr>
        <w:t>Trust</w:t>
      </w:r>
    </w:p>
    <w:p w14:paraId="053D55EB" w14:textId="77777777" w:rsidR="00D761BE" w:rsidRPr="00475EA3" w:rsidRDefault="00D761BE" w:rsidP="003338EA">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6703EF">
        <w:rPr>
          <w:rFonts w:ascii="Arial" w:eastAsia="MS Gothic" w:hAnsi="Arial" w:cs="Arial"/>
          <w:color w:val="00B0F0"/>
          <w:kern w:val="28"/>
          <w:sz w:val="42"/>
          <w:szCs w:val="56"/>
        </w:rPr>
        <w:t>Asset Management</w:t>
      </w:r>
      <w:r w:rsidRPr="00475EA3">
        <w:rPr>
          <w:rFonts w:ascii="Arial" w:eastAsia="MS Gothic" w:hAnsi="Arial" w:cs="Arial"/>
          <w:color w:val="00B0F0"/>
          <w:kern w:val="28"/>
          <w:sz w:val="42"/>
          <w:szCs w:val="56"/>
        </w:rPr>
        <w:t xml:space="preserve"> policy</w:t>
      </w:r>
    </w:p>
    <w:p w14:paraId="1D15D271"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69370A1F"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7F8C35A1"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4"/>
        <w:gridCol w:w="6210"/>
      </w:tblGrid>
      <w:tr w:rsidR="00D761BE" w14:paraId="55E208AA" w14:textId="77777777" w:rsidTr="00CE3ADF">
        <w:trPr>
          <w:trHeight w:val="305"/>
        </w:trPr>
        <w:tc>
          <w:tcPr>
            <w:tcW w:w="2857" w:type="dxa"/>
            <w:tcMar>
              <w:top w:w="113" w:type="dxa"/>
            </w:tcMar>
          </w:tcPr>
          <w:p w14:paraId="40F250AF"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2B0E1255" w14:textId="77777777" w:rsidR="00D761BE" w:rsidRPr="00475EA3" w:rsidRDefault="00A71FB2" w:rsidP="00CE3ADF">
            <w:pPr>
              <w:tabs>
                <w:tab w:val="left" w:pos="284"/>
              </w:tabs>
              <w:spacing w:after="120" w:line="250" w:lineRule="exact"/>
              <w:rPr>
                <w:rFonts w:ascii="Arial" w:eastAsia="MS Mincho" w:hAnsi="Arial" w:cs="Arial"/>
                <w:sz w:val="20"/>
                <w:szCs w:val="20"/>
              </w:rPr>
            </w:pPr>
            <w:r w:rsidRPr="0034026C">
              <w:rPr>
                <w:rFonts w:ascii="Arial" w:eastAsia="MS Mincho" w:hAnsi="Arial" w:cs="Arial"/>
                <w:sz w:val="20"/>
                <w:szCs w:val="20"/>
              </w:rPr>
              <w:t>M</w:t>
            </w:r>
            <w:r w:rsidR="00CB371C" w:rsidRPr="0034026C">
              <w:rPr>
                <w:rFonts w:ascii="Arial" w:eastAsia="MS Mincho" w:hAnsi="Arial" w:cs="Arial"/>
                <w:sz w:val="20"/>
                <w:szCs w:val="20"/>
              </w:rPr>
              <w:t>andatory</w:t>
            </w:r>
          </w:p>
        </w:tc>
      </w:tr>
      <w:tr w:rsidR="00D761BE" w14:paraId="221F0E1C" w14:textId="77777777" w:rsidTr="00CE3ADF">
        <w:tc>
          <w:tcPr>
            <w:tcW w:w="2857" w:type="dxa"/>
            <w:tcMar>
              <w:top w:w="113" w:type="dxa"/>
            </w:tcMar>
          </w:tcPr>
          <w:p w14:paraId="5B734E07"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46" w:type="dxa"/>
            <w:tcMar>
              <w:top w:w="113" w:type="dxa"/>
            </w:tcMar>
          </w:tcPr>
          <w:p w14:paraId="71854E70" w14:textId="77777777" w:rsidR="00D761BE" w:rsidRPr="00475EA3" w:rsidRDefault="00172B43"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Claire Lovell</w:t>
            </w:r>
          </w:p>
        </w:tc>
      </w:tr>
      <w:tr w:rsidR="00D761BE" w14:paraId="02573287" w14:textId="77777777" w:rsidTr="00CE3ADF">
        <w:tc>
          <w:tcPr>
            <w:tcW w:w="2857" w:type="dxa"/>
            <w:tcMar>
              <w:top w:w="113" w:type="dxa"/>
            </w:tcMar>
          </w:tcPr>
          <w:p w14:paraId="1C6CFF8C"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1C945A41" w14:textId="77777777" w:rsidR="00D761BE" w:rsidRPr="00475EA3" w:rsidRDefault="0096032F"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Jo Dawson</w:t>
            </w:r>
          </w:p>
        </w:tc>
      </w:tr>
      <w:tr w:rsidR="00D761BE" w14:paraId="1CA883D3" w14:textId="77777777" w:rsidTr="00CE3ADF">
        <w:tc>
          <w:tcPr>
            <w:tcW w:w="2857" w:type="dxa"/>
            <w:tcMar>
              <w:top w:w="113" w:type="dxa"/>
            </w:tcMar>
          </w:tcPr>
          <w:p w14:paraId="663A2062"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5EF94A69" w14:textId="42984781" w:rsidR="00D761BE" w:rsidRPr="00475EA3" w:rsidRDefault="002F28A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February 2022</w:t>
            </w:r>
          </w:p>
        </w:tc>
      </w:tr>
      <w:tr w:rsidR="00D761BE" w14:paraId="4101F38F" w14:textId="77777777" w:rsidTr="00CE3ADF">
        <w:trPr>
          <w:trHeight w:val="243"/>
        </w:trPr>
        <w:tc>
          <w:tcPr>
            <w:tcW w:w="2857" w:type="dxa"/>
            <w:tcMar>
              <w:top w:w="113" w:type="dxa"/>
            </w:tcMar>
          </w:tcPr>
          <w:p w14:paraId="07D5FBCA"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Next release date</w:t>
            </w:r>
          </w:p>
        </w:tc>
        <w:tc>
          <w:tcPr>
            <w:tcW w:w="6246" w:type="dxa"/>
            <w:tcMar>
              <w:top w:w="113" w:type="dxa"/>
            </w:tcMar>
          </w:tcPr>
          <w:p w14:paraId="37292875" w14:textId="2D7740B5" w:rsidR="00D761BE" w:rsidRPr="00475EA3" w:rsidRDefault="002F28A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February 2023</w:t>
            </w:r>
          </w:p>
        </w:tc>
      </w:tr>
      <w:tr w:rsidR="00D761BE" w14:paraId="5E7599EE" w14:textId="77777777" w:rsidTr="00CE3ADF">
        <w:trPr>
          <w:trHeight w:val="243"/>
        </w:trPr>
        <w:tc>
          <w:tcPr>
            <w:tcW w:w="2857" w:type="dxa"/>
            <w:tcMar>
              <w:top w:w="113" w:type="dxa"/>
            </w:tcMar>
          </w:tcPr>
          <w:p w14:paraId="02E993BD"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55D56485" w14:textId="77777777" w:rsidR="00D761BE" w:rsidRDefault="00CF4ADD" w:rsidP="003338EA">
            <w:pPr>
              <w:pStyle w:val="OATliststyle"/>
            </w:pPr>
            <w:r>
              <w:t>Amendment to the useful economic life for motor vehicles so that it is in line with the depreciation rate.</w:t>
            </w:r>
          </w:p>
          <w:p w14:paraId="4727C038" w14:textId="4E703027" w:rsidR="00353EEB" w:rsidRDefault="00353EEB" w:rsidP="003338EA">
            <w:pPr>
              <w:pStyle w:val="OATliststyle"/>
            </w:pPr>
            <w:r>
              <w:t xml:space="preserve">Further clarification surrounding the need for academies to maintain an </w:t>
            </w:r>
            <w:r w:rsidR="006E5770">
              <w:t>I</w:t>
            </w:r>
            <w:r w:rsidR="00CA1FC7">
              <w:t>C</w:t>
            </w:r>
            <w:r w:rsidR="006E5770">
              <w:t xml:space="preserve">T </w:t>
            </w:r>
            <w:r>
              <w:t xml:space="preserve">asset inventory to ensure that our exposure limits are adequate for insurance purposes. </w:t>
            </w:r>
          </w:p>
          <w:p w14:paraId="5857665C" w14:textId="32BEDA68" w:rsidR="00DB1718" w:rsidRDefault="00C920D0" w:rsidP="003338EA">
            <w:pPr>
              <w:pStyle w:val="OATliststyle"/>
            </w:pPr>
            <w:r>
              <w:t xml:space="preserve">Inclusion of Appendix </w:t>
            </w:r>
            <w:r w:rsidR="00CA1FC7">
              <w:t>B</w:t>
            </w:r>
            <w:r>
              <w:t xml:space="preserve"> for recording the I</w:t>
            </w:r>
            <w:r w:rsidR="00CA1FC7">
              <w:t>C</w:t>
            </w:r>
            <w:r>
              <w:t xml:space="preserve">T </w:t>
            </w:r>
            <w:r w:rsidR="00CA41EB">
              <w:t>A</w:t>
            </w:r>
            <w:r>
              <w:t xml:space="preserve">sset </w:t>
            </w:r>
            <w:r w:rsidR="00CA41EB">
              <w:t>I</w:t>
            </w:r>
            <w:r>
              <w:t>nventory</w:t>
            </w:r>
          </w:p>
          <w:p w14:paraId="728B3481" w14:textId="4632A03E" w:rsidR="00AA4970" w:rsidRDefault="00567EFD" w:rsidP="003338EA">
            <w:pPr>
              <w:pStyle w:val="OATliststyle"/>
            </w:pPr>
            <w:r>
              <w:t xml:space="preserve">Purchasing capital items </w:t>
            </w:r>
            <w:r w:rsidR="001C299B">
              <w:t>is</w:t>
            </w:r>
            <w:r>
              <w:t xml:space="preserve"> done on the portal and the inter</w:t>
            </w:r>
            <w:r w:rsidR="003D2423">
              <w:t>-</w:t>
            </w:r>
            <w:r>
              <w:t>academy charge has been removed.</w:t>
            </w:r>
          </w:p>
          <w:p w14:paraId="767E1842" w14:textId="7C321981" w:rsidR="00C920D0" w:rsidRPr="003338EA" w:rsidRDefault="00AA4970" w:rsidP="003338EA">
            <w:pPr>
              <w:pStyle w:val="OATliststyle"/>
            </w:pPr>
            <w:r>
              <w:t xml:space="preserve">Inclusion of Appendix C for academies to inform Head Office of any capital purchases to allow the assets to be </w:t>
            </w:r>
            <w:proofErr w:type="spellStart"/>
            <w:r>
              <w:t>capitali</w:t>
            </w:r>
            <w:r w:rsidR="001C299B">
              <w:t>s</w:t>
            </w:r>
            <w:r>
              <w:t>ed</w:t>
            </w:r>
            <w:proofErr w:type="spellEnd"/>
            <w:r>
              <w:t xml:space="preserve"> correctly at Head Office. </w:t>
            </w:r>
            <w:r w:rsidR="00C920D0">
              <w:t xml:space="preserve"> </w:t>
            </w:r>
          </w:p>
        </w:tc>
      </w:tr>
    </w:tbl>
    <w:p w14:paraId="609F2656"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548E9A24"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3E0E05A1" w14:textId="47E39B7B" w:rsidR="00A74AA5" w:rsidRDefault="00F2632A">
          <w:pPr>
            <w:pStyle w:val="TOC1"/>
            <w:tabs>
              <w:tab w:val="left" w:pos="440"/>
              <w:tab w:val="right" w:leader="dot" w:pos="9054"/>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94681115" w:history="1">
            <w:r w:rsidR="00A74AA5" w:rsidRPr="00231D85">
              <w:rPr>
                <w:rStyle w:val="Hyperlink"/>
                <w:noProof/>
              </w:rPr>
              <w:t>1.</w:t>
            </w:r>
            <w:r w:rsidR="00A74AA5">
              <w:rPr>
                <w:rFonts w:asciiTheme="minorHAnsi" w:hAnsiTheme="minorHAnsi"/>
                <w:noProof/>
                <w:sz w:val="22"/>
                <w:szCs w:val="22"/>
                <w:lang w:eastAsia="en-GB"/>
              </w:rPr>
              <w:tab/>
            </w:r>
            <w:r w:rsidR="00A74AA5" w:rsidRPr="00231D85">
              <w:rPr>
                <w:rStyle w:val="Hyperlink"/>
                <w:noProof/>
              </w:rPr>
              <w:t>Policy statement and principles</w:t>
            </w:r>
            <w:r w:rsidR="00A74AA5">
              <w:rPr>
                <w:noProof/>
                <w:webHidden/>
              </w:rPr>
              <w:tab/>
            </w:r>
            <w:r w:rsidR="00A74AA5">
              <w:rPr>
                <w:noProof/>
                <w:webHidden/>
              </w:rPr>
              <w:fldChar w:fldCharType="begin"/>
            </w:r>
            <w:r w:rsidR="00A74AA5">
              <w:rPr>
                <w:noProof/>
                <w:webHidden/>
              </w:rPr>
              <w:instrText xml:space="preserve"> PAGEREF _Toc94681115 \h </w:instrText>
            </w:r>
            <w:r w:rsidR="00A74AA5">
              <w:rPr>
                <w:noProof/>
                <w:webHidden/>
              </w:rPr>
            </w:r>
            <w:r w:rsidR="00A74AA5">
              <w:rPr>
                <w:noProof/>
                <w:webHidden/>
              </w:rPr>
              <w:fldChar w:fldCharType="separate"/>
            </w:r>
            <w:r w:rsidR="005544DF">
              <w:rPr>
                <w:noProof/>
                <w:webHidden/>
              </w:rPr>
              <w:t>3</w:t>
            </w:r>
            <w:r w:rsidR="00A74AA5">
              <w:rPr>
                <w:noProof/>
                <w:webHidden/>
              </w:rPr>
              <w:fldChar w:fldCharType="end"/>
            </w:r>
          </w:hyperlink>
        </w:p>
        <w:p w14:paraId="3AFACDE0" w14:textId="51F92E72" w:rsidR="00A74AA5" w:rsidRDefault="005544DF">
          <w:pPr>
            <w:pStyle w:val="TOC1"/>
            <w:tabs>
              <w:tab w:val="left" w:pos="440"/>
              <w:tab w:val="right" w:leader="dot" w:pos="9054"/>
            </w:tabs>
            <w:rPr>
              <w:rFonts w:asciiTheme="minorHAnsi" w:hAnsiTheme="minorHAnsi"/>
              <w:noProof/>
              <w:sz w:val="22"/>
              <w:szCs w:val="22"/>
              <w:lang w:eastAsia="en-GB"/>
            </w:rPr>
          </w:pPr>
          <w:hyperlink w:anchor="_Toc94681116" w:history="1">
            <w:r w:rsidR="00A74AA5" w:rsidRPr="00231D85">
              <w:rPr>
                <w:rStyle w:val="Hyperlink"/>
                <w:noProof/>
              </w:rPr>
              <w:t>2.</w:t>
            </w:r>
            <w:r w:rsidR="00A74AA5">
              <w:rPr>
                <w:rFonts w:asciiTheme="minorHAnsi" w:hAnsiTheme="minorHAnsi"/>
                <w:noProof/>
                <w:sz w:val="22"/>
                <w:szCs w:val="22"/>
                <w:lang w:eastAsia="en-GB"/>
              </w:rPr>
              <w:tab/>
            </w:r>
            <w:r w:rsidR="00A74AA5" w:rsidRPr="00231D85">
              <w:rPr>
                <w:rStyle w:val="Hyperlink"/>
                <w:noProof/>
              </w:rPr>
              <w:t>Definitions</w:t>
            </w:r>
            <w:r w:rsidR="00A74AA5">
              <w:rPr>
                <w:noProof/>
                <w:webHidden/>
              </w:rPr>
              <w:tab/>
            </w:r>
            <w:r w:rsidR="00A74AA5">
              <w:rPr>
                <w:noProof/>
                <w:webHidden/>
              </w:rPr>
              <w:fldChar w:fldCharType="begin"/>
            </w:r>
            <w:r w:rsidR="00A74AA5">
              <w:rPr>
                <w:noProof/>
                <w:webHidden/>
              </w:rPr>
              <w:instrText xml:space="preserve"> PAGEREF _Toc94681116 \h </w:instrText>
            </w:r>
            <w:r w:rsidR="00A74AA5">
              <w:rPr>
                <w:noProof/>
                <w:webHidden/>
              </w:rPr>
            </w:r>
            <w:r w:rsidR="00A74AA5">
              <w:rPr>
                <w:noProof/>
                <w:webHidden/>
              </w:rPr>
              <w:fldChar w:fldCharType="separate"/>
            </w:r>
            <w:r>
              <w:rPr>
                <w:noProof/>
                <w:webHidden/>
              </w:rPr>
              <w:t>3</w:t>
            </w:r>
            <w:r w:rsidR="00A74AA5">
              <w:rPr>
                <w:noProof/>
                <w:webHidden/>
              </w:rPr>
              <w:fldChar w:fldCharType="end"/>
            </w:r>
          </w:hyperlink>
        </w:p>
        <w:p w14:paraId="42B8E2CA" w14:textId="20B0D214" w:rsidR="00A74AA5" w:rsidRDefault="005544DF">
          <w:pPr>
            <w:pStyle w:val="TOC1"/>
            <w:tabs>
              <w:tab w:val="left" w:pos="440"/>
              <w:tab w:val="right" w:leader="dot" w:pos="9054"/>
            </w:tabs>
            <w:rPr>
              <w:rFonts w:asciiTheme="minorHAnsi" w:hAnsiTheme="minorHAnsi"/>
              <w:noProof/>
              <w:sz w:val="22"/>
              <w:szCs w:val="22"/>
              <w:lang w:eastAsia="en-GB"/>
            </w:rPr>
          </w:pPr>
          <w:hyperlink w:anchor="_Toc94681117" w:history="1">
            <w:r w:rsidR="00A74AA5" w:rsidRPr="00231D85">
              <w:rPr>
                <w:rStyle w:val="Hyperlink"/>
                <w:noProof/>
              </w:rPr>
              <w:t>3.</w:t>
            </w:r>
            <w:r w:rsidR="00A74AA5">
              <w:rPr>
                <w:rFonts w:asciiTheme="minorHAnsi" w:hAnsiTheme="minorHAnsi"/>
                <w:noProof/>
                <w:sz w:val="22"/>
                <w:szCs w:val="22"/>
                <w:lang w:eastAsia="en-GB"/>
              </w:rPr>
              <w:tab/>
            </w:r>
            <w:r w:rsidR="00A74AA5" w:rsidRPr="00231D85">
              <w:rPr>
                <w:rStyle w:val="Hyperlink"/>
                <w:noProof/>
              </w:rPr>
              <w:t>Fixed asset categories</w:t>
            </w:r>
            <w:r w:rsidR="00A74AA5">
              <w:rPr>
                <w:noProof/>
                <w:webHidden/>
              </w:rPr>
              <w:tab/>
            </w:r>
            <w:r w:rsidR="00A74AA5">
              <w:rPr>
                <w:noProof/>
                <w:webHidden/>
              </w:rPr>
              <w:fldChar w:fldCharType="begin"/>
            </w:r>
            <w:r w:rsidR="00A74AA5">
              <w:rPr>
                <w:noProof/>
                <w:webHidden/>
              </w:rPr>
              <w:instrText xml:space="preserve"> PAGEREF _Toc94681117 \h </w:instrText>
            </w:r>
            <w:r w:rsidR="00A74AA5">
              <w:rPr>
                <w:noProof/>
                <w:webHidden/>
              </w:rPr>
            </w:r>
            <w:r w:rsidR="00A74AA5">
              <w:rPr>
                <w:noProof/>
                <w:webHidden/>
              </w:rPr>
              <w:fldChar w:fldCharType="separate"/>
            </w:r>
            <w:r>
              <w:rPr>
                <w:noProof/>
                <w:webHidden/>
              </w:rPr>
              <w:t>4</w:t>
            </w:r>
            <w:r w:rsidR="00A74AA5">
              <w:rPr>
                <w:noProof/>
                <w:webHidden/>
              </w:rPr>
              <w:fldChar w:fldCharType="end"/>
            </w:r>
          </w:hyperlink>
        </w:p>
        <w:p w14:paraId="49E1461C" w14:textId="22835FE2" w:rsidR="00A74AA5" w:rsidRDefault="005544DF">
          <w:pPr>
            <w:pStyle w:val="TOC1"/>
            <w:tabs>
              <w:tab w:val="left" w:pos="440"/>
              <w:tab w:val="right" w:leader="dot" w:pos="9054"/>
            </w:tabs>
            <w:rPr>
              <w:rFonts w:asciiTheme="minorHAnsi" w:hAnsiTheme="minorHAnsi"/>
              <w:noProof/>
              <w:sz w:val="22"/>
              <w:szCs w:val="22"/>
              <w:lang w:eastAsia="en-GB"/>
            </w:rPr>
          </w:pPr>
          <w:hyperlink w:anchor="_Toc94681118" w:history="1">
            <w:r w:rsidR="00A74AA5" w:rsidRPr="00231D85">
              <w:rPr>
                <w:rStyle w:val="Hyperlink"/>
                <w:rFonts w:eastAsia="MS Mincho"/>
                <w:noProof/>
              </w:rPr>
              <w:t>4.</w:t>
            </w:r>
            <w:r w:rsidR="00A74AA5">
              <w:rPr>
                <w:rFonts w:asciiTheme="minorHAnsi" w:hAnsiTheme="minorHAnsi"/>
                <w:noProof/>
                <w:sz w:val="22"/>
                <w:szCs w:val="22"/>
                <w:lang w:eastAsia="en-GB"/>
              </w:rPr>
              <w:tab/>
            </w:r>
            <w:r w:rsidR="00A74AA5" w:rsidRPr="00231D85">
              <w:rPr>
                <w:rStyle w:val="Hyperlink"/>
                <w:rFonts w:eastAsia="MS Mincho"/>
                <w:noProof/>
              </w:rPr>
              <w:t>Capitalisation of assets</w:t>
            </w:r>
            <w:r w:rsidR="00A74AA5">
              <w:rPr>
                <w:noProof/>
                <w:webHidden/>
              </w:rPr>
              <w:tab/>
            </w:r>
            <w:r w:rsidR="00A74AA5">
              <w:rPr>
                <w:noProof/>
                <w:webHidden/>
              </w:rPr>
              <w:fldChar w:fldCharType="begin"/>
            </w:r>
            <w:r w:rsidR="00A74AA5">
              <w:rPr>
                <w:noProof/>
                <w:webHidden/>
              </w:rPr>
              <w:instrText xml:space="preserve"> PAGEREF _Toc94681118 \h </w:instrText>
            </w:r>
            <w:r w:rsidR="00A74AA5">
              <w:rPr>
                <w:noProof/>
                <w:webHidden/>
              </w:rPr>
            </w:r>
            <w:r w:rsidR="00A74AA5">
              <w:rPr>
                <w:noProof/>
                <w:webHidden/>
              </w:rPr>
              <w:fldChar w:fldCharType="separate"/>
            </w:r>
            <w:r>
              <w:rPr>
                <w:noProof/>
                <w:webHidden/>
              </w:rPr>
              <w:t>4</w:t>
            </w:r>
            <w:r w:rsidR="00A74AA5">
              <w:rPr>
                <w:noProof/>
                <w:webHidden/>
              </w:rPr>
              <w:fldChar w:fldCharType="end"/>
            </w:r>
          </w:hyperlink>
        </w:p>
        <w:p w14:paraId="624B7B22" w14:textId="64920F1A" w:rsidR="00A74AA5" w:rsidRDefault="005544DF">
          <w:pPr>
            <w:pStyle w:val="TOC2"/>
            <w:tabs>
              <w:tab w:val="left" w:pos="880"/>
              <w:tab w:val="right" w:leader="dot" w:pos="9054"/>
            </w:tabs>
            <w:rPr>
              <w:rFonts w:asciiTheme="minorHAnsi" w:hAnsiTheme="minorHAnsi"/>
              <w:noProof/>
              <w:sz w:val="22"/>
              <w:szCs w:val="22"/>
              <w:lang w:eastAsia="en-GB"/>
            </w:rPr>
          </w:pPr>
          <w:hyperlink w:anchor="_Toc94681119" w:history="1">
            <w:r w:rsidR="00A74AA5" w:rsidRPr="00231D85">
              <w:rPr>
                <w:rStyle w:val="Hyperlink"/>
                <w:noProof/>
              </w:rPr>
              <w:t>4.1.</w:t>
            </w:r>
            <w:r w:rsidR="00A74AA5">
              <w:rPr>
                <w:rFonts w:asciiTheme="minorHAnsi" w:hAnsiTheme="minorHAnsi"/>
                <w:noProof/>
                <w:sz w:val="22"/>
                <w:szCs w:val="22"/>
                <w:lang w:eastAsia="en-GB"/>
              </w:rPr>
              <w:tab/>
            </w:r>
            <w:r w:rsidR="00A74AA5" w:rsidRPr="00231D85">
              <w:rPr>
                <w:rStyle w:val="Hyperlink"/>
                <w:noProof/>
              </w:rPr>
              <w:t>Expenditure eligible for capitalisation:</w:t>
            </w:r>
            <w:r w:rsidR="00A74AA5">
              <w:rPr>
                <w:noProof/>
                <w:webHidden/>
              </w:rPr>
              <w:tab/>
            </w:r>
            <w:r w:rsidR="00A74AA5">
              <w:rPr>
                <w:noProof/>
                <w:webHidden/>
              </w:rPr>
              <w:fldChar w:fldCharType="begin"/>
            </w:r>
            <w:r w:rsidR="00A74AA5">
              <w:rPr>
                <w:noProof/>
                <w:webHidden/>
              </w:rPr>
              <w:instrText xml:space="preserve"> PAGEREF _Toc94681119 \h </w:instrText>
            </w:r>
            <w:r w:rsidR="00A74AA5">
              <w:rPr>
                <w:noProof/>
                <w:webHidden/>
              </w:rPr>
            </w:r>
            <w:r w:rsidR="00A74AA5">
              <w:rPr>
                <w:noProof/>
                <w:webHidden/>
              </w:rPr>
              <w:fldChar w:fldCharType="separate"/>
            </w:r>
            <w:r>
              <w:rPr>
                <w:noProof/>
                <w:webHidden/>
              </w:rPr>
              <w:t>4</w:t>
            </w:r>
            <w:r w:rsidR="00A74AA5">
              <w:rPr>
                <w:noProof/>
                <w:webHidden/>
              </w:rPr>
              <w:fldChar w:fldCharType="end"/>
            </w:r>
          </w:hyperlink>
        </w:p>
        <w:p w14:paraId="04BFB4D3" w14:textId="4369AE3D" w:rsidR="00A74AA5" w:rsidRDefault="005544DF">
          <w:pPr>
            <w:pStyle w:val="TOC2"/>
            <w:tabs>
              <w:tab w:val="left" w:pos="880"/>
              <w:tab w:val="right" w:leader="dot" w:pos="9054"/>
            </w:tabs>
            <w:rPr>
              <w:rFonts w:asciiTheme="minorHAnsi" w:hAnsiTheme="minorHAnsi"/>
              <w:noProof/>
              <w:sz w:val="22"/>
              <w:szCs w:val="22"/>
              <w:lang w:eastAsia="en-GB"/>
            </w:rPr>
          </w:pPr>
          <w:hyperlink w:anchor="_Toc94681120" w:history="1">
            <w:r w:rsidR="00A74AA5" w:rsidRPr="00231D85">
              <w:rPr>
                <w:rStyle w:val="Hyperlink"/>
                <w:noProof/>
              </w:rPr>
              <w:t>4.2.</w:t>
            </w:r>
            <w:r w:rsidR="00A74AA5">
              <w:rPr>
                <w:rFonts w:asciiTheme="minorHAnsi" w:hAnsiTheme="minorHAnsi"/>
                <w:noProof/>
                <w:sz w:val="22"/>
                <w:szCs w:val="22"/>
                <w:lang w:eastAsia="en-GB"/>
              </w:rPr>
              <w:tab/>
            </w:r>
            <w:r w:rsidR="00A74AA5" w:rsidRPr="00231D85">
              <w:rPr>
                <w:rStyle w:val="Hyperlink"/>
                <w:noProof/>
              </w:rPr>
              <w:t>Expenditure ineligible for capitalisation:</w:t>
            </w:r>
            <w:r w:rsidR="00A74AA5">
              <w:rPr>
                <w:noProof/>
                <w:webHidden/>
              </w:rPr>
              <w:tab/>
            </w:r>
            <w:r w:rsidR="00A74AA5">
              <w:rPr>
                <w:noProof/>
                <w:webHidden/>
              </w:rPr>
              <w:fldChar w:fldCharType="begin"/>
            </w:r>
            <w:r w:rsidR="00A74AA5">
              <w:rPr>
                <w:noProof/>
                <w:webHidden/>
              </w:rPr>
              <w:instrText xml:space="preserve"> PAGEREF _Toc94681120 \h </w:instrText>
            </w:r>
            <w:r w:rsidR="00A74AA5">
              <w:rPr>
                <w:noProof/>
                <w:webHidden/>
              </w:rPr>
            </w:r>
            <w:r w:rsidR="00A74AA5">
              <w:rPr>
                <w:noProof/>
                <w:webHidden/>
              </w:rPr>
              <w:fldChar w:fldCharType="separate"/>
            </w:r>
            <w:r>
              <w:rPr>
                <w:noProof/>
                <w:webHidden/>
              </w:rPr>
              <w:t>4</w:t>
            </w:r>
            <w:r w:rsidR="00A74AA5">
              <w:rPr>
                <w:noProof/>
                <w:webHidden/>
              </w:rPr>
              <w:fldChar w:fldCharType="end"/>
            </w:r>
          </w:hyperlink>
        </w:p>
        <w:p w14:paraId="4988C497" w14:textId="46D452E1" w:rsidR="00A74AA5" w:rsidRDefault="005544DF">
          <w:pPr>
            <w:pStyle w:val="TOC1"/>
            <w:tabs>
              <w:tab w:val="left" w:pos="440"/>
              <w:tab w:val="right" w:leader="dot" w:pos="9054"/>
            </w:tabs>
            <w:rPr>
              <w:rFonts w:asciiTheme="minorHAnsi" w:hAnsiTheme="minorHAnsi"/>
              <w:noProof/>
              <w:sz w:val="22"/>
              <w:szCs w:val="22"/>
              <w:lang w:eastAsia="en-GB"/>
            </w:rPr>
          </w:pPr>
          <w:hyperlink w:anchor="_Toc94681121" w:history="1">
            <w:r w:rsidR="00A74AA5" w:rsidRPr="00231D85">
              <w:rPr>
                <w:rStyle w:val="Hyperlink"/>
                <w:rFonts w:eastAsia="MS Mincho"/>
                <w:noProof/>
              </w:rPr>
              <w:t>5.</w:t>
            </w:r>
            <w:r w:rsidR="00A74AA5">
              <w:rPr>
                <w:rFonts w:asciiTheme="minorHAnsi" w:hAnsiTheme="minorHAnsi"/>
                <w:noProof/>
                <w:sz w:val="22"/>
                <w:szCs w:val="22"/>
                <w:lang w:eastAsia="en-GB"/>
              </w:rPr>
              <w:tab/>
            </w:r>
            <w:r w:rsidR="00A74AA5" w:rsidRPr="00231D85">
              <w:rPr>
                <w:rStyle w:val="Hyperlink"/>
                <w:rFonts w:eastAsia="MS Mincho"/>
                <w:noProof/>
              </w:rPr>
              <w:t>Accounting</w:t>
            </w:r>
            <w:r w:rsidR="00A74AA5">
              <w:rPr>
                <w:noProof/>
                <w:webHidden/>
              </w:rPr>
              <w:tab/>
            </w:r>
            <w:r w:rsidR="00A74AA5">
              <w:rPr>
                <w:noProof/>
                <w:webHidden/>
              </w:rPr>
              <w:fldChar w:fldCharType="begin"/>
            </w:r>
            <w:r w:rsidR="00A74AA5">
              <w:rPr>
                <w:noProof/>
                <w:webHidden/>
              </w:rPr>
              <w:instrText xml:space="preserve"> PAGEREF _Toc94681121 \h </w:instrText>
            </w:r>
            <w:r w:rsidR="00A74AA5">
              <w:rPr>
                <w:noProof/>
                <w:webHidden/>
              </w:rPr>
            </w:r>
            <w:r w:rsidR="00A74AA5">
              <w:rPr>
                <w:noProof/>
                <w:webHidden/>
              </w:rPr>
              <w:fldChar w:fldCharType="separate"/>
            </w:r>
            <w:r>
              <w:rPr>
                <w:noProof/>
                <w:webHidden/>
              </w:rPr>
              <w:t>5</w:t>
            </w:r>
            <w:r w:rsidR="00A74AA5">
              <w:rPr>
                <w:noProof/>
                <w:webHidden/>
              </w:rPr>
              <w:fldChar w:fldCharType="end"/>
            </w:r>
          </w:hyperlink>
        </w:p>
        <w:p w14:paraId="1EEAA8B4" w14:textId="3559F6EC" w:rsidR="00A74AA5" w:rsidRDefault="005544DF">
          <w:pPr>
            <w:pStyle w:val="TOC2"/>
            <w:tabs>
              <w:tab w:val="right" w:leader="dot" w:pos="9054"/>
            </w:tabs>
            <w:rPr>
              <w:rFonts w:asciiTheme="minorHAnsi" w:hAnsiTheme="minorHAnsi"/>
              <w:noProof/>
              <w:sz w:val="22"/>
              <w:szCs w:val="22"/>
              <w:lang w:eastAsia="en-GB"/>
            </w:rPr>
          </w:pPr>
          <w:hyperlink w:anchor="_Toc94681122" w:history="1">
            <w:r w:rsidR="00A74AA5" w:rsidRPr="00231D85">
              <w:rPr>
                <w:rStyle w:val="Hyperlink"/>
                <w:noProof/>
                <w:lang w:eastAsia="en-GB"/>
              </w:rPr>
              <w:t>Type</w:t>
            </w:r>
            <w:r w:rsidR="00A74AA5">
              <w:rPr>
                <w:noProof/>
                <w:webHidden/>
              </w:rPr>
              <w:tab/>
            </w:r>
            <w:r w:rsidR="00A74AA5">
              <w:rPr>
                <w:noProof/>
                <w:webHidden/>
              </w:rPr>
              <w:fldChar w:fldCharType="begin"/>
            </w:r>
            <w:r w:rsidR="00A74AA5">
              <w:rPr>
                <w:noProof/>
                <w:webHidden/>
              </w:rPr>
              <w:instrText xml:space="preserve"> PAGEREF _Toc94681122 \h </w:instrText>
            </w:r>
            <w:r w:rsidR="00A74AA5">
              <w:rPr>
                <w:noProof/>
                <w:webHidden/>
              </w:rPr>
            </w:r>
            <w:r w:rsidR="00A74AA5">
              <w:rPr>
                <w:noProof/>
                <w:webHidden/>
              </w:rPr>
              <w:fldChar w:fldCharType="separate"/>
            </w:r>
            <w:r>
              <w:rPr>
                <w:noProof/>
                <w:webHidden/>
              </w:rPr>
              <w:t>6</w:t>
            </w:r>
            <w:r w:rsidR="00A74AA5">
              <w:rPr>
                <w:noProof/>
                <w:webHidden/>
              </w:rPr>
              <w:fldChar w:fldCharType="end"/>
            </w:r>
          </w:hyperlink>
        </w:p>
        <w:p w14:paraId="2B56BEAF" w14:textId="5C390B58" w:rsidR="00A74AA5" w:rsidRDefault="005544DF">
          <w:pPr>
            <w:pStyle w:val="TOC2"/>
            <w:tabs>
              <w:tab w:val="right" w:leader="dot" w:pos="9054"/>
            </w:tabs>
            <w:rPr>
              <w:rFonts w:asciiTheme="minorHAnsi" w:hAnsiTheme="minorHAnsi"/>
              <w:noProof/>
              <w:sz w:val="22"/>
              <w:szCs w:val="22"/>
              <w:lang w:eastAsia="en-GB"/>
            </w:rPr>
          </w:pPr>
          <w:hyperlink w:anchor="_Toc94681123" w:history="1">
            <w:r w:rsidR="00A74AA5" w:rsidRPr="00231D85">
              <w:rPr>
                <w:rStyle w:val="Hyperlink"/>
                <w:noProof/>
                <w:lang w:eastAsia="en-GB"/>
              </w:rPr>
              <w:t>Estimated useful life</w:t>
            </w:r>
            <w:r w:rsidR="00A74AA5">
              <w:rPr>
                <w:noProof/>
                <w:webHidden/>
              </w:rPr>
              <w:tab/>
            </w:r>
            <w:r w:rsidR="00A74AA5">
              <w:rPr>
                <w:noProof/>
                <w:webHidden/>
              </w:rPr>
              <w:fldChar w:fldCharType="begin"/>
            </w:r>
            <w:r w:rsidR="00A74AA5">
              <w:rPr>
                <w:noProof/>
                <w:webHidden/>
              </w:rPr>
              <w:instrText xml:space="preserve"> PAGEREF _Toc94681123 \h </w:instrText>
            </w:r>
            <w:r w:rsidR="00A74AA5">
              <w:rPr>
                <w:noProof/>
                <w:webHidden/>
              </w:rPr>
            </w:r>
            <w:r w:rsidR="00A74AA5">
              <w:rPr>
                <w:noProof/>
                <w:webHidden/>
              </w:rPr>
              <w:fldChar w:fldCharType="separate"/>
            </w:r>
            <w:r>
              <w:rPr>
                <w:noProof/>
                <w:webHidden/>
              </w:rPr>
              <w:t>6</w:t>
            </w:r>
            <w:r w:rsidR="00A74AA5">
              <w:rPr>
                <w:noProof/>
                <w:webHidden/>
              </w:rPr>
              <w:fldChar w:fldCharType="end"/>
            </w:r>
          </w:hyperlink>
        </w:p>
        <w:p w14:paraId="39DE0961" w14:textId="4336928E" w:rsidR="00A74AA5" w:rsidRDefault="005544DF">
          <w:pPr>
            <w:pStyle w:val="TOC2"/>
            <w:tabs>
              <w:tab w:val="right" w:leader="dot" w:pos="9054"/>
            </w:tabs>
            <w:rPr>
              <w:rFonts w:asciiTheme="minorHAnsi" w:hAnsiTheme="minorHAnsi"/>
              <w:noProof/>
              <w:sz w:val="22"/>
              <w:szCs w:val="22"/>
              <w:lang w:eastAsia="en-GB"/>
            </w:rPr>
          </w:pPr>
          <w:hyperlink w:anchor="_Toc94681124" w:history="1">
            <w:r w:rsidR="00A74AA5" w:rsidRPr="00231D85">
              <w:rPr>
                <w:rStyle w:val="Hyperlink"/>
                <w:noProof/>
                <w:lang w:eastAsia="en-GB"/>
              </w:rPr>
              <w:t>Depreciation method</w:t>
            </w:r>
            <w:r w:rsidR="00A74AA5">
              <w:rPr>
                <w:noProof/>
                <w:webHidden/>
              </w:rPr>
              <w:tab/>
            </w:r>
            <w:r w:rsidR="00A74AA5">
              <w:rPr>
                <w:noProof/>
                <w:webHidden/>
              </w:rPr>
              <w:fldChar w:fldCharType="begin"/>
            </w:r>
            <w:r w:rsidR="00A74AA5">
              <w:rPr>
                <w:noProof/>
                <w:webHidden/>
              </w:rPr>
              <w:instrText xml:space="preserve"> PAGEREF _Toc94681124 \h </w:instrText>
            </w:r>
            <w:r w:rsidR="00A74AA5">
              <w:rPr>
                <w:noProof/>
                <w:webHidden/>
              </w:rPr>
            </w:r>
            <w:r w:rsidR="00A74AA5">
              <w:rPr>
                <w:noProof/>
                <w:webHidden/>
              </w:rPr>
              <w:fldChar w:fldCharType="separate"/>
            </w:r>
            <w:r>
              <w:rPr>
                <w:noProof/>
                <w:webHidden/>
              </w:rPr>
              <w:t>6</w:t>
            </w:r>
            <w:r w:rsidR="00A74AA5">
              <w:rPr>
                <w:noProof/>
                <w:webHidden/>
              </w:rPr>
              <w:fldChar w:fldCharType="end"/>
            </w:r>
          </w:hyperlink>
        </w:p>
        <w:p w14:paraId="161AA4DC" w14:textId="1FB13233" w:rsidR="00A74AA5" w:rsidRDefault="005544DF">
          <w:pPr>
            <w:pStyle w:val="TOC2"/>
            <w:tabs>
              <w:tab w:val="right" w:leader="dot" w:pos="9054"/>
            </w:tabs>
            <w:rPr>
              <w:rFonts w:asciiTheme="minorHAnsi" w:hAnsiTheme="minorHAnsi"/>
              <w:noProof/>
              <w:sz w:val="22"/>
              <w:szCs w:val="22"/>
              <w:lang w:eastAsia="en-GB"/>
            </w:rPr>
          </w:pPr>
          <w:hyperlink w:anchor="_Toc94681125" w:history="1">
            <w:r w:rsidR="00A74AA5" w:rsidRPr="00231D85">
              <w:rPr>
                <w:rStyle w:val="Hyperlink"/>
                <w:noProof/>
                <w:lang w:eastAsia="en-GB"/>
              </w:rPr>
              <w:t>Percentage</w:t>
            </w:r>
            <w:r w:rsidR="00A74AA5">
              <w:rPr>
                <w:noProof/>
                <w:webHidden/>
              </w:rPr>
              <w:tab/>
            </w:r>
            <w:r w:rsidR="00A74AA5">
              <w:rPr>
                <w:noProof/>
                <w:webHidden/>
              </w:rPr>
              <w:fldChar w:fldCharType="begin"/>
            </w:r>
            <w:r w:rsidR="00A74AA5">
              <w:rPr>
                <w:noProof/>
                <w:webHidden/>
              </w:rPr>
              <w:instrText xml:space="preserve"> PAGEREF _Toc94681125 \h </w:instrText>
            </w:r>
            <w:r w:rsidR="00A74AA5">
              <w:rPr>
                <w:noProof/>
                <w:webHidden/>
              </w:rPr>
            </w:r>
            <w:r w:rsidR="00A74AA5">
              <w:rPr>
                <w:noProof/>
                <w:webHidden/>
              </w:rPr>
              <w:fldChar w:fldCharType="separate"/>
            </w:r>
            <w:r>
              <w:rPr>
                <w:noProof/>
                <w:webHidden/>
              </w:rPr>
              <w:t>6</w:t>
            </w:r>
            <w:r w:rsidR="00A74AA5">
              <w:rPr>
                <w:noProof/>
                <w:webHidden/>
              </w:rPr>
              <w:fldChar w:fldCharType="end"/>
            </w:r>
          </w:hyperlink>
        </w:p>
        <w:p w14:paraId="17333E80" w14:textId="6D40DA70" w:rsidR="00A74AA5" w:rsidRDefault="005544DF">
          <w:pPr>
            <w:pStyle w:val="TOC1"/>
            <w:tabs>
              <w:tab w:val="left" w:pos="440"/>
              <w:tab w:val="right" w:leader="dot" w:pos="9054"/>
            </w:tabs>
            <w:rPr>
              <w:rFonts w:asciiTheme="minorHAnsi" w:hAnsiTheme="minorHAnsi"/>
              <w:noProof/>
              <w:sz w:val="22"/>
              <w:szCs w:val="22"/>
              <w:lang w:eastAsia="en-GB"/>
            </w:rPr>
          </w:pPr>
          <w:hyperlink w:anchor="_Toc94681126" w:history="1">
            <w:r w:rsidR="00A74AA5" w:rsidRPr="00231D85">
              <w:rPr>
                <w:rStyle w:val="Hyperlink"/>
                <w:rFonts w:eastAsia="MS Mincho"/>
                <w:noProof/>
              </w:rPr>
              <w:t>6.</w:t>
            </w:r>
            <w:r w:rsidR="00A74AA5">
              <w:rPr>
                <w:rFonts w:asciiTheme="minorHAnsi" w:hAnsiTheme="minorHAnsi"/>
                <w:noProof/>
                <w:sz w:val="22"/>
                <w:szCs w:val="22"/>
                <w:lang w:eastAsia="en-GB"/>
              </w:rPr>
              <w:tab/>
            </w:r>
            <w:r w:rsidR="00A74AA5" w:rsidRPr="00231D85">
              <w:rPr>
                <w:rStyle w:val="Hyperlink"/>
                <w:rFonts w:eastAsia="MS Mincho"/>
                <w:noProof/>
              </w:rPr>
              <w:t>Depreciation of assets</w:t>
            </w:r>
            <w:r w:rsidR="00A74AA5">
              <w:rPr>
                <w:noProof/>
                <w:webHidden/>
              </w:rPr>
              <w:tab/>
            </w:r>
            <w:r w:rsidR="00A74AA5">
              <w:rPr>
                <w:noProof/>
                <w:webHidden/>
              </w:rPr>
              <w:fldChar w:fldCharType="begin"/>
            </w:r>
            <w:r w:rsidR="00A74AA5">
              <w:rPr>
                <w:noProof/>
                <w:webHidden/>
              </w:rPr>
              <w:instrText xml:space="preserve"> PAGEREF _Toc94681126 \h </w:instrText>
            </w:r>
            <w:r w:rsidR="00A74AA5">
              <w:rPr>
                <w:noProof/>
                <w:webHidden/>
              </w:rPr>
            </w:r>
            <w:r w:rsidR="00A74AA5">
              <w:rPr>
                <w:noProof/>
                <w:webHidden/>
              </w:rPr>
              <w:fldChar w:fldCharType="separate"/>
            </w:r>
            <w:r>
              <w:rPr>
                <w:noProof/>
                <w:webHidden/>
              </w:rPr>
              <w:t>6</w:t>
            </w:r>
            <w:r w:rsidR="00A74AA5">
              <w:rPr>
                <w:noProof/>
                <w:webHidden/>
              </w:rPr>
              <w:fldChar w:fldCharType="end"/>
            </w:r>
          </w:hyperlink>
        </w:p>
        <w:p w14:paraId="23F17F48" w14:textId="746BDE74" w:rsidR="00A74AA5" w:rsidRDefault="005544DF">
          <w:pPr>
            <w:pStyle w:val="TOC1"/>
            <w:tabs>
              <w:tab w:val="left" w:pos="440"/>
              <w:tab w:val="right" w:leader="dot" w:pos="9054"/>
            </w:tabs>
            <w:rPr>
              <w:rFonts w:asciiTheme="minorHAnsi" w:hAnsiTheme="minorHAnsi"/>
              <w:noProof/>
              <w:sz w:val="22"/>
              <w:szCs w:val="22"/>
              <w:lang w:eastAsia="en-GB"/>
            </w:rPr>
          </w:pPr>
          <w:hyperlink w:anchor="_Toc94681127" w:history="1">
            <w:r w:rsidR="00A74AA5" w:rsidRPr="00231D85">
              <w:rPr>
                <w:rStyle w:val="Hyperlink"/>
                <w:rFonts w:eastAsia="MS Mincho"/>
                <w:noProof/>
              </w:rPr>
              <w:t>7.</w:t>
            </w:r>
            <w:r w:rsidR="00A74AA5">
              <w:rPr>
                <w:rFonts w:asciiTheme="minorHAnsi" w:hAnsiTheme="minorHAnsi"/>
                <w:noProof/>
                <w:sz w:val="22"/>
                <w:szCs w:val="22"/>
                <w:lang w:eastAsia="en-GB"/>
              </w:rPr>
              <w:tab/>
            </w:r>
            <w:r w:rsidR="00A74AA5" w:rsidRPr="00231D85">
              <w:rPr>
                <w:rStyle w:val="Hyperlink"/>
                <w:rFonts w:eastAsia="MS Mincho"/>
                <w:noProof/>
              </w:rPr>
              <w:t>Damage of assets by staff</w:t>
            </w:r>
            <w:r w:rsidR="00A74AA5">
              <w:rPr>
                <w:noProof/>
                <w:webHidden/>
              </w:rPr>
              <w:tab/>
            </w:r>
            <w:r w:rsidR="00A74AA5">
              <w:rPr>
                <w:noProof/>
                <w:webHidden/>
              </w:rPr>
              <w:fldChar w:fldCharType="begin"/>
            </w:r>
            <w:r w:rsidR="00A74AA5">
              <w:rPr>
                <w:noProof/>
                <w:webHidden/>
              </w:rPr>
              <w:instrText xml:space="preserve"> PAGEREF _Toc94681127 \h </w:instrText>
            </w:r>
            <w:r w:rsidR="00A74AA5">
              <w:rPr>
                <w:noProof/>
                <w:webHidden/>
              </w:rPr>
            </w:r>
            <w:r w:rsidR="00A74AA5">
              <w:rPr>
                <w:noProof/>
                <w:webHidden/>
              </w:rPr>
              <w:fldChar w:fldCharType="separate"/>
            </w:r>
            <w:r>
              <w:rPr>
                <w:noProof/>
                <w:webHidden/>
              </w:rPr>
              <w:t>6</w:t>
            </w:r>
            <w:r w:rsidR="00A74AA5">
              <w:rPr>
                <w:noProof/>
                <w:webHidden/>
              </w:rPr>
              <w:fldChar w:fldCharType="end"/>
            </w:r>
          </w:hyperlink>
        </w:p>
        <w:p w14:paraId="02ACAB47" w14:textId="721ED79D" w:rsidR="00A74AA5" w:rsidRDefault="005544DF">
          <w:pPr>
            <w:pStyle w:val="TOC1"/>
            <w:tabs>
              <w:tab w:val="left" w:pos="440"/>
              <w:tab w:val="right" w:leader="dot" w:pos="9054"/>
            </w:tabs>
            <w:rPr>
              <w:rFonts w:asciiTheme="minorHAnsi" w:hAnsiTheme="minorHAnsi"/>
              <w:noProof/>
              <w:sz w:val="22"/>
              <w:szCs w:val="22"/>
              <w:lang w:eastAsia="en-GB"/>
            </w:rPr>
          </w:pPr>
          <w:hyperlink w:anchor="_Toc94681128" w:history="1">
            <w:r w:rsidR="00A74AA5" w:rsidRPr="00231D85">
              <w:rPr>
                <w:rStyle w:val="Hyperlink"/>
                <w:rFonts w:eastAsia="MS Mincho"/>
                <w:noProof/>
              </w:rPr>
              <w:t>8.</w:t>
            </w:r>
            <w:r w:rsidR="00A74AA5">
              <w:rPr>
                <w:rFonts w:asciiTheme="minorHAnsi" w:hAnsiTheme="minorHAnsi"/>
                <w:noProof/>
                <w:sz w:val="22"/>
                <w:szCs w:val="22"/>
                <w:lang w:eastAsia="en-GB"/>
              </w:rPr>
              <w:tab/>
            </w:r>
            <w:r w:rsidR="00A74AA5" w:rsidRPr="00231D85">
              <w:rPr>
                <w:rStyle w:val="Hyperlink"/>
                <w:rFonts w:eastAsia="MS Mincho"/>
                <w:noProof/>
              </w:rPr>
              <w:t>Disposal of assets</w:t>
            </w:r>
            <w:r w:rsidR="00A74AA5">
              <w:rPr>
                <w:noProof/>
                <w:webHidden/>
              </w:rPr>
              <w:tab/>
            </w:r>
            <w:r w:rsidR="00A74AA5">
              <w:rPr>
                <w:noProof/>
                <w:webHidden/>
              </w:rPr>
              <w:fldChar w:fldCharType="begin"/>
            </w:r>
            <w:r w:rsidR="00A74AA5">
              <w:rPr>
                <w:noProof/>
                <w:webHidden/>
              </w:rPr>
              <w:instrText xml:space="preserve"> PAGEREF _Toc94681128 \h </w:instrText>
            </w:r>
            <w:r w:rsidR="00A74AA5">
              <w:rPr>
                <w:noProof/>
                <w:webHidden/>
              </w:rPr>
            </w:r>
            <w:r w:rsidR="00A74AA5">
              <w:rPr>
                <w:noProof/>
                <w:webHidden/>
              </w:rPr>
              <w:fldChar w:fldCharType="separate"/>
            </w:r>
            <w:r>
              <w:rPr>
                <w:noProof/>
                <w:webHidden/>
              </w:rPr>
              <w:t>7</w:t>
            </w:r>
            <w:r w:rsidR="00A74AA5">
              <w:rPr>
                <w:noProof/>
                <w:webHidden/>
              </w:rPr>
              <w:fldChar w:fldCharType="end"/>
            </w:r>
          </w:hyperlink>
        </w:p>
        <w:p w14:paraId="35336629" w14:textId="24E5783C" w:rsidR="00A74AA5" w:rsidRDefault="005544DF">
          <w:pPr>
            <w:pStyle w:val="TOC1"/>
            <w:tabs>
              <w:tab w:val="left" w:pos="440"/>
              <w:tab w:val="right" w:leader="dot" w:pos="9054"/>
            </w:tabs>
            <w:rPr>
              <w:rFonts w:asciiTheme="minorHAnsi" w:hAnsiTheme="minorHAnsi"/>
              <w:noProof/>
              <w:sz w:val="22"/>
              <w:szCs w:val="22"/>
              <w:lang w:eastAsia="en-GB"/>
            </w:rPr>
          </w:pPr>
          <w:hyperlink w:anchor="_Toc94681129" w:history="1">
            <w:r w:rsidR="00A74AA5" w:rsidRPr="00231D85">
              <w:rPr>
                <w:rStyle w:val="Hyperlink"/>
                <w:rFonts w:eastAsia="MS Mincho"/>
                <w:noProof/>
              </w:rPr>
              <w:t>9.</w:t>
            </w:r>
            <w:r w:rsidR="00A74AA5">
              <w:rPr>
                <w:rFonts w:asciiTheme="minorHAnsi" w:hAnsiTheme="minorHAnsi"/>
                <w:noProof/>
                <w:sz w:val="22"/>
                <w:szCs w:val="22"/>
                <w:lang w:eastAsia="en-GB"/>
              </w:rPr>
              <w:tab/>
            </w:r>
            <w:r w:rsidR="00A74AA5" w:rsidRPr="00231D85">
              <w:rPr>
                <w:rStyle w:val="Hyperlink"/>
                <w:rFonts w:eastAsia="MS Mincho"/>
                <w:noProof/>
              </w:rPr>
              <w:t>Review assets for existence and impairment</w:t>
            </w:r>
            <w:r w:rsidR="00A74AA5">
              <w:rPr>
                <w:noProof/>
                <w:webHidden/>
              </w:rPr>
              <w:tab/>
            </w:r>
            <w:r w:rsidR="00A74AA5">
              <w:rPr>
                <w:noProof/>
                <w:webHidden/>
              </w:rPr>
              <w:fldChar w:fldCharType="begin"/>
            </w:r>
            <w:r w:rsidR="00A74AA5">
              <w:rPr>
                <w:noProof/>
                <w:webHidden/>
              </w:rPr>
              <w:instrText xml:space="preserve"> PAGEREF _Toc94681129 \h </w:instrText>
            </w:r>
            <w:r w:rsidR="00A74AA5">
              <w:rPr>
                <w:noProof/>
                <w:webHidden/>
              </w:rPr>
            </w:r>
            <w:r w:rsidR="00A74AA5">
              <w:rPr>
                <w:noProof/>
                <w:webHidden/>
              </w:rPr>
              <w:fldChar w:fldCharType="separate"/>
            </w:r>
            <w:r>
              <w:rPr>
                <w:noProof/>
                <w:webHidden/>
              </w:rPr>
              <w:t>7</w:t>
            </w:r>
            <w:r w:rsidR="00A74AA5">
              <w:rPr>
                <w:noProof/>
                <w:webHidden/>
              </w:rPr>
              <w:fldChar w:fldCharType="end"/>
            </w:r>
          </w:hyperlink>
        </w:p>
        <w:p w14:paraId="0FE3028D" w14:textId="4680D0C7" w:rsidR="00A74AA5" w:rsidRDefault="005544DF">
          <w:pPr>
            <w:pStyle w:val="TOC1"/>
            <w:tabs>
              <w:tab w:val="left" w:pos="660"/>
              <w:tab w:val="right" w:leader="dot" w:pos="9054"/>
            </w:tabs>
            <w:rPr>
              <w:rFonts w:asciiTheme="minorHAnsi" w:hAnsiTheme="minorHAnsi"/>
              <w:noProof/>
              <w:sz w:val="22"/>
              <w:szCs w:val="22"/>
              <w:lang w:eastAsia="en-GB"/>
            </w:rPr>
          </w:pPr>
          <w:hyperlink w:anchor="_Toc94681130" w:history="1">
            <w:r w:rsidR="00A74AA5" w:rsidRPr="00231D85">
              <w:rPr>
                <w:rStyle w:val="Hyperlink"/>
                <w:rFonts w:eastAsia="MS Mincho"/>
                <w:noProof/>
              </w:rPr>
              <w:t>10.</w:t>
            </w:r>
            <w:r w:rsidR="00A74AA5">
              <w:rPr>
                <w:rFonts w:asciiTheme="minorHAnsi" w:hAnsiTheme="minorHAnsi"/>
                <w:noProof/>
                <w:sz w:val="22"/>
                <w:szCs w:val="22"/>
                <w:lang w:eastAsia="en-GB"/>
              </w:rPr>
              <w:tab/>
            </w:r>
            <w:r w:rsidR="00A74AA5" w:rsidRPr="00231D85">
              <w:rPr>
                <w:rStyle w:val="Hyperlink"/>
                <w:rFonts w:eastAsia="MS Mincho"/>
                <w:noProof/>
              </w:rPr>
              <w:t>Advanced payments and assets in construction</w:t>
            </w:r>
            <w:r w:rsidR="00A74AA5">
              <w:rPr>
                <w:noProof/>
                <w:webHidden/>
              </w:rPr>
              <w:tab/>
            </w:r>
            <w:r w:rsidR="00A74AA5">
              <w:rPr>
                <w:noProof/>
                <w:webHidden/>
              </w:rPr>
              <w:fldChar w:fldCharType="begin"/>
            </w:r>
            <w:r w:rsidR="00A74AA5">
              <w:rPr>
                <w:noProof/>
                <w:webHidden/>
              </w:rPr>
              <w:instrText xml:space="preserve"> PAGEREF _Toc94681130 \h </w:instrText>
            </w:r>
            <w:r w:rsidR="00A74AA5">
              <w:rPr>
                <w:noProof/>
                <w:webHidden/>
              </w:rPr>
            </w:r>
            <w:r w:rsidR="00A74AA5">
              <w:rPr>
                <w:noProof/>
                <w:webHidden/>
              </w:rPr>
              <w:fldChar w:fldCharType="separate"/>
            </w:r>
            <w:r>
              <w:rPr>
                <w:noProof/>
                <w:webHidden/>
              </w:rPr>
              <w:t>8</w:t>
            </w:r>
            <w:r w:rsidR="00A74AA5">
              <w:rPr>
                <w:noProof/>
                <w:webHidden/>
              </w:rPr>
              <w:fldChar w:fldCharType="end"/>
            </w:r>
          </w:hyperlink>
        </w:p>
        <w:p w14:paraId="12E58290" w14:textId="0ADD3E35" w:rsidR="00A74AA5" w:rsidRDefault="005544DF">
          <w:pPr>
            <w:pStyle w:val="TOC1"/>
            <w:tabs>
              <w:tab w:val="left" w:pos="660"/>
              <w:tab w:val="right" w:leader="dot" w:pos="9054"/>
            </w:tabs>
            <w:rPr>
              <w:rFonts w:asciiTheme="minorHAnsi" w:hAnsiTheme="minorHAnsi"/>
              <w:noProof/>
              <w:sz w:val="22"/>
              <w:szCs w:val="22"/>
              <w:lang w:eastAsia="en-GB"/>
            </w:rPr>
          </w:pPr>
          <w:hyperlink w:anchor="_Toc94681131" w:history="1">
            <w:r w:rsidR="00A74AA5" w:rsidRPr="00231D85">
              <w:rPr>
                <w:rStyle w:val="Hyperlink"/>
                <w:rFonts w:eastAsia="MS Mincho"/>
                <w:noProof/>
              </w:rPr>
              <w:t>11.</w:t>
            </w:r>
            <w:r w:rsidR="00A74AA5">
              <w:rPr>
                <w:rFonts w:asciiTheme="minorHAnsi" w:hAnsiTheme="minorHAnsi"/>
                <w:noProof/>
                <w:sz w:val="22"/>
                <w:szCs w:val="22"/>
                <w:lang w:eastAsia="en-GB"/>
              </w:rPr>
              <w:tab/>
            </w:r>
            <w:r w:rsidR="00A74AA5" w:rsidRPr="00231D85">
              <w:rPr>
                <w:rStyle w:val="Hyperlink"/>
                <w:rFonts w:eastAsia="MS Mincho"/>
                <w:noProof/>
              </w:rPr>
              <w:t>Monitoring and review</w:t>
            </w:r>
            <w:r w:rsidR="00A74AA5">
              <w:rPr>
                <w:noProof/>
                <w:webHidden/>
              </w:rPr>
              <w:tab/>
            </w:r>
            <w:r w:rsidR="00A74AA5">
              <w:rPr>
                <w:noProof/>
                <w:webHidden/>
              </w:rPr>
              <w:fldChar w:fldCharType="begin"/>
            </w:r>
            <w:r w:rsidR="00A74AA5">
              <w:rPr>
                <w:noProof/>
                <w:webHidden/>
              </w:rPr>
              <w:instrText xml:space="preserve"> PAGEREF _Toc94681131 \h </w:instrText>
            </w:r>
            <w:r w:rsidR="00A74AA5">
              <w:rPr>
                <w:noProof/>
                <w:webHidden/>
              </w:rPr>
            </w:r>
            <w:r w:rsidR="00A74AA5">
              <w:rPr>
                <w:noProof/>
                <w:webHidden/>
              </w:rPr>
              <w:fldChar w:fldCharType="separate"/>
            </w:r>
            <w:r>
              <w:rPr>
                <w:noProof/>
                <w:webHidden/>
              </w:rPr>
              <w:t>8</w:t>
            </w:r>
            <w:r w:rsidR="00A74AA5">
              <w:rPr>
                <w:noProof/>
                <w:webHidden/>
              </w:rPr>
              <w:fldChar w:fldCharType="end"/>
            </w:r>
          </w:hyperlink>
        </w:p>
        <w:p w14:paraId="09CE8FA7" w14:textId="68D352A1" w:rsidR="00A74AA5" w:rsidRDefault="005544DF">
          <w:pPr>
            <w:pStyle w:val="TOC1"/>
            <w:tabs>
              <w:tab w:val="right" w:leader="dot" w:pos="9054"/>
            </w:tabs>
            <w:rPr>
              <w:rFonts w:asciiTheme="minorHAnsi" w:hAnsiTheme="minorHAnsi"/>
              <w:noProof/>
              <w:sz w:val="22"/>
              <w:szCs w:val="22"/>
              <w:lang w:eastAsia="en-GB"/>
            </w:rPr>
          </w:pPr>
          <w:hyperlink w:anchor="_Toc94681132" w:history="1">
            <w:r w:rsidR="00A74AA5" w:rsidRPr="00231D85">
              <w:rPr>
                <w:rStyle w:val="Hyperlink"/>
                <w:rFonts w:eastAsia="MS Mincho"/>
                <w:noProof/>
              </w:rPr>
              <w:t>Appendix A</w:t>
            </w:r>
            <w:r w:rsidR="00A74AA5">
              <w:rPr>
                <w:noProof/>
                <w:webHidden/>
              </w:rPr>
              <w:tab/>
            </w:r>
            <w:r w:rsidR="00A74AA5">
              <w:rPr>
                <w:noProof/>
                <w:webHidden/>
              </w:rPr>
              <w:fldChar w:fldCharType="begin"/>
            </w:r>
            <w:r w:rsidR="00A74AA5">
              <w:rPr>
                <w:noProof/>
                <w:webHidden/>
              </w:rPr>
              <w:instrText xml:space="preserve"> PAGEREF _Toc94681132 \h </w:instrText>
            </w:r>
            <w:r w:rsidR="00A74AA5">
              <w:rPr>
                <w:noProof/>
                <w:webHidden/>
              </w:rPr>
            </w:r>
            <w:r w:rsidR="00A74AA5">
              <w:rPr>
                <w:noProof/>
                <w:webHidden/>
              </w:rPr>
              <w:fldChar w:fldCharType="separate"/>
            </w:r>
            <w:r>
              <w:rPr>
                <w:noProof/>
                <w:webHidden/>
              </w:rPr>
              <w:t>9</w:t>
            </w:r>
            <w:r w:rsidR="00A74AA5">
              <w:rPr>
                <w:noProof/>
                <w:webHidden/>
              </w:rPr>
              <w:fldChar w:fldCharType="end"/>
            </w:r>
          </w:hyperlink>
        </w:p>
        <w:p w14:paraId="5469BC21" w14:textId="3103FB78" w:rsidR="00A74AA5" w:rsidRDefault="005544DF">
          <w:pPr>
            <w:pStyle w:val="TOC2"/>
            <w:tabs>
              <w:tab w:val="right" w:leader="dot" w:pos="9054"/>
            </w:tabs>
            <w:rPr>
              <w:rFonts w:asciiTheme="minorHAnsi" w:hAnsiTheme="minorHAnsi"/>
              <w:noProof/>
              <w:sz w:val="22"/>
              <w:szCs w:val="22"/>
              <w:lang w:eastAsia="en-GB"/>
            </w:rPr>
          </w:pPr>
          <w:hyperlink w:anchor="_Toc94681133" w:history="1">
            <w:r w:rsidR="00A74AA5" w:rsidRPr="00231D85">
              <w:rPr>
                <w:rStyle w:val="Hyperlink"/>
                <w:noProof/>
              </w:rPr>
              <w:t>Disposal of equipment form</w:t>
            </w:r>
            <w:r w:rsidR="00A74AA5">
              <w:rPr>
                <w:noProof/>
                <w:webHidden/>
              </w:rPr>
              <w:tab/>
            </w:r>
            <w:r w:rsidR="00A74AA5">
              <w:rPr>
                <w:noProof/>
                <w:webHidden/>
              </w:rPr>
              <w:fldChar w:fldCharType="begin"/>
            </w:r>
            <w:r w:rsidR="00A74AA5">
              <w:rPr>
                <w:noProof/>
                <w:webHidden/>
              </w:rPr>
              <w:instrText xml:space="preserve"> PAGEREF _Toc94681133 \h </w:instrText>
            </w:r>
            <w:r w:rsidR="00A74AA5">
              <w:rPr>
                <w:noProof/>
                <w:webHidden/>
              </w:rPr>
            </w:r>
            <w:r w:rsidR="00A74AA5">
              <w:rPr>
                <w:noProof/>
                <w:webHidden/>
              </w:rPr>
              <w:fldChar w:fldCharType="separate"/>
            </w:r>
            <w:r>
              <w:rPr>
                <w:noProof/>
                <w:webHidden/>
              </w:rPr>
              <w:t>9</w:t>
            </w:r>
            <w:r w:rsidR="00A74AA5">
              <w:rPr>
                <w:noProof/>
                <w:webHidden/>
              </w:rPr>
              <w:fldChar w:fldCharType="end"/>
            </w:r>
          </w:hyperlink>
        </w:p>
        <w:p w14:paraId="3AA934BD" w14:textId="77631C3F"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08590CE8"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5B50D661" w14:textId="77777777" w:rsidR="00D761BE" w:rsidRDefault="00D761BE" w:rsidP="00566B99">
      <w:pPr>
        <w:sectPr w:rsidR="00D761BE" w:rsidSect="003A0A62">
          <w:headerReference w:type="default" r:id="rId11"/>
          <w:footerReference w:type="default" r:id="rId12"/>
          <w:headerReference w:type="first" r:id="rId13"/>
          <w:pgSz w:w="11900" w:h="16840"/>
          <w:pgMar w:top="2694" w:right="1418" w:bottom="1418" w:left="1418" w:header="709" w:footer="709" w:gutter="0"/>
          <w:cols w:space="708"/>
          <w:titlePg/>
          <w:docGrid w:linePitch="360"/>
        </w:sectPr>
      </w:pPr>
    </w:p>
    <w:p w14:paraId="0FFF845F" w14:textId="4F82C05A" w:rsidR="00503BE8" w:rsidRPr="008E59EB" w:rsidRDefault="00503BE8" w:rsidP="008E59EB">
      <w:pPr>
        <w:pStyle w:val="OATheader"/>
        <w:numPr>
          <w:ilvl w:val="0"/>
          <w:numId w:val="18"/>
        </w:numPr>
        <w:ind w:left="426" w:hanging="426"/>
      </w:pPr>
      <w:bookmarkStart w:id="0" w:name="_Toc397090961"/>
      <w:bookmarkStart w:id="1" w:name="_Toc94681115"/>
      <w:r w:rsidRPr="00F82C90">
        <w:lastRenderedPageBreak/>
        <w:t>Policy statement and principle</w:t>
      </w:r>
      <w:bookmarkEnd w:id="0"/>
      <w:r w:rsidRPr="00F82C90">
        <w:t>s</w:t>
      </w:r>
      <w:bookmarkEnd w:id="1"/>
    </w:p>
    <w:p w14:paraId="5885E57C" w14:textId="77777777" w:rsidR="00503BE8" w:rsidRPr="00503BE8" w:rsidRDefault="00503BE8" w:rsidP="008E59EB">
      <w:pPr>
        <w:pStyle w:val="OATbodystyle"/>
        <w:spacing w:before="240"/>
      </w:pPr>
      <w:proofErr w:type="gramStart"/>
      <w:r w:rsidRPr="00503BE8">
        <w:t>In order to</w:t>
      </w:r>
      <w:proofErr w:type="gramEnd"/>
      <w:r w:rsidRPr="00503BE8">
        <w:t xml:space="preserve"> ensure that the </w:t>
      </w:r>
      <w:r w:rsidR="00BE56B6">
        <w:t>Trust</w:t>
      </w:r>
      <w:r w:rsidRPr="00503BE8">
        <w:t xml:space="preserve">’s balance sheet reflects the assets and liabilities of the </w:t>
      </w:r>
      <w:r w:rsidR="00BE56B6">
        <w:t>Trust</w:t>
      </w:r>
      <w:r w:rsidRPr="00503BE8">
        <w:t xml:space="preserve">, the </w:t>
      </w:r>
      <w:r w:rsidR="00BE56B6">
        <w:t>Trust</w:t>
      </w:r>
      <w:r w:rsidRPr="00503BE8">
        <w:t xml:space="preserve"> has established this Asset </w:t>
      </w:r>
      <w:r w:rsidR="00553109">
        <w:t>Management</w:t>
      </w:r>
      <w:r w:rsidRPr="00503BE8">
        <w:t xml:space="preserve"> Policy. </w:t>
      </w:r>
    </w:p>
    <w:p w14:paraId="58899D55" w14:textId="77777777" w:rsidR="00503BE8" w:rsidRPr="00503BE8" w:rsidRDefault="00503BE8" w:rsidP="00B00A80">
      <w:pPr>
        <w:pStyle w:val="OATbodystyle"/>
      </w:pPr>
      <w:r w:rsidRPr="00503BE8">
        <w:t>The purpose of this policy is to:</w:t>
      </w:r>
    </w:p>
    <w:p w14:paraId="32659B99" w14:textId="77777777" w:rsidR="00503BE8" w:rsidRPr="00503BE8" w:rsidRDefault="00503BE8" w:rsidP="00B00A80">
      <w:pPr>
        <w:pStyle w:val="OATliststyle"/>
      </w:pPr>
      <w:r w:rsidRPr="00503BE8">
        <w:t>Provide guidance for staff when dealing with the purchase and disposal of fixed assets.</w:t>
      </w:r>
    </w:p>
    <w:p w14:paraId="7F0F0EA0" w14:textId="77777777" w:rsidR="00503BE8" w:rsidRPr="00503BE8" w:rsidRDefault="00503BE8" w:rsidP="00B00A80">
      <w:pPr>
        <w:pStyle w:val="OATliststyle"/>
      </w:pPr>
      <w:r w:rsidRPr="00503BE8">
        <w:t>To provide guidance for staff on other aspects of fixed asset accounting such as depreciation and revaluation.</w:t>
      </w:r>
    </w:p>
    <w:p w14:paraId="7FB10C5A" w14:textId="77777777" w:rsidR="00503BE8" w:rsidRPr="00503BE8" w:rsidRDefault="00503BE8" w:rsidP="00B00A80">
      <w:pPr>
        <w:pStyle w:val="OATliststyle"/>
      </w:pPr>
      <w:r w:rsidRPr="00503BE8">
        <w:t xml:space="preserve">To define the treatment of non-current, current, </w:t>
      </w:r>
      <w:proofErr w:type="gramStart"/>
      <w:r w:rsidRPr="00503BE8">
        <w:t>tangible</w:t>
      </w:r>
      <w:proofErr w:type="gramEnd"/>
      <w:r w:rsidRPr="00503BE8">
        <w:t xml:space="preserve"> and intangible assets.</w:t>
      </w:r>
    </w:p>
    <w:p w14:paraId="4633DF31" w14:textId="77777777" w:rsidR="00503BE8" w:rsidRDefault="00503BE8" w:rsidP="00B00A80">
      <w:pPr>
        <w:pStyle w:val="OATliststyle"/>
      </w:pPr>
      <w:r w:rsidRPr="00503BE8">
        <w:t xml:space="preserve">To provide a basis for a uniform and systematic approach to </w:t>
      </w:r>
      <w:proofErr w:type="spellStart"/>
      <w:r w:rsidRPr="00503BE8">
        <w:t>asset</w:t>
      </w:r>
      <w:proofErr w:type="spellEnd"/>
      <w:r w:rsidRPr="00503BE8">
        <w:t xml:space="preserve"> control. </w:t>
      </w:r>
    </w:p>
    <w:p w14:paraId="05E4012A" w14:textId="3E37CEA6" w:rsidR="009816C0" w:rsidRPr="00503BE8" w:rsidRDefault="009816C0" w:rsidP="00B00A80">
      <w:pPr>
        <w:pStyle w:val="OATliststyle"/>
      </w:pPr>
      <w:r>
        <w:t xml:space="preserve">To provide clarification surrounding the </w:t>
      </w:r>
      <w:r w:rsidR="00D7580E">
        <w:t>I</w:t>
      </w:r>
      <w:r w:rsidR="001F17DE">
        <w:t>C</w:t>
      </w:r>
      <w:r w:rsidR="00D7580E">
        <w:t xml:space="preserve">T </w:t>
      </w:r>
      <w:r w:rsidR="001F17DE">
        <w:t>A</w:t>
      </w:r>
      <w:r w:rsidR="00D7580E">
        <w:t xml:space="preserve">sset </w:t>
      </w:r>
      <w:r w:rsidR="001F17DE">
        <w:t>I</w:t>
      </w:r>
      <w:r w:rsidR="00D7580E">
        <w:t>nventory requirements.</w:t>
      </w:r>
    </w:p>
    <w:p w14:paraId="4F063670" w14:textId="77777777" w:rsidR="00503BE8" w:rsidRPr="00503BE8" w:rsidRDefault="00503BE8" w:rsidP="00EC5527">
      <w:pPr>
        <w:pStyle w:val="OATbodystyle"/>
      </w:pPr>
      <w:r w:rsidRPr="00503BE8">
        <w:t xml:space="preserve">The policy is to be used in conjunction with the </w:t>
      </w:r>
      <w:r w:rsidR="00BE56B6">
        <w:t>Trust</w:t>
      </w:r>
      <w:r w:rsidRPr="00503BE8">
        <w:t>’s Fixed Asset Register.</w:t>
      </w:r>
    </w:p>
    <w:p w14:paraId="3C634626" w14:textId="77777777" w:rsidR="00B137A4" w:rsidRPr="00B137A4" w:rsidRDefault="00503BE8" w:rsidP="00B137A4">
      <w:pPr>
        <w:pStyle w:val="OATheader"/>
        <w:numPr>
          <w:ilvl w:val="0"/>
          <w:numId w:val="18"/>
        </w:numPr>
        <w:ind w:left="426" w:hanging="426"/>
      </w:pPr>
      <w:bookmarkStart w:id="2" w:name="_Definitions"/>
      <w:bookmarkStart w:id="3" w:name="overview"/>
      <w:bookmarkStart w:id="4" w:name="_Toc94681116"/>
      <w:bookmarkStart w:id="5" w:name="c"/>
      <w:bookmarkEnd w:id="2"/>
      <w:r w:rsidRPr="00F82C90">
        <w:rPr>
          <w:rFonts w:eastAsiaTheme="minorEastAsia"/>
        </w:rPr>
        <w:t>Definitions</w:t>
      </w:r>
      <w:bookmarkEnd w:id="3"/>
      <w:bookmarkEnd w:id="4"/>
    </w:p>
    <w:p w14:paraId="4786E304" w14:textId="77777777" w:rsidR="00503BE8" w:rsidRPr="00503BE8" w:rsidRDefault="00503BE8" w:rsidP="008E59EB">
      <w:pPr>
        <w:pStyle w:val="OATbodystyle"/>
        <w:numPr>
          <w:ilvl w:val="1"/>
          <w:numId w:val="18"/>
        </w:numPr>
        <w:spacing w:before="240"/>
        <w:ind w:left="426" w:hanging="426"/>
      </w:pPr>
      <w:r w:rsidRPr="00B137A4">
        <w:rPr>
          <w:b/>
          <w:bCs/>
        </w:rPr>
        <w:t>Accumulated depreciation:</w:t>
      </w:r>
      <w:r w:rsidRPr="00503BE8">
        <w:t xml:space="preserve"> The total amount charged to the income and expenditure account to reflect the use of the asset by the school over its economic life. The value of the asset will reduce over the life of the asset.</w:t>
      </w:r>
    </w:p>
    <w:p w14:paraId="1CBFE7AC" w14:textId="77777777" w:rsidR="00503BE8" w:rsidRPr="00B137A4" w:rsidRDefault="00503BE8" w:rsidP="00B137A4">
      <w:pPr>
        <w:pStyle w:val="OATbodystyle"/>
        <w:numPr>
          <w:ilvl w:val="1"/>
          <w:numId w:val="18"/>
        </w:numPr>
        <w:ind w:left="426" w:hanging="426"/>
      </w:pPr>
      <w:proofErr w:type="spellStart"/>
      <w:r w:rsidRPr="00B137A4">
        <w:rPr>
          <w:b/>
          <w:bCs/>
        </w:rPr>
        <w:t>Capitalisation</w:t>
      </w:r>
      <w:proofErr w:type="spellEnd"/>
      <w:r w:rsidRPr="00B137A4">
        <w:rPr>
          <w:b/>
          <w:bCs/>
        </w:rPr>
        <w:t>:</w:t>
      </w:r>
      <w:r w:rsidRPr="00B137A4">
        <w:t xml:space="preserve"> The addition to the balance sheet of an amount attributed to an asset which has come into the school’s possession via purchase or donation.</w:t>
      </w:r>
    </w:p>
    <w:p w14:paraId="09277573" w14:textId="77777777" w:rsidR="00503BE8" w:rsidRPr="00B137A4" w:rsidRDefault="00503BE8" w:rsidP="00B137A4">
      <w:pPr>
        <w:pStyle w:val="OATbodystyle"/>
        <w:numPr>
          <w:ilvl w:val="1"/>
          <w:numId w:val="18"/>
        </w:numPr>
        <w:ind w:left="426" w:hanging="426"/>
      </w:pPr>
      <w:r w:rsidRPr="00B137A4">
        <w:rPr>
          <w:b/>
          <w:bCs/>
        </w:rPr>
        <w:t>Carrying amount/net book value:</w:t>
      </w:r>
      <w:r w:rsidRPr="00B137A4">
        <w:t xml:space="preserve"> The purchase cost or valuation of a fixed asset less the accumulated depreciation on that fixed asset.</w:t>
      </w:r>
    </w:p>
    <w:p w14:paraId="49D16696" w14:textId="77777777" w:rsidR="00503BE8" w:rsidRPr="00B137A4" w:rsidRDefault="00503BE8" w:rsidP="00B137A4">
      <w:pPr>
        <w:pStyle w:val="OATbodystyle"/>
        <w:numPr>
          <w:ilvl w:val="1"/>
          <w:numId w:val="18"/>
        </w:numPr>
        <w:ind w:left="426" w:hanging="426"/>
      </w:pPr>
      <w:r w:rsidRPr="00B137A4">
        <w:rPr>
          <w:b/>
          <w:bCs/>
        </w:rPr>
        <w:t>Depreciation:</w:t>
      </w:r>
      <w:r w:rsidRPr="00B137A4">
        <w:t xml:space="preserve"> The monthly charge made to the income and expenditure account each month to reflect the use of the asset during the period.</w:t>
      </w:r>
    </w:p>
    <w:p w14:paraId="01596FF9" w14:textId="77777777" w:rsidR="00503BE8" w:rsidRPr="00B137A4" w:rsidRDefault="00503BE8" w:rsidP="00B137A4">
      <w:pPr>
        <w:pStyle w:val="OATbodystyle"/>
        <w:numPr>
          <w:ilvl w:val="1"/>
          <w:numId w:val="18"/>
        </w:numPr>
        <w:ind w:left="426" w:hanging="426"/>
      </w:pPr>
      <w:r w:rsidRPr="003A41D5">
        <w:rPr>
          <w:b/>
          <w:bCs/>
        </w:rPr>
        <w:t>Fixed assets:</w:t>
      </w:r>
      <w:r w:rsidRPr="00B137A4">
        <w:t xml:space="preserve"> An asset that has a useful life greater than one year. (Consumables used </w:t>
      </w:r>
      <w:proofErr w:type="gramStart"/>
      <w:r w:rsidRPr="00B137A4">
        <w:t>on a daily basis</w:t>
      </w:r>
      <w:proofErr w:type="gramEnd"/>
      <w:r w:rsidRPr="00B137A4">
        <w:t xml:space="preserve"> are not fixed assets.)</w:t>
      </w:r>
    </w:p>
    <w:p w14:paraId="5F295103" w14:textId="77777777" w:rsidR="00503BE8" w:rsidRPr="00B137A4" w:rsidRDefault="00503BE8" w:rsidP="00B137A4">
      <w:pPr>
        <w:pStyle w:val="OATbodystyle"/>
        <w:numPr>
          <w:ilvl w:val="1"/>
          <w:numId w:val="18"/>
        </w:numPr>
        <w:ind w:left="426" w:hanging="426"/>
      </w:pPr>
      <w:r w:rsidRPr="003A41D5">
        <w:rPr>
          <w:b/>
          <w:bCs/>
        </w:rPr>
        <w:t>Fixed asset register (FAR):</w:t>
      </w:r>
      <w:r w:rsidRPr="00B137A4">
        <w:t xml:space="preserve"> An inventory of all fixed assets including purchase dates, depreciation rates, net book values and depreciation.</w:t>
      </w:r>
    </w:p>
    <w:p w14:paraId="4F15CAB7" w14:textId="77777777" w:rsidR="00503BE8" w:rsidRDefault="00503BE8" w:rsidP="00B137A4">
      <w:pPr>
        <w:pStyle w:val="OATbodystyle"/>
        <w:numPr>
          <w:ilvl w:val="1"/>
          <w:numId w:val="18"/>
        </w:numPr>
        <w:ind w:left="426" w:hanging="426"/>
      </w:pPr>
      <w:r w:rsidRPr="003A41D5">
        <w:rPr>
          <w:b/>
          <w:bCs/>
        </w:rPr>
        <w:t>Grant:</w:t>
      </w:r>
      <w:r w:rsidRPr="00B137A4">
        <w:t xml:space="preserve"> Funds given to the school by a third party to purchase unspecified fixed assets.</w:t>
      </w:r>
    </w:p>
    <w:p w14:paraId="19335585" w14:textId="6031D0C0" w:rsidR="00F23AD7" w:rsidRPr="00B137A4" w:rsidRDefault="00F23AD7" w:rsidP="00F23AD7">
      <w:pPr>
        <w:pStyle w:val="OATbodystyle"/>
        <w:numPr>
          <w:ilvl w:val="1"/>
          <w:numId w:val="18"/>
        </w:numPr>
        <w:ind w:left="426" w:hanging="426"/>
      </w:pPr>
      <w:r>
        <w:rPr>
          <w:b/>
          <w:bCs/>
        </w:rPr>
        <w:t>Impairment:</w:t>
      </w:r>
      <w:r>
        <w:t xml:space="preserve"> Where the carrying amount of an asset on the fixed asset register exceeds the recoverable amount, the asset is considered </w:t>
      </w:r>
      <w:proofErr w:type="gramStart"/>
      <w:r>
        <w:t>impaired</w:t>
      </w:r>
      <w:proofErr w:type="gramEnd"/>
      <w:r>
        <w:t xml:space="preserve"> and its value needs to be adjusted.  If the asset is damaged or has a part missing it </w:t>
      </w:r>
      <w:proofErr w:type="gramStart"/>
      <w:r>
        <w:t>is considered to be</w:t>
      </w:r>
      <w:proofErr w:type="gramEnd"/>
      <w:r>
        <w:t xml:space="preserve"> impaired. </w:t>
      </w:r>
    </w:p>
    <w:p w14:paraId="120E9FA2" w14:textId="77777777" w:rsidR="00503BE8" w:rsidRPr="00B137A4" w:rsidRDefault="00503BE8" w:rsidP="00B137A4">
      <w:pPr>
        <w:pStyle w:val="OATbodystyle"/>
        <w:numPr>
          <w:ilvl w:val="1"/>
          <w:numId w:val="18"/>
        </w:numPr>
        <w:ind w:left="426" w:hanging="426"/>
      </w:pPr>
      <w:r w:rsidRPr="003A41D5">
        <w:rPr>
          <w:b/>
          <w:bCs/>
        </w:rPr>
        <w:t>Recoverable amount:</w:t>
      </w:r>
      <w:r w:rsidRPr="00B137A4">
        <w:t xml:space="preserve"> The proceeds received when an asset is disposed of.</w:t>
      </w:r>
    </w:p>
    <w:p w14:paraId="560EB276" w14:textId="77777777" w:rsidR="00503BE8" w:rsidRPr="00516840" w:rsidRDefault="00503BE8" w:rsidP="00516840">
      <w:pPr>
        <w:pStyle w:val="OATheader"/>
        <w:numPr>
          <w:ilvl w:val="0"/>
          <w:numId w:val="18"/>
        </w:numPr>
        <w:ind w:left="426" w:hanging="426"/>
        <w:rPr>
          <w:rFonts w:eastAsiaTheme="minorEastAsia"/>
        </w:rPr>
      </w:pPr>
      <w:bookmarkStart w:id="6" w:name="_Fixed_asset_categories"/>
      <w:bookmarkStart w:id="7" w:name="_Toc94681117"/>
      <w:bookmarkStart w:id="8" w:name="d"/>
      <w:bookmarkEnd w:id="6"/>
      <w:r w:rsidRPr="00516840">
        <w:rPr>
          <w:rFonts w:eastAsiaTheme="minorEastAsia"/>
        </w:rPr>
        <w:lastRenderedPageBreak/>
        <w:t>Fixed asset categories</w:t>
      </w:r>
      <w:bookmarkEnd w:id="7"/>
    </w:p>
    <w:bookmarkEnd w:id="8"/>
    <w:p w14:paraId="0CE143F1" w14:textId="77777777" w:rsidR="00503BE8" w:rsidRPr="00455F1D" w:rsidRDefault="00503BE8" w:rsidP="003A41D5">
      <w:pPr>
        <w:pStyle w:val="OATbodystyle"/>
        <w:numPr>
          <w:ilvl w:val="1"/>
          <w:numId w:val="18"/>
        </w:numPr>
        <w:ind w:left="426" w:hanging="426"/>
      </w:pPr>
      <w:r w:rsidRPr="00455F1D">
        <w:t>Freehold and long lease buildings: (The costs of acquiring freehold and long leasehold land and buildings.)</w:t>
      </w:r>
    </w:p>
    <w:p w14:paraId="38F83DAE" w14:textId="77777777" w:rsidR="00503BE8" w:rsidRPr="00503BE8" w:rsidRDefault="00503BE8" w:rsidP="00455F1D">
      <w:pPr>
        <w:pStyle w:val="OATliststyle"/>
      </w:pPr>
      <w:r w:rsidRPr="00503BE8">
        <w:t>Legal fees</w:t>
      </w:r>
    </w:p>
    <w:p w14:paraId="266320D7" w14:textId="77777777" w:rsidR="00503BE8" w:rsidRPr="00503BE8" w:rsidRDefault="00503BE8" w:rsidP="00455F1D">
      <w:pPr>
        <w:pStyle w:val="OATliststyle"/>
      </w:pPr>
      <w:r w:rsidRPr="00503BE8">
        <w:t>Building costs</w:t>
      </w:r>
    </w:p>
    <w:p w14:paraId="43EFAFC6" w14:textId="77777777" w:rsidR="00503BE8" w:rsidRPr="003A41D5" w:rsidRDefault="00503BE8" w:rsidP="003A41D5">
      <w:pPr>
        <w:pStyle w:val="OATbodystyle"/>
        <w:numPr>
          <w:ilvl w:val="1"/>
          <w:numId w:val="18"/>
        </w:numPr>
        <w:ind w:left="426" w:hanging="426"/>
      </w:pPr>
      <w:r w:rsidRPr="003A41D5">
        <w:t>Long leasehold Land</w:t>
      </w:r>
    </w:p>
    <w:p w14:paraId="5D370656" w14:textId="77777777" w:rsidR="00503BE8" w:rsidRPr="00503BE8" w:rsidRDefault="00503BE8" w:rsidP="003A41D5">
      <w:pPr>
        <w:pStyle w:val="OATbodystyle"/>
        <w:numPr>
          <w:ilvl w:val="1"/>
          <w:numId w:val="18"/>
        </w:numPr>
        <w:ind w:left="426" w:hanging="426"/>
      </w:pPr>
      <w:r w:rsidRPr="00503BE8">
        <w:t>Leasehold improvements: (The costs of enhancements which significantly extend the life of the leasehold and would not be carried out on a regular basis.)</w:t>
      </w:r>
    </w:p>
    <w:p w14:paraId="22FAEF0E" w14:textId="77777777" w:rsidR="00503BE8" w:rsidRPr="00503BE8" w:rsidRDefault="00503BE8" w:rsidP="00455F1D">
      <w:pPr>
        <w:pStyle w:val="OATliststyle"/>
      </w:pPr>
      <w:r w:rsidRPr="00503BE8">
        <w:t>Interior walls</w:t>
      </w:r>
    </w:p>
    <w:p w14:paraId="0FB1AF73" w14:textId="77777777" w:rsidR="00503BE8" w:rsidRPr="00503BE8" w:rsidRDefault="00503BE8" w:rsidP="00455F1D">
      <w:pPr>
        <w:pStyle w:val="OATliststyle"/>
      </w:pPr>
      <w:r w:rsidRPr="00503BE8">
        <w:t>Ceilings</w:t>
      </w:r>
    </w:p>
    <w:p w14:paraId="2EA48D92" w14:textId="77777777" w:rsidR="00503BE8" w:rsidRPr="00503BE8" w:rsidRDefault="00503BE8" w:rsidP="00B07922">
      <w:pPr>
        <w:pStyle w:val="OATbodystyle"/>
        <w:numPr>
          <w:ilvl w:val="1"/>
          <w:numId w:val="18"/>
        </w:numPr>
        <w:ind w:left="426" w:hanging="426"/>
      </w:pPr>
      <w:r w:rsidRPr="00503BE8">
        <w:t>Fixtures and fittings</w:t>
      </w:r>
      <w:r w:rsidRPr="00B07922">
        <w:t xml:space="preserve">: </w:t>
      </w:r>
      <w:r w:rsidRPr="00503BE8">
        <w:t xml:space="preserve">(Items which will last </w:t>
      </w:r>
      <w:proofErr w:type="gramStart"/>
      <w:r w:rsidRPr="00503BE8">
        <w:t>a number of</w:t>
      </w:r>
      <w:proofErr w:type="gramEnd"/>
      <w:r w:rsidRPr="00503BE8">
        <w:t xml:space="preserve"> years but not as long as the building in which they reside.)</w:t>
      </w:r>
    </w:p>
    <w:p w14:paraId="79D7D5C1" w14:textId="77777777" w:rsidR="00503BE8" w:rsidRPr="00503BE8" w:rsidRDefault="00503BE8" w:rsidP="00455F1D">
      <w:pPr>
        <w:pStyle w:val="OATliststyle"/>
      </w:pPr>
      <w:r w:rsidRPr="00503BE8">
        <w:t>Shelving</w:t>
      </w:r>
    </w:p>
    <w:p w14:paraId="68304466" w14:textId="77777777" w:rsidR="00503BE8" w:rsidRPr="00503BE8" w:rsidRDefault="00503BE8" w:rsidP="00455F1D">
      <w:pPr>
        <w:pStyle w:val="OATliststyle"/>
      </w:pPr>
      <w:r w:rsidRPr="00503BE8">
        <w:t>Furnishings</w:t>
      </w:r>
    </w:p>
    <w:p w14:paraId="1EBCDD7D" w14:textId="77777777" w:rsidR="00503BE8" w:rsidRPr="00503BE8" w:rsidRDefault="00503BE8" w:rsidP="00B07922">
      <w:pPr>
        <w:pStyle w:val="OATbodystyle"/>
        <w:numPr>
          <w:ilvl w:val="1"/>
          <w:numId w:val="18"/>
        </w:numPr>
        <w:ind w:left="426" w:hanging="426"/>
      </w:pPr>
      <w:r w:rsidRPr="00503BE8">
        <w:t>Motor Vehicles: (Vehicles owned or leased by the school.)</w:t>
      </w:r>
    </w:p>
    <w:p w14:paraId="4E89D57B" w14:textId="77777777" w:rsidR="00503BE8" w:rsidRPr="00503BE8" w:rsidRDefault="00503BE8" w:rsidP="00455F1D">
      <w:pPr>
        <w:pStyle w:val="OATliststyle"/>
      </w:pPr>
      <w:r w:rsidRPr="00503BE8">
        <w:t>Minibus</w:t>
      </w:r>
    </w:p>
    <w:p w14:paraId="18CFBE0E" w14:textId="77777777" w:rsidR="00503BE8" w:rsidRPr="00503BE8" w:rsidRDefault="00503BE8" w:rsidP="00FC13B8">
      <w:pPr>
        <w:pStyle w:val="OATbodystyle"/>
        <w:numPr>
          <w:ilvl w:val="1"/>
          <w:numId w:val="18"/>
        </w:numPr>
        <w:ind w:left="426" w:hanging="426"/>
      </w:pPr>
      <w:r w:rsidRPr="00503BE8">
        <w:t>Assets Under construction (Assets which are incomplete at the balance sheet date)</w:t>
      </w:r>
    </w:p>
    <w:p w14:paraId="74BAE7EA" w14:textId="77777777" w:rsidR="00503BE8" w:rsidRPr="000B5EDC" w:rsidRDefault="00503BE8" w:rsidP="000B5EDC">
      <w:pPr>
        <w:pStyle w:val="OATheader"/>
        <w:numPr>
          <w:ilvl w:val="0"/>
          <w:numId w:val="18"/>
        </w:numPr>
        <w:rPr>
          <w:rFonts w:eastAsia="MS Mincho"/>
        </w:rPr>
      </w:pPr>
      <w:bookmarkStart w:id="9" w:name="_Capitalisation_of_assets"/>
      <w:bookmarkStart w:id="10" w:name="_Toc94681118"/>
      <w:bookmarkEnd w:id="9"/>
      <w:proofErr w:type="spellStart"/>
      <w:r w:rsidRPr="000B5EDC">
        <w:rPr>
          <w:rFonts w:eastAsia="MS Mincho"/>
        </w:rPr>
        <w:t>Capitalisation</w:t>
      </w:r>
      <w:proofErr w:type="spellEnd"/>
      <w:r w:rsidRPr="000B5EDC">
        <w:rPr>
          <w:rFonts w:eastAsia="MS Mincho"/>
        </w:rPr>
        <w:t xml:space="preserve"> of assets</w:t>
      </w:r>
      <w:bookmarkEnd w:id="10"/>
    </w:p>
    <w:p w14:paraId="415FEB20" w14:textId="77777777" w:rsidR="0054566A" w:rsidRDefault="00503BE8" w:rsidP="0054566A">
      <w:pPr>
        <w:pStyle w:val="OATsubheader1"/>
        <w:numPr>
          <w:ilvl w:val="1"/>
          <w:numId w:val="18"/>
        </w:numPr>
        <w:spacing w:line="360" w:lineRule="auto"/>
        <w:ind w:left="567" w:hanging="567"/>
      </w:pPr>
      <w:bookmarkStart w:id="11" w:name="_Toc94681119"/>
      <w:r w:rsidRPr="00503BE8">
        <w:t xml:space="preserve">Expenditure eligible for </w:t>
      </w:r>
      <w:proofErr w:type="spellStart"/>
      <w:r w:rsidRPr="00503BE8">
        <w:t>capitalisation</w:t>
      </w:r>
      <w:proofErr w:type="spellEnd"/>
      <w:r w:rsidRPr="00503BE8">
        <w:t>:</w:t>
      </w:r>
      <w:bookmarkEnd w:id="11"/>
    </w:p>
    <w:p w14:paraId="17CC12DA" w14:textId="77777777" w:rsidR="00503BE8" w:rsidRPr="00503BE8" w:rsidRDefault="00503BE8" w:rsidP="0054566A">
      <w:pPr>
        <w:pStyle w:val="OATbodystyle"/>
        <w:numPr>
          <w:ilvl w:val="2"/>
          <w:numId w:val="18"/>
        </w:numPr>
        <w:ind w:left="1134" w:hanging="657"/>
      </w:pPr>
      <w:r w:rsidRPr="00503BE8">
        <w:t>Expenditure for an item which meets the definition of a fixed asset, and exceeds £</w:t>
      </w:r>
      <w:r w:rsidRPr="0054566A">
        <w:rPr>
          <w:b/>
        </w:rPr>
        <w:t>10,000</w:t>
      </w:r>
      <w:r w:rsidRPr="00503BE8">
        <w:t>, should be identified as a fixed asset</w:t>
      </w:r>
      <w:r w:rsidR="00D0329C">
        <w:t xml:space="preserve">.  </w:t>
      </w:r>
      <w:r w:rsidRPr="00503BE8">
        <w:t xml:space="preserve">The £10,000 </w:t>
      </w:r>
      <w:proofErr w:type="spellStart"/>
      <w:r w:rsidRPr="00503BE8">
        <w:t>capitalisation</w:t>
      </w:r>
      <w:proofErr w:type="spellEnd"/>
      <w:r w:rsidRPr="00503BE8">
        <w:t xml:space="preserve"> applies to both individual items purchased, or blocks of items purchased together, which may be worth less than £10,000 individually, but where the total value exceeds £10,000.</w:t>
      </w:r>
    </w:p>
    <w:p w14:paraId="0AFC0213" w14:textId="77777777" w:rsidR="00503BE8" w:rsidRPr="00503BE8" w:rsidRDefault="00503BE8" w:rsidP="0054566A">
      <w:pPr>
        <w:pStyle w:val="OATbodystyle"/>
        <w:numPr>
          <w:ilvl w:val="2"/>
          <w:numId w:val="18"/>
        </w:numPr>
        <w:ind w:left="1134" w:hanging="657"/>
      </w:pPr>
      <w:r w:rsidRPr="00503BE8">
        <w:t>The cost of a fixed asset includes the cost of the asset and any other costs directly attributable to bringing the asset into working condition. This may include:</w:t>
      </w:r>
    </w:p>
    <w:p w14:paraId="00E85452" w14:textId="77777777" w:rsidR="00503BE8" w:rsidRPr="00503BE8" w:rsidRDefault="00503BE8" w:rsidP="004439AB">
      <w:pPr>
        <w:pStyle w:val="OATliststyle"/>
        <w:numPr>
          <w:ilvl w:val="2"/>
          <w:numId w:val="1"/>
        </w:numPr>
      </w:pPr>
      <w:r w:rsidRPr="00503BE8">
        <w:t xml:space="preserve">The cost of consultants whose work is directly attributable to the asset’s implementation. </w:t>
      </w:r>
    </w:p>
    <w:p w14:paraId="6BF770DA" w14:textId="77777777" w:rsidR="00503BE8" w:rsidRPr="00503BE8" w:rsidRDefault="00503BE8" w:rsidP="004439AB">
      <w:pPr>
        <w:pStyle w:val="OATliststyle"/>
        <w:numPr>
          <w:ilvl w:val="2"/>
          <w:numId w:val="1"/>
        </w:numPr>
      </w:pPr>
      <w:r w:rsidRPr="00503BE8">
        <w:t xml:space="preserve">The cost of enhancements which extend the life of the asset </w:t>
      </w:r>
      <w:proofErr w:type="gramStart"/>
      <w:r w:rsidRPr="00503BE8">
        <w:t>e.g.</w:t>
      </w:r>
      <w:proofErr w:type="gramEnd"/>
      <w:r w:rsidRPr="00503BE8">
        <w:t xml:space="preserve"> building improvements. This does not include repairs or renewals. </w:t>
      </w:r>
    </w:p>
    <w:p w14:paraId="0EB15BB4" w14:textId="77777777" w:rsidR="00503BE8" w:rsidRPr="004439AB" w:rsidRDefault="00503BE8" w:rsidP="004439AB">
      <w:pPr>
        <w:pStyle w:val="OATsubheader1"/>
        <w:numPr>
          <w:ilvl w:val="1"/>
          <w:numId w:val="18"/>
        </w:numPr>
        <w:spacing w:line="360" w:lineRule="auto"/>
        <w:ind w:left="567" w:hanging="567"/>
      </w:pPr>
      <w:bookmarkStart w:id="12" w:name="_Toc94681120"/>
      <w:r w:rsidRPr="004439AB">
        <w:t xml:space="preserve">Expenditure ineligible for </w:t>
      </w:r>
      <w:proofErr w:type="spellStart"/>
      <w:r w:rsidRPr="004439AB">
        <w:t>capitalisation</w:t>
      </w:r>
      <w:proofErr w:type="spellEnd"/>
      <w:r w:rsidRPr="004439AB">
        <w:t>:</w:t>
      </w:r>
      <w:bookmarkEnd w:id="12"/>
    </w:p>
    <w:p w14:paraId="4517B4D3" w14:textId="77777777" w:rsidR="00503BE8" w:rsidRPr="004439AB" w:rsidRDefault="00503BE8" w:rsidP="004439AB">
      <w:pPr>
        <w:pStyle w:val="OATbodystyle"/>
        <w:numPr>
          <w:ilvl w:val="2"/>
          <w:numId w:val="18"/>
        </w:numPr>
        <w:ind w:left="1134" w:hanging="657"/>
      </w:pPr>
      <w:r w:rsidRPr="004439AB">
        <w:t>Individual assets costing less than £10,000, unless procured in bulk as part of a capital project.</w:t>
      </w:r>
    </w:p>
    <w:p w14:paraId="3980D17A" w14:textId="77777777" w:rsidR="00503BE8" w:rsidRPr="004439AB" w:rsidRDefault="00503BE8" w:rsidP="004439AB">
      <w:pPr>
        <w:pStyle w:val="OATbodystyle"/>
        <w:numPr>
          <w:ilvl w:val="2"/>
          <w:numId w:val="18"/>
        </w:numPr>
        <w:ind w:left="1134" w:hanging="657"/>
      </w:pPr>
      <w:r w:rsidRPr="004439AB">
        <w:t>The cost of staff training.</w:t>
      </w:r>
    </w:p>
    <w:p w14:paraId="1DF11275" w14:textId="77777777" w:rsidR="00503BE8" w:rsidRPr="004439AB" w:rsidRDefault="00503BE8" w:rsidP="004439AB">
      <w:pPr>
        <w:pStyle w:val="OATbodystyle"/>
        <w:numPr>
          <w:ilvl w:val="2"/>
          <w:numId w:val="18"/>
        </w:numPr>
        <w:ind w:left="1134" w:hanging="657"/>
      </w:pPr>
      <w:r w:rsidRPr="004439AB">
        <w:lastRenderedPageBreak/>
        <w:t xml:space="preserve">Administration and general running costs for day-to-day activities. </w:t>
      </w:r>
    </w:p>
    <w:p w14:paraId="445DE3E0" w14:textId="77777777" w:rsidR="00503BE8" w:rsidRPr="004439AB" w:rsidRDefault="00503BE8" w:rsidP="004439AB">
      <w:pPr>
        <w:pStyle w:val="OATbodystyle"/>
        <w:numPr>
          <w:ilvl w:val="2"/>
          <w:numId w:val="18"/>
        </w:numPr>
        <w:ind w:left="1134" w:hanging="657"/>
      </w:pPr>
      <w:r w:rsidRPr="004439AB">
        <w:t>Planning costs relating to activities such as feasibility studies, option appraisals etc.</w:t>
      </w:r>
    </w:p>
    <w:p w14:paraId="60FBEC41" w14:textId="77777777" w:rsidR="00503BE8" w:rsidRPr="004439AB" w:rsidRDefault="00503BE8" w:rsidP="004439AB">
      <w:pPr>
        <w:pStyle w:val="OATbodystyle"/>
        <w:numPr>
          <w:ilvl w:val="2"/>
          <w:numId w:val="18"/>
        </w:numPr>
        <w:ind w:left="1134" w:hanging="657"/>
      </w:pPr>
      <w:r w:rsidRPr="004439AB">
        <w:t>The cost of abortive work.</w:t>
      </w:r>
    </w:p>
    <w:p w14:paraId="3BA35853" w14:textId="77777777" w:rsidR="00EC5527" w:rsidRPr="00EC5527" w:rsidRDefault="00503BE8" w:rsidP="00FC13B8">
      <w:pPr>
        <w:pStyle w:val="OATbodystyle"/>
        <w:numPr>
          <w:ilvl w:val="2"/>
          <w:numId w:val="18"/>
        </w:numPr>
        <w:ind w:left="1134" w:hanging="657"/>
      </w:pPr>
      <w:r w:rsidRPr="004439AB">
        <w:t xml:space="preserve">Support and maintenance costs related to software. </w:t>
      </w:r>
    </w:p>
    <w:p w14:paraId="04803269" w14:textId="77777777" w:rsidR="00503BE8" w:rsidRPr="00503BE8" w:rsidRDefault="00503BE8" w:rsidP="004439AB">
      <w:pPr>
        <w:pStyle w:val="OATheader"/>
        <w:numPr>
          <w:ilvl w:val="0"/>
          <w:numId w:val="18"/>
        </w:numPr>
        <w:rPr>
          <w:rFonts w:eastAsia="MS Mincho"/>
        </w:rPr>
      </w:pPr>
      <w:bookmarkStart w:id="13" w:name="_Accounting"/>
      <w:bookmarkStart w:id="14" w:name="_Toc94681121"/>
      <w:bookmarkEnd w:id="13"/>
      <w:r w:rsidRPr="00503BE8">
        <w:rPr>
          <w:rFonts w:eastAsia="MS Mincho"/>
        </w:rPr>
        <w:t>Accounting</w:t>
      </w:r>
      <w:bookmarkEnd w:id="14"/>
    </w:p>
    <w:p w14:paraId="3E95CB63" w14:textId="173ADFDA" w:rsidR="00503BE8" w:rsidRPr="008E59EB" w:rsidRDefault="00503BE8" w:rsidP="008E59EB">
      <w:pPr>
        <w:pStyle w:val="OATbodystyle"/>
        <w:numPr>
          <w:ilvl w:val="1"/>
          <w:numId w:val="18"/>
        </w:numPr>
        <w:spacing w:before="240"/>
        <w:ind w:left="426" w:hanging="426"/>
      </w:pPr>
      <w:r w:rsidRPr="00503BE8">
        <w:t xml:space="preserve">The </w:t>
      </w:r>
      <w:r w:rsidR="00BE56B6">
        <w:t>Trust</w:t>
      </w:r>
      <w:r w:rsidRPr="00503BE8">
        <w:t xml:space="preserve">’s Fixed Asset register is held centrally and maintained by the OAT </w:t>
      </w:r>
      <w:r w:rsidR="001944A0">
        <w:t>h</w:t>
      </w:r>
      <w:r w:rsidR="00172B43">
        <w:t>ead office</w:t>
      </w:r>
      <w:r w:rsidRPr="00503BE8">
        <w:t xml:space="preserve"> </w:t>
      </w:r>
      <w:r w:rsidR="001944A0">
        <w:t>f</w:t>
      </w:r>
      <w:r w:rsidRPr="00503BE8">
        <w:t xml:space="preserve">inance </w:t>
      </w:r>
      <w:proofErr w:type="gramStart"/>
      <w:r w:rsidR="001944A0">
        <w:t>t</w:t>
      </w:r>
      <w:r w:rsidRPr="00503BE8">
        <w:t>eam,</w:t>
      </w:r>
      <w:proofErr w:type="gramEnd"/>
      <w:r w:rsidRPr="00503BE8">
        <w:t xml:space="preserve"> it clearly identifies the academy </w:t>
      </w:r>
      <w:r w:rsidR="0043297C">
        <w:t xml:space="preserve">at which the </w:t>
      </w:r>
      <w:r w:rsidRPr="00503BE8">
        <w:t>asset is held.</w:t>
      </w:r>
    </w:p>
    <w:p w14:paraId="13A86451" w14:textId="48FF51F4" w:rsidR="001C4452" w:rsidRDefault="001C4452" w:rsidP="007C7324">
      <w:pPr>
        <w:pStyle w:val="OATbodystyle"/>
        <w:numPr>
          <w:ilvl w:val="1"/>
          <w:numId w:val="18"/>
        </w:numPr>
        <w:ind w:left="426" w:hanging="426"/>
      </w:pPr>
      <w:r>
        <w:t xml:space="preserve">Academies should identify in </w:t>
      </w:r>
      <w:r w:rsidR="001C01F0">
        <w:t xml:space="preserve">their annual budgets in </w:t>
      </w:r>
      <w:r>
        <w:t xml:space="preserve">nominal </w:t>
      </w:r>
      <w:r w:rsidRPr="00503BE8">
        <w:t>code</w:t>
      </w:r>
      <w:r w:rsidR="001C01F0">
        <w:t xml:space="preserve"> </w:t>
      </w:r>
      <w:r w:rsidRPr="00503BE8">
        <w:t>4000-100-200 “Capital Expenditure to be transferred to OAT”</w:t>
      </w:r>
      <w:r>
        <w:t xml:space="preserve"> </w:t>
      </w:r>
      <w:r w:rsidR="001C01F0">
        <w:t>as</w:t>
      </w:r>
      <w:r w:rsidR="00E71812">
        <w:t xml:space="preserve"> </w:t>
      </w:r>
      <w:r>
        <w:t xml:space="preserve">the amount that they wish </w:t>
      </w:r>
      <w:r w:rsidR="00EA227E">
        <w:t>to spend on capital</w:t>
      </w:r>
      <w:r w:rsidR="00E71812">
        <w:t xml:space="preserve"> items each year.</w:t>
      </w:r>
      <w:r w:rsidR="00721281">
        <w:t xml:space="preserve">  Only costs eligible for </w:t>
      </w:r>
      <w:proofErr w:type="spellStart"/>
      <w:r w:rsidR="00721281">
        <w:t>capitali</w:t>
      </w:r>
      <w:r w:rsidR="00566E99">
        <w:t>s</w:t>
      </w:r>
      <w:r w:rsidR="00721281">
        <w:t>ation</w:t>
      </w:r>
      <w:proofErr w:type="spellEnd"/>
      <w:r w:rsidR="00721281">
        <w:t xml:space="preserve"> should be included in this nominal code. </w:t>
      </w:r>
    </w:p>
    <w:p w14:paraId="3E1D389D" w14:textId="7A52A7D7" w:rsidR="00E71812" w:rsidRPr="00D16D88" w:rsidRDefault="00D16D88" w:rsidP="00050C73">
      <w:pPr>
        <w:pStyle w:val="OATbodystyle"/>
        <w:numPr>
          <w:ilvl w:val="1"/>
          <w:numId w:val="18"/>
        </w:numPr>
        <w:ind w:left="426" w:hanging="426"/>
      </w:pPr>
      <w:r>
        <w:t>Academies</w:t>
      </w:r>
      <w:r w:rsidR="00A25653" w:rsidRPr="00D16D88">
        <w:t xml:space="preserve"> should purchase the fixed a</w:t>
      </w:r>
      <w:r w:rsidR="008B0B79" w:rsidRPr="00D16D88">
        <w:t>sset using the finance porta</w:t>
      </w:r>
      <w:r w:rsidR="00C0454F" w:rsidRPr="00D16D88">
        <w:t>l.  The</w:t>
      </w:r>
      <w:r w:rsidR="00530652" w:rsidRPr="00D16D88">
        <w:t xml:space="preserve"> necessary quotes</w:t>
      </w:r>
      <w:r w:rsidR="00DA3866" w:rsidRPr="00D16D88">
        <w:t>,</w:t>
      </w:r>
      <w:r w:rsidR="00776E86" w:rsidRPr="00D16D88">
        <w:t xml:space="preserve"> in accordance with the procurement policy</w:t>
      </w:r>
      <w:r w:rsidR="00700198" w:rsidRPr="00D16D88">
        <w:t>,</w:t>
      </w:r>
      <w:r w:rsidR="009550BA" w:rsidRPr="00D16D88">
        <w:t xml:space="preserve"> </w:t>
      </w:r>
      <w:r w:rsidR="00C0454F" w:rsidRPr="00D16D88">
        <w:t xml:space="preserve">should be uploaded to the portal </w:t>
      </w:r>
      <w:r w:rsidR="007351A4" w:rsidRPr="00D16D88">
        <w:t>to support the purchase.</w:t>
      </w:r>
      <w:r w:rsidR="00050C73">
        <w:t xml:space="preserve">  </w:t>
      </w:r>
    </w:p>
    <w:p w14:paraId="0211B9ED" w14:textId="77777777" w:rsidR="00503BE8" w:rsidRPr="00D16D88" w:rsidRDefault="00503BE8" w:rsidP="007C7324">
      <w:pPr>
        <w:pStyle w:val="OATbodystyle"/>
        <w:numPr>
          <w:ilvl w:val="1"/>
          <w:numId w:val="18"/>
        </w:numPr>
        <w:ind w:left="426" w:hanging="426"/>
      </w:pPr>
      <w:r w:rsidRPr="00D16D88">
        <w:t>Costs must always be allocated against individual fixed assets.</w:t>
      </w:r>
    </w:p>
    <w:p w14:paraId="7D16793C" w14:textId="77777777" w:rsidR="00503BE8" w:rsidRDefault="00503BE8" w:rsidP="007C7324">
      <w:pPr>
        <w:pStyle w:val="OATbodystyle"/>
        <w:numPr>
          <w:ilvl w:val="1"/>
          <w:numId w:val="18"/>
        </w:numPr>
        <w:ind w:left="426" w:hanging="426"/>
      </w:pPr>
      <w:r w:rsidRPr="00503BE8">
        <w:t>Discounts received should be deducted from the total cost.</w:t>
      </w:r>
    </w:p>
    <w:p w14:paraId="6235DF38" w14:textId="07BCCF85" w:rsidR="00736DD6" w:rsidRDefault="004F07C5">
      <w:pPr>
        <w:pStyle w:val="OATbodystyle"/>
        <w:numPr>
          <w:ilvl w:val="1"/>
          <w:numId w:val="18"/>
        </w:numPr>
        <w:ind w:left="426" w:hanging="426"/>
      </w:pPr>
      <w:r>
        <w:t xml:space="preserve">When a fixed asset is </w:t>
      </w:r>
      <w:proofErr w:type="gramStart"/>
      <w:r>
        <w:t>purchas</w:t>
      </w:r>
      <w:r w:rsidR="00ED375A">
        <w:t>ed</w:t>
      </w:r>
      <w:proofErr w:type="gramEnd"/>
      <w:r w:rsidR="00891351">
        <w:t xml:space="preserve"> Academies should complete Appendix </w:t>
      </w:r>
      <w:r w:rsidR="002C31ED">
        <w:t>C</w:t>
      </w:r>
      <w:r w:rsidR="00891351">
        <w:t xml:space="preserve"> and return this to Head Office, who will then add the </w:t>
      </w:r>
      <w:r w:rsidR="00736DD6" w:rsidRPr="00503BE8">
        <w:t xml:space="preserve">fixed asset </w:t>
      </w:r>
      <w:r w:rsidR="00891351">
        <w:t>to the register and depreciate in line with the policy.</w:t>
      </w:r>
    </w:p>
    <w:p w14:paraId="5E6C9D09" w14:textId="77777777" w:rsidR="00503BE8" w:rsidRPr="00503BE8" w:rsidRDefault="00503BE8" w:rsidP="007C7324">
      <w:pPr>
        <w:pStyle w:val="OATbodystyle"/>
        <w:numPr>
          <w:ilvl w:val="1"/>
          <w:numId w:val="18"/>
        </w:numPr>
        <w:ind w:left="426" w:hanging="426"/>
      </w:pPr>
      <w:r w:rsidRPr="00503BE8">
        <w:t xml:space="preserve">Expenditure on enhancing a fixed asset already in the balance sheet should be added to the carrying </w:t>
      </w:r>
      <w:proofErr w:type="gramStart"/>
      <w:r w:rsidRPr="00503BE8">
        <w:t>amount, if</w:t>
      </w:r>
      <w:proofErr w:type="gramEnd"/>
      <w:r w:rsidRPr="00503BE8">
        <w:t xml:space="preserve"> the asset meets the capital expenditure criteria. </w:t>
      </w:r>
    </w:p>
    <w:p w14:paraId="07D14182" w14:textId="3091CB79" w:rsidR="00503BE8" w:rsidRDefault="00503BE8" w:rsidP="007C7324">
      <w:pPr>
        <w:pStyle w:val="OATbodystyle"/>
        <w:numPr>
          <w:ilvl w:val="1"/>
          <w:numId w:val="18"/>
        </w:numPr>
        <w:ind w:left="426" w:hanging="426"/>
      </w:pPr>
      <w:r w:rsidRPr="00503BE8">
        <w:t>Fixed assets purchased with grant money should be clearly identified as such in the FAR.</w:t>
      </w:r>
    </w:p>
    <w:p w14:paraId="6437B5ED" w14:textId="4CB47220" w:rsidR="008705FF" w:rsidRDefault="008705FF" w:rsidP="008705FF">
      <w:pPr>
        <w:pStyle w:val="OATbodystyle"/>
        <w:numPr>
          <w:ilvl w:val="1"/>
          <w:numId w:val="18"/>
        </w:numPr>
        <w:ind w:left="426" w:hanging="426"/>
      </w:pPr>
      <w:r>
        <w:t xml:space="preserve">The fixed asset register should be reconciled to the nominal ledger </w:t>
      </w:r>
      <w:proofErr w:type="gramStart"/>
      <w:r>
        <w:t>on a monthly basis</w:t>
      </w:r>
      <w:proofErr w:type="gramEnd"/>
      <w:r>
        <w:t>.</w:t>
      </w:r>
    </w:p>
    <w:p w14:paraId="01CAC689" w14:textId="0C5A547E" w:rsidR="0096032F" w:rsidRDefault="0096032F" w:rsidP="003F2025">
      <w:pPr>
        <w:pStyle w:val="OATbodystyle"/>
        <w:numPr>
          <w:ilvl w:val="1"/>
          <w:numId w:val="18"/>
        </w:numPr>
        <w:ind w:left="567" w:hanging="567"/>
      </w:pPr>
      <w:r w:rsidRPr="004F657C">
        <w:t xml:space="preserve">A separate </w:t>
      </w:r>
      <w:r w:rsidR="00DD3D28">
        <w:t>I</w:t>
      </w:r>
      <w:r w:rsidR="00641831">
        <w:t>C</w:t>
      </w:r>
      <w:r w:rsidR="00DD3D28">
        <w:t xml:space="preserve">T </w:t>
      </w:r>
      <w:r w:rsidRPr="004F657C">
        <w:t>Asset Inventory should be held at each academy</w:t>
      </w:r>
      <w:r w:rsidR="008B532E">
        <w:t xml:space="preserve">.  </w:t>
      </w:r>
      <w:r w:rsidR="00C248D5">
        <w:t>This should include all</w:t>
      </w:r>
      <w:r w:rsidR="008B532E">
        <w:t xml:space="preserve"> ICT</w:t>
      </w:r>
      <w:r w:rsidR="00C248D5">
        <w:t xml:space="preserve"> assets held within the academy, including ones that are less than the </w:t>
      </w:r>
      <w:proofErr w:type="spellStart"/>
      <w:r w:rsidR="00C248D5">
        <w:t>capitali</w:t>
      </w:r>
      <w:r w:rsidR="00867099">
        <w:t>s</w:t>
      </w:r>
      <w:r w:rsidR="00C248D5">
        <w:t>ation</w:t>
      </w:r>
      <w:proofErr w:type="spellEnd"/>
      <w:r w:rsidR="00C248D5">
        <w:t xml:space="preserve"> threshold</w:t>
      </w:r>
      <w:r w:rsidR="00CF4ADD">
        <w:t>, to ensure that our exposure limits are adequate for insurance purposes</w:t>
      </w:r>
      <w:r w:rsidR="00A2233C">
        <w:t>.</w:t>
      </w:r>
      <w:r w:rsidR="003F25CA">
        <w:t xml:space="preserve"> Appendix</w:t>
      </w:r>
      <w:r w:rsidR="00CA1FC7">
        <w:t xml:space="preserve"> B</w:t>
      </w:r>
      <w:r w:rsidR="003F25CA">
        <w:t xml:space="preserve"> shows the template that will need to be completed for the initial creation of the inventory and then </w:t>
      </w:r>
      <w:r w:rsidR="00600C98">
        <w:t xml:space="preserve">should be considered a working document that is updated each time </w:t>
      </w:r>
      <w:r w:rsidR="008705FF">
        <w:t xml:space="preserve">an asset is purchased. </w:t>
      </w:r>
      <w:r w:rsidR="00A2233C">
        <w:t xml:space="preserve"> </w:t>
      </w:r>
    </w:p>
    <w:p w14:paraId="61CF1688" w14:textId="77777777" w:rsidR="00A2233C" w:rsidRDefault="00A2233C" w:rsidP="00A2233C">
      <w:pPr>
        <w:pStyle w:val="OATbodystyle"/>
        <w:ind w:left="426"/>
      </w:pPr>
    </w:p>
    <w:p w14:paraId="3E0338E2" w14:textId="77777777" w:rsidR="00A2233C" w:rsidRDefault="00A2233C" w:rsidP="00A2233C">
      <w:pPr>
        <w:pStyle w:val="OATbodystyle"/>
        <w:ind w:left="426"/>
      </w:pPr>
    </w:p>
    <w:p w14:paraId="3CC3D6C0" w14:textId="0899CB39" w:rsidR="0096032F" w:rsidRDefault="0096032F" w:rsidP="0096032F">
      <w:pPr>
        <w:pStyle w:val="OATbodystyle"/>
        <w:ind w:left="426"/>
      </w:pPr>
    </w:p>
    <w:p w14:paraId="27957BAC" w14:textId="2CB6444F" w:rsidR="008705FF" w:rsidRDefault="008705FF" w:rsidP="008705FF">
      <w:pPr>
        <w:pStyle w:val="OATbodystyle"/>
      </w:pPr>
    </w:p>
    <w:tbl>
      <w:tblPr>
        <w:tblpPr w:leftFromText="180" w:rightFromText="180" w:vertAnchor="page" w:horzAnchor="margin" w:tblpY="2845"/>
        <w:tblW w:w="906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15"/>
        <w:gridCol w:w="3402"/>
        <w:gridCol w:w="1701"/>
        <w:gridCol w:w="1549"/>
      </w:tblGrid>
      <w:tr w:rsidR="008705FF" w:rsidRPr="00503BE8" w14:paraId="05D84F08" w14:textId="77777777" w:rsidTr="007339D8">
        <w:trPr>
          <w:trHeight w:val="300"/>
        </w:trPr>
        <w:tc>
          <w:tcPr>
            <w:tcW w:w="2415" w:type="dxa"/>
            <w:shd w:val="clear" w:color="auto" w:fill="auto"/>
            <w:noWrap/>
            <w:vAlign w:val="center"/>
            <w:hideMark/>
          </w:tcPr>
          <w:p w14:paraId="3FFD4E23" w14:textId="77777777" w:rsidR="008705FF" w:rsidRPr="00503BE8" w:rsidRDefault="008705FF" w:rsidP="008705FF">
            <w:pPr>
              <w:pStyle w:val="OATsubheader1"/>
              <w:rPr>
                <w:lang w:eastAsia="en-GB"/>
              </w:rPr>
            </w:pPr>
            <w:r w:rsidRPr="00503BE8">
              <w:rPr>
                <w:rFonts w:eastAsia="MS Mincho" w:cs="Times New Roman"/>
              </w:rPr>
              <w:lastRenderedPageBreak/>
              <w:br w:type="page"/>
            </w:r>
            <w:bookmarkStart w:id="15" w:name="_Toc94681122"/>
            <w:r w:rsidRPr="00503BE8">
              <w:rPr>
                <w:lang w:eastAsia="en-GB"/>
              </w:rPr>
              <w:t>Type</w:t>
            </w:r>
            <w:bookmarkEnd w:id="15"/>
          </w:p>
        </w:tc>
        <w:tc>
          <w:tcPr>
            <w:tcW w:w="3402" w:type="dxa"/>
            <w:shd w:val="clear" w:color="auto" w:fill="auto"/>
            <w:noWrap/>
            <w:vAlign w:val="center"/>
            <w:hideMark/>
          </w:tcPr>
          <w:p w14:paraId="73AB7E5C" w14:textId="77777777" w:rsidR="008705FF" w:rsidRPr="00503BE8" w:rsidRDefault="008705FF" w:rsidP="008705FF">
            <w:pPr>
              <w:pStyle w:val="OATsubheader1"/>
              <w:rPr>
                <w:lang w:eastAsia="en-GB"/>
              </w:rPr>
            </w:pPr>
            <w:bookmarkStart w:id="16" w:name="_Toc94681123"/>
            <w:r w:rsidRPr="00503BE8">
              <w:rPr>
                <w:lang w:eastAsia="en-GB"/>
              </w:rPr>
              <w:t>Estimated useful life</w:t>
            </w:r>
            <w:bookmarkEnd w:id="16"/>
          </w:p>
        </w:tc>
        <w:tc>
          <w:tcPr>
            <w:tcW w:w="1701" w:type="dxa"/>
            <w:vAlign w:val="center"/>
          </w:tcPr>
          <w:p w14:paraId="151B93F9" w14:textId="77777777" w:rsidR="008705FF" w:rsidRPr="00503BE8" w:rsidRDefault="008705FF" w:rsidP="008705FF">
            <w:pPr>
              <w:pStyle w:val="OATsubheader1"/>
              <w:rPr>
                <w:lang w:eastAsia="en-GB"/>
              </w:rPr>
            </w:pPr>
            <w:bookmarkStart w:id="17" w:name="_Toc94681124"/>
            <w:r w:rsidRPr="00503BE8">
              <w:rPr>
                <w:lang w:eastAsia="en-GB"/>
              </w:rPr>
              <w:t>Depreciation method</w:t>
            </w:r>
            <w:bookmarkEnd w:id="17"/>
          </w:p>
        </w:tc>
        <w:tc>
          <w:tcPr>
            <w:tcW w:w="1549" w:type="dxa"/>
            <w:vAlign w:val="center"/>
          </w:tcPr>
          <w:p w14:paraId="5E08775F" w14:textId="77777777" w:rsidR="008705FF" w:rsidRPr="00503BE8" w:rsidRDefault="008705FF" w:rsidP="008705FF">
            <w:pPr>
              <w:pStyle w:val="OATsubheader1"/>
              <w:rPr>
                <w:lang w:eastAsia="en-GB"/>
              </w:rPr>
            </w:pPr>
            <w:bookmarkStart w:id="18" w:name="_Toc94681125"/>
            <w:r w:rsidRPr="00503BE8">
              <w:rPr>
                <w:lang w:eastAsia="en-GB"/>
              </w:rPr>
              <w:t>Percentage</w:t>
            </w:r>
            <w:bookmarkEnd w:id="18"/>
          </w:p>
        </w:tc>
      </w:tr>
      <w:tr w:rsidR="008705FF" w:rsidRPr="00503BE8" w14:paraId="0327433B" w14:textId="77777777" w:rsidTr="007339D8">
        <w:trPr>
          <w:trHeight w:val="300"/>
        </w:trPr>
        <w:tc>
          <w:tcPr>
            <w:tcW w:w="2415" w:type="dxa"/>
            <w:shd w:val="clear" w:color="auto" w:fill="auto"/>
            <w:noWrap/>
            <w:vAlign w:val="center"/>
            <w:hideMark/>
          </w:tcPr>
          <w:p w14:paraId="565C9F60" w14:textId="77777777" w:rsidR="008705FF" w:rsidRPr="00503BE8" w:rsidRDefault="008705FF" w:rsidP="008705FF">
            <w:pPr>
              <w:pStyle w:val="OATbodystyle"/>
              <w:rPr>
                <w:lang w:eastAsia="en-GB"/>
              </w:rPr>
            </w:pPr>
            <w:r w:rsidRPr="00503BE8">
              <w:rPr>
                <w:lang w:eastAsia="en-GB"/>
              </w:rPr>
              <w:t>Freehold and long leasehold buildings</w:t>
            </w:r>
          </w:p>
        </w:tc>
        <w:tc>
          <w:tcPr>
            <w:tcW w:w="3402" w:type="dxa"/>
            <w:shd w:val="clear" w:color="auto" w:fill="auto"/>
            <w:noWrap/>
            <w:vAlign w:val="center"/>
            <w:hideMark/>
          </w:tcPr>
          <w:p w14:paraId="3A5B0BEE" w14:textId="77777777" w:rsidR="008705FF" w:rsidRPr="00503BE8" w:rsidRDefault="008705FF" w:rsidP="008705FF">
            <w:pPr>
              <w:pStyle w:val="OATbodystyle"/>
              <w:rPr>
                <w:lang w:eastAsia="en-GB"/>
              </w:rPr>
            </w:pPr>
            <w:r w:rsidRPr="00503BE8">
              <w:rPr>
                <w:lang w:eastAsia="en-GB"/>
              </w:rPr>
              <w:t>50 years</w:t>
            </w:r>
          </w:p>
        </w:tc>
        <w:tc>
          <w:tcPr>
            <w:tcW w:w="1701" w:type="dxa"/>
            <w:vAlign w:val="center"/>
          </w:tcPr>
          <w:p w14:paraId="51E56C12" w14:textId="77777777" w:rsidR="008705FF" w:rsidRPr="00503BE8" w:rsidRDefault="008705FF" w:rsidP="008705FF">
            <w:pPr>
              <w:pStyle w:val="OATbodystyle"/>
              <w:rPr>
                <w:lang w:eastAsia="en-GB"/>
              </w:rPr>
            </w:pPr>
            <w:r w:rsidRPr="00503BE8">
              <w:rPr>
                <w:lang w:eastAsia="en-GB"/>
              </w:rPr>
              <w:t>Straight-line</w:t>
            </w:r>
          </w:p>
        </w:tc>
        <w:tc>
          <w:tcPr>
            <w:tcW w:w="1549" w:type="dxa"/>
            <w:vAlign w:val="center"/>
          </w:tcPr>
          <w:p w14:paraId="696FDABC" w14:textId="77777777" w:rsidR="008705FF" w:rsidRPr="00503BE8" w:rsidRDefault="008705FF" w:rsidP="008705FF">
            <w:pPr>
              <w:pStyle w:val="OATbodystyle"/>
              <w:rPr>
                <w:lang w:eastAsia="en-GB"/>
              </w:rPr>
            </w:pPr>
            <w:r w:rsidRPr="00503BE8">
              <w:rPr>
                <w:lang w:eastAsia="en-GB"/>
              </w:rPr>
              <w:t>2%</w:t>
            </w:r>
          </w:p>
        </w:tc>
      </w:tr>
      <w:tr w:rsidR="008705FF" w:rsidRPr="00503BE8" w14:paraId="3A3E4BFF" w14:textId="77777777" w:rsidTr="007339D8">
        <w:trPr>
          <w:trHeight w:val="300"/>
        </w:trPr>
        <w:tc>
          <w:tcPr>
            <w:tcW w:w="2415" w:type="dxa"/>
            <w:shd w:val="clear" w:color="auto" w:fill="auto"/>
            <w:noWrap/>
            <w:vAlign w:val="center"/>
          </w:tcPr>
          <w:p w14:paraId="144AD540" w14:textId="77777777" w:rsidR="008705FF" w:rsidRPr="00503BE8" w:rsidDel="0038289C" w:rsidRDefault="008705FF" w:rsidP="008705FF">
            <w:pPr>
              <w:pStyle w:val="OATbodystyle"/>
              <w:rPr>
                <w:lang w:eastAsia="en-GB"/>
              </w:rPr>
            </w:pPr>
            <w:r w:rsidRPr="00503BE8">
              <w:rPr>
                <w:lang w:eastAsia="en-GB"/>
              </w:rPr>
              <w:t>Long leasehold land</w:t>
            </w:r>
          </w:p>
        </w:tc>
        <w:tc>
          <w:tcPr>
            <w:tcW w:w="3402" w:type="dxa"/>
            <w:shd w:val="clear" w:color="auto" w:fill="auto"/>
            <w:noWrap/>
            <w:vAlign w:val="center"/>
          </w:tcPr>
          <w:p w14:paraId="15E3AF2D" w14:textId="77777777" w:rsidR="008705FF" w:rsidRPr="00503BE8" w:rsidDel="0038289C" w:rsidRDefault="008705FF" w:rsidP="008705FF">
            <w:pPr>
              <w:pStyle w:val="OATbodystyle"/>
              <w:rPr>
                <w:lang w:eastAsia="en-GB"/>
              </w:rPr>
            </w:pPr>
            <w:r w:rsidRPr="00503BE8">
              <w:rPr>
                <w:lang w:eastAsia="en-GB"/>
              </w:rPr>
              <w:t>125 years</w:t>
            </w:r>
          </w:p>
        </w:tc>
        <w:tc>
          <w:tcPr>
            <w:tcW w:w="1701" w:type="dxa"/>
            <w:vAlign w:val="center"/>
          </w:tcPr>
          <w:p w14:paraId="5AC4214B" w14:textId="77777777" w:rsidR="008705FF" w:rsidRPr="00503BE8" w:rsidRDefault="008705FF" w:rsidP="008705FF">
            <w:pPr>
              <w:pStyle w:val="OATbodystyle"/>
              <w:rPr>
                <w:lang w:eastAsia="en-GB"/>
              </w:rPr>
            </w:pPr>
            <w:r w:rsidRPr="00503BE8">
              <w:rPr>
                <w:lang w:eastAsia="en-GB"/>
              </w:rPr>
              <w:t>Straight-line</w:t>
            </w:r>
          </w:p>
        </w:tc>
        <w:tc>
          <w:tcPr>
            <w:tcW w:w="1549" w:type="dxa"/>
            <w:vAlign w:val="center"/>
          </w:tcPr>
          <w:p w14:paraId="313E332E" w14:textId="77777777" w:rsidR="008705FF" w:rsidRPr="00503BE8" w:rsidDel="0038289C" w:rsidRDefault="008705FF" w:rsidP="008705FF">
            <w:pPr>
              <w:pStyle w:val="OATbodystyle"/>
              <w:rPr>
                <w:lang w:eastAsia="en-GB"/>
              </w:rPr>
            </w:pPr>
            <w:r w:rsidRPr="00503BE8">
              <w:rPr>
                <w:lang w:eastAsia="en-GB"/>
              </w:rPr>
              <w:t>0.8%</w:t>
            </w:r>
          </w:p>
        </w:tc>
      </w:tr>
      <w:tr w:rsidR="008705FF" w:rsidRPr="00503BE8" w14:paraId="6CB8D6CA" w14:textId="77777777" w:rsidTr="007339D8">
        <w:trPr>
          <w:trHeight w:val="300"/>
        </w:trPr>
        <w:tc>
          <w:tcPr>
            <w:tcW w:w="2415" w:type="dxa"/>
            <w:shd w:val="clear" w:color="auto" w:fill="auto"/>
            <w:noWrap/>
            <w:vAlign w:val="center"/>
            <w:hideMark/>
          </w:tcPr>
          <w:p w14:paraId="02F638C7" w14:textId="77777777" w:rsidR="008705FF" w:rsidRPr="00503BE8" w:rsidRDefault="008705FF" w:rsidP="008705FF">
            <w:pPr>
              <w:pStyle w:val="OATbodystyle"/>
              <w:rPr>
                <w:lang w:eastAsia="en-GB"/>
              </w:rPr>
            </w:pPr>
            <w:r w:rsidRPr="00503BE8">
              <w:rPr>
                <w:lang w:eastAsia="en-GB"/>
              </w:rPr>
              <w:t xml:space="preserve">Leasehold improvements </w:t>
            </w:r>
          </w:p>
        </w:tc>
        <w:tc>
          <w:tcPr>
            <w:tcW w:w="3402" w:type="dxa"/>
            <w:shd w:val="clear" w:color="auto" w:fill="auto"/>
            <w:noWrap/>
            <w:vAlign w:val="center"/>
            <w:hideMark/>
          </w:tcPr>
          <w:p w14:paraId="3AECD42E" w14:textId="77777777" w:rsidR="008705FF" w:rsidRPr="00503BE8" w:rsidRDefault="008705FF" w:rsidP="008705FF">
            <w:pPr>
              <w:pStyle w:val="OATbodystyle"/>
              <w:rPr>
                <w:lang w:eastAsia="en-GB"/>
              </w:rPr>
            </w:pPr>
            <w:r w:rsidRPr="00503BE8">
              <w:rPr>
                <w:lang w:eastAsia="en-GB"/>
              </w:rPr>
              <w:t>10 years</w:t>
            </w:r>
          </w:p>
        </w:tc>
        <w:tc>
          <w:tcPr>
            <w:tcW w:w="1701" w:type="dxa"/>
          </w:tcPr>
          <w:p w14:paraId="2A94B0CC" w14:textId="77777777" w:rsidR="008705FF" w:rsidRPr="00503BE8" w:rsidRDefault="008705FF" w:rsidP="008705FF">
            <w:pPr>
              <w:pStyle w:val="OATbodystyle"/>
              <w:rPr>
                <w:lang w:eastAsia="en-GB"/>
              </w:rPr>
            </w:pPr>
            <w:r w:rsidRPr="00503BE8">
              <w:rPr>
                <w:lang w:eastAsia="en-GB"/>
              </w:rPr>
              <w:t>Straight-line</w:t>
            </w:r>
          </w:p>
        </w:tc>
        <w:tc>
          <w:tcPr>
            <w:tcW w:w="1549" w:type="dxa"/>
            <w:vAlign w:val="center"/>
          </w:tcPr>
          <w:p w14:paraId="254F428D" w14:textId="77777777" w:rsidR="008705FF" w:rsidRPr="00503BE8" w:rsidRDefault="008705FF" w:rsidP="008705FF">
            <w:pPr>
              <w:pStyle w:val="OATbodystyle"/>
              <w:rPr>
                <w:lang w:eastAsia="en-GB"/>
              </w:rPr>
            </w:pPr>
            <w:r w:rsidRPr="00503BE8">
              <w:rPr>
                <w:lang w:eastAsia="en-GB"/>
              </w:rPr>
              <w:t>10%</w:t>
            </w:r>
          </w:p>
        </w:tc>
      </w:tr>
      <w:tr w:rsidR="008705FF" w:rsidRPr="00503BE8" w14:paraId="3EA59F19" w14:textId="77777777" w:rsidTr="007339D8">
        <w:trPr>
          <w:trHeight w:val="300"/>
        </w:trPr>
        <w:tc>
          <w:tcPr>
            <w:tcW w:w="2415" w:type="dxa"/>
            <w:shd w:val="clear" w:color="auto" w:fill="auto"/>
            <w:noWrap/>
            <w:vAlign w:val="center"/>
            <w:hideMark/>
          </w:tcPr>
          <w:p w14:paraId="0A14ECBC" w14:textId="77777777" w:rsidR="008705FF" w:rsidRPr="00503BE8" w:rsidRDefault="008705FF" w:rsidP="008705FF">
            <w:pPr>
              <w:pStyle w:val="OATbodystyle"/>
              <w:rPr>
                <w:lang w:eastAsia="en-GB"/>
              </w:rPr>
            </w:pPr>
            <w:r w:rsidRPr="00503BE8">
              <w:rPr>
                <w:lang w:eastAsia="en-GB"/>
              </w:rPr>
              <w:t>Furniture and equipment</w:t>
            </w:r>
          </w:p>
        </w:tc>
        <w:tc>
          <w:tcPr>
            <w:tcW w:w="3402" w:type="dxa"/>
            <w:shd w:val="clear" w:color="auto" w:fill="auto"/>
            <w:noWrap/>
            <w:vAlign w:val="center"/>
            <w:hideMark/>
          </w:tcPr>
          <w:p w14:paraId="5FCAAAC2" w14:textId="77777777" w:rsidR="008705FF" w:rsidRPr="00503BE8" w:rsidRDefault="008705FF" w:rsidP="008705FF">
            <w:pPr>
              <w:pStyle w:val="OATbodystyle"/>
              <w:rPr>
                <w:lang w:eastAsia="en-GB"/>
              </w:rPr>
            </w:pPr>
            <w:r w:rsidRPr="00503BE8">
              <w:rPr>
                <w:lang w:eastAsia="en-GB"/>
              </w:rPr>
              <w:t>10 years</w:t>
            </w:r>
          </w:p>
        </w:tc>
        <w:tc>
          <w:tcPr>
            <w:tcW w:w="1701" w:type="dxa"/>
            <w:shd w:val="clear" w:color="auto" w:fill="auto"/>
          </w:tcPr>
          <w:p w14:paraId="7D05B2BC" w14:textId="77777777" w:rsidR="008705FF" w:rsidRPr="00503BE8" w:rsidRDefault="008705FF" w:rsidP="008705FF">
            <w:pPr>
              <w:pStyle w:val="OATbodystyle"/>
              <w:rPr>
                <w:lang w:eastAsia="en-GB"/>
              </w:rPr>
            </w:pPr>
            <w:r w:rsidRPr="00503BE8">
              <w:rPr>
                <w:lang w:eastAsia="en-GB"/>
              </w:rPr>
              <w:t>Straight-line</w:t>
            </w:r>
          </w:p>
        </w:tc>
        <w:tc>
          <w:tcPr>
            <w:tcW w:w="1549" w:type="dxa"/>
            <w:shd w:val="clear" w:color="auto" w:fill="auto"/>
            <w:vAlign w:val="center"/>
          </w:tcPr>
          <w:p w14:paraId="5EA6C377" w14:textId="77777777" w:rsidR="008705FF" w:rsidRPr="00503BE8" w:rsidRDefault="008705FF" w:rsidP="008705FF">
            <w:pPr>
              <w:pStyle w:val="OATbodystyle"/>
              <w:rPr>
                <w:lang w:eastAsia="en-GB"/>
              </w:rPr>
            </w:pPr>
            <w:r w:rsidRPr="00503BE8">
              <w:rPr>
                <w:lang w:eastAsia="en-GB"/>
              </w:rPr>
              <w:t>10%</w:t>
            </w:r>
          </w:p>
        </w:tc>
      </w:tr>
      <w:tr w:rsidR="008705FF" w:rsidRPr="00503BE8" w14:paraId="00FEE02F" w14:textId="77777777" w:rsidTr="007339D8">
        <w:trPr>
          <w:trHeight w:val="300"/>
        </w:trPr>
        <w:tc>
          <w:tcPr>
            <w:tcW w:w="2415" w:type="dxa"/>
            <w:shd w:val="clear" w:color="auto" w:fill="auto"/>
            <w:noWrap/>
            <w:vAlign w:val="center"/>
            <w:hideMark/>
          </w:tcPr>
          <w:p w14:paraId="72D54703" w14:textId="77777777" w:rsidR="008705FF" w:rsidRPr="00503BE8" w:rsidRDefault="008705FF" w:rsidP="008705FF">
            <w:pPr>
              <w:pStyle w:val="OATbodystyle"/>
              <w:rPr>
                <w:lang w:eastAsia="en-GB"/>
              </w:rPr>
            </w:pPr>
            <w:r w:rsidRPr="00503BE8">
              <w:rPr>
                <w:lang w:eastAsia="en-GB"/>
              </w:rPr>
              <w:t>Motor vehicles</w:t>
            </w:r>
          </w:p>
        </w:tc>
        <w:tc>
          <w:tcPr>
            <w:tcW w:w="3402" w:type="dxa"/>
            <w:shd w:val="clear" w:color="auto" w:fill="auto"/>
            <w:noWrap/>
            <w:vAlign w:val="center"/>
            <w:hideMark/>
          </w:tcPr>
          <w:p w14:paraId="7B12427C" w14:textId="77777777" w:rsidR="008705FF" w:rsidRPr="00503BE8" w:rsidRDefault="008705FF" w:rsidP="008705FF">
            <w:pPr>
              <w:pStyle w:val="OATbodystyle"/>
              <w:rPr>
                <w:lang w:eastAsia="en-GB"/>
              </w:rPr>
            </w:pPr>
            <w:r>
              <w:rPr>
                <w:lang w:eastAsia="en-GB"/>
              </w:rPr>
              <w:t>6.5</w:t>
            </w:r>
            <w:r w:rsidRPr="00503BE8">
              <w:rPr>
                <w:lang w:eastAsia="en-GB"/>
              </w:rPr>
              <w:t xml:space="preserve"> years</w:t>
            </w:r>
          </w:p>
        </w:tc>
        <w:tc>
          <w:tcPr>
            <w:tcW w:w="1701" w:type="dxa"/>
            <w:shd w:val="clear" w:color="auto" w:fill="auto"/>
          </w:tcPr>
          <w:p w14:paraId="068D8DC1" w14:textId="77777777" w:rsidR="008705FF" w:rsidRPr="00503BE8" w:rsidRDefault="008705FF" w:rsidP="008705FF">
            <w:pPr>
              <w:pStyle w:val="OATbodystyle"/>
              <w:rPr>
                <w:lang w:eastAsia="en-GB"/>
              </w:rPr>
            </w:pPr>
            <w:r w:rsidRPr="00503BE8">
              <w:rPr>
                <w:lang w:eastAsia="en-GB"/>
              </w:rPr>
              <w:t>Straight-line</w:t>
            </w:r>
          </w:p>
        </w:tc>
        <w:tc>
          <w:tcPr>
            <w:tcW w:w="1549" w:type="dxa"/>
            <w:shd w:val="clear" w:color="auto" w:fill="auto"/>
            <w:vAlign w:val="center"/>
          </w:tcPr>
          <w:p w14:paraId="7F83DE94" w14:textId="77777777" w:rsidR="008705FF" w:rsidRPr="00503BE8" w:rsidRDefault="008705FF" w:rsidP="008705FF">
            <w:pPr>
              <w:pStyle w:val="OATbodystyle"/>
              <w:rPr>
                <w:lang w:eastAsia="en-GB"/>
              </w:rPr>
            </w:pPr>
            <w:r w:rsidRPr="00503BE8">
              <w:rPr>
                <w:lang w:eastAsia="en-GB"/>
              </w:rPr>
              <w:t>15%</w:t>
            </w:r>
          </w:p>
        </w:tc>
      </w:tr>
      <w:tr w:rsidR="008705FF" w:rsidRPr="00503BE8" w14:paraId="05F9A31A" w14:textId="77777777" w:rsidTr="007339D8">
        <w:trPr>
          <w:trHeight w:val="300"/>
        </w:trPr>
        <w:tc>
          <w:tcPr>
            <w:tcW w:w="2415" w:type="dxa"/>
            <w:shd w:val="clear" w:color="auto" w:fill="auto"/>
            <w:noWrap/>
            <w:vAlign w:val="center"/>
            <w:hideMark/>
          </w:tcPr>
          <w:p w14:paraId="4CEB2DD6" w14:textId="77777777" w:rsidR="008705FF" w:rsidRPr="00503BE8" w:rsidRDefault="008705FF" w:rsidP="008705FF">
            <w:pPr>
              <w:pStyle w:val="OATbodystyle"/>
              <w:rPr>
                <w:lang w:eastAsia="en-GB"/>
              </w:rPr>
            </w:pPr>
            <w:r w:rsidRPr="00503BE8">
              <w:rPr>
                <w:lang w:eastAsia="en-GB"/>
              </w:rPr>
              <w:t>Computers and IT equipment</w:t>
            </w:r>
          </w:p>
        </w:tc>
        <w:tc>
          <w:tcPr>
            <w:tcW w:w="3402" w:type="dxa"/>
            <w:shd w:val="clear" w:color="auto" w:fill="auto"/>
            <w:noWrap/>
            <w:vAlign w:val="center"/>
            <w:hideMark/>
          </w:tcPr>
          <w:p w14:paraId="754A3E83" w14:textId="77777777" w:rsidR="008705FF" w:rsidRPr="00503BE8" w:rsidRDefault="008705FF" w:rsidP="008705FF">
            <w:pPr>
              <w:pStyle w:val="OATbodystyle"/>
              <w:rPr>
                <w:lang w:eastAsia="en-GB"/>
              </w:rPr>
            </w:pPr>
            <w:r w:rsidRPr="00503BE8">
              <w:rPr>
                <w:lang w:eastAsia="en-GB"/>
              </w:rPr>
              <w:t>5 years</w:t>
            </w:r>
          </w:p>
        </w:tc>
        <w:tc>
          <w:tcPr>
            <w:tcW w:w="1701" w:type="dxa"/>
            <w:shd w:val="clear" w:color="auto" w:fill="auto"/>
          </w:tcPr>
          <w:p w14:paraId="3C4D0FBE" w14:textId="77777777" w:rsidR="008705FF" w:rsidRPr="00503BE8" w:rsidRDefault="008705FF" w:rsidP="008705FF">
            <w:pPr>
              <w:pStyle w:val="OATbodystyle"/>
              <w:rPr>
                <w:lang w:eastAsia="en-GB"/>
              </w:rPr>
            </w:pPr>
            <w:r w:rsidRPr="00503BE8">
              <w:rPr>
                <w:lang w:eastAsia="en-GB"/>
              </w:rPr>
              <w:t>Straight-line</w:t>
            </w:r>
          </w:p>
        </w:tc>
        <w:tc>
          <w:tcPr>
            <w:tcW w:w="1549" w:type="dxa"/>
            <w:shd w:val="clear" w:color="auto" w:fill="auto"/>
            <w:vAlign w:val="center"/>
          </w:tcPr>
          <w:p w14:paraId="7361B214" w14:textId="77777777" w:rsidR="008705FF" w:rsidRPr="00503BE8" w:rsidRDefault="008705FF" w:rsidP="008705FF">
            <w:pPr>
              <w:pStyle w:val="OATbodystyle"/>
              <w:rPr>
                <w:lang w:eastAsia="en-GB"/>
              </w:rPr>
            </w:pPr>
            <w:r w:rsidRPr="00503BE8">
              <w:rPr>
                <w:lang w:eastAsia="en-GB"/>
              </w:rPr>
              <w:t>20%</w:t>
            </w:r>
          </w:p>
        </w:tc>
      </w:tr>
      <w:tr w:rsidR="008705FF" w:rsidRPr="00503BE8" w14:paraId="12917D7E" w14:textId="77777777" w:rsidTr="007339D8">
        <w:trPr>
          <w:trHeight w:val="300"/>
        </w:trPr>
        <w:tc>
          <w:tcPr>
            <w:tcW w:w="2415" w:type="dxa"/>
            <w:shd w:val="clear" w:color="auto" w:fill="auto"/>
            <w:noWrap/>
            <w:vAlign w:val="center"/>
          </w:tcPr>
          <w:p w14:paraId="54F2DD68" w14:textId="77777777" w:rsidR="008705FF" w:rsidRPr="00503BE8" w:rsidRDefault="008705FF" w:rsidP="008705FF">
            <w:pPr>
              <w:pStyle w:val="OATbodystyle"/>
              <w:rPr>
                <w:lang w:eastAsia="en-GB"/>
              </w:rPr>
            </w:pPr>
            <w:r w:rsidRPr="00503BE8">
              <w:rPr>
                <w:lang w:eastAsia="en-GB"/>
              </w:rPr>
              <w:t>Assets under construction</w:t>
            </w:r>
          </w:p>
        </w:tc>
        <w:tc>
          <w:tcPr>
            <w:tcW w:w="6652" w:type="dxa"/>
            <w:gridSpan w:val="3"/>
            <w:shd w:val="clear" w:color="auto" w:fill="auto"/>
            <w:noWrap/>
            <w:vAlign w:val="center"/>
          </w:tcPr>
          <w:p w14:paraId="0424CB22" w14:textId="77777777" w:rsidR="008705FF" w:rsidRPr="001E7F2B" w:rsidRDefault="008705FF" w:rsidP="008705FF">
            <w:pPr>
              <w:pStyle w:val="OATbodystyle"/>
              <w:rPr>
                <w:i/>
                <w:iCs/>
                <w:lang w:eastAsia="en-GB"/>
              </w:rPr>
            </w:pPr>
            <w:r w:rsidRPr="00895FA5">
              <w:rPr>
                <w:i/>
                <w:iCs/>
                <w:color w:val="00B0F0"/>
                <w:lang w:eastAsia="en-GB"/>
              </w:rPr>
              <w:t>These are not depreciated until the asset is brought into use</w:t>
            </w:r>
          </w:p>
        </w:tc>
      </w:tr>
    </w:tbl>
    <w:p w14:paraId="3F655F23" w14:textId="77777777" w:rsidR="008F629E" w:rsidRPr="00503BE8" w:rsidRDefault="008F629E" w:rsidP="00EC5527">
      <w:pPr>
        <w:pStyle w:val="OATbodystyle"/>
      </w:pPr>
    </w:p>
    <w:p w14:paraId="2EFF9E54" w14:textId="77777777" w:rsidR="00867099" w:rsidRPr="00867099" w:rsidRDefault="00503BE8" w:rsidP="00867099">
      <w:pPr>
        <w:pStyle w:val="OATheader"/>
        <w:numPr>
          <w:ilvl w:val="0"/>
          <w:numId w:val="18"/>
        </w:numPr>
        <w:rPr>
          <w:rFonts w:eastAsia="MS Mincho"/>
        </w:rPr>
      </w:pPr>
      <w:bookmarkStart w:id="19" w:name="_Revaluation_of_assets"/>
      <w:bookmarkStart w:id="20" w:name="_Depreciation_of_assets"/>
      <w:bookmarkStart w:id="21" w:name="_Toc94681126"/>
      <w:bookmarkEnd w:id="19"/>
      <w:bookmarkEnd w:id="20"/>
      <w:r w:rsidRPr="00503BE8">
        <w:rPr>
          <w:rFonts w:eastAsia="MS Mincho"/>
        </w:rPr>
        <w:t>Depreciation of assets</w:t>
      </w:r>
      <w:bookmarkEnd w:id="21"/>
    </w:p>
    <w:p w14:paraId="377CD352" w14:textId="77777777" w:rsidR="00503BE8" w:rsidRPr="00503BE8" w:rsidRDefault="00503BE8" w:rsidP="009C25B9">
      <w:pPr>
        <w:pStyle w:val="OATbodystyle"/>
        <w:numPr>
          <w:ilvl w:val="1"/>
          <w:numId w:val="18"/>
        </w:numPr>
        <w:spacing w:before="240"/>
        <w:ind w:left="426" w:hanging="426"/>
      </w:pPr>
      <w:r w:rsidRPr="00503BE8">
        <w:t>Depreciation is charged against a fixed asset over its expected useful life. It is calculated monthly by the OAT</w:t>
      </w:r>
      <w:r w:rsidR="00203942">
        <w:t xml:space="preserve"> head office</w:t>
      </w:r>
      <w:r w:rsidRPr="00503BE8">
        <w:t xml:space="preserve"> </w:t>
      </w:r>
      <w:r w:rsidR="00203942">
        <w:t>f</w:t>
      </w:r>
      <w:r w:rsidRPr="00503BE8">
        <w:t xml:space="preserve">inance </w:t>
      </w:r>
      <w:r w:rsidR="00203942">
        <w:t>t</w:t>
      </w:r>
      <w:r w:rsidRPr="00503BE8">
        <w:t>eam in preparation for the end of year accounts.</w:t>
      </w:r>
    </w:p>
    <w:p w14:paraId="4AC3CCE0" w14:textId="77777777" w:rsidR="00503BE8" w:rsidRPr="00503BE8" w:rsidRDefault="00503BE8" w:rsidP="00462D40">
      <w:pPr>
        <w:pStyle w:val="OATbodystyle"/>
        <w:numPr>
          <w:ilvl w:val="1"/>
          <w:numId w:val="18"/>
        </w:numPr>
        <w:ind w:left="426" w:hanging="426"/>
      </w:pPr>
      <w:r w:rsidRPr="00503BE8">
        <w:t xml:space="preserve">The </w:t>
      </w:r>
      <w:r w:rsidR="00BE56B6">
        <w:t>Trust</w:t>
      </w:r>
      <w:r w:rsidRPr="00503BE8">
        <w:t xml:space="preserve"> uses the method of straight-line depreciation where the asset value is reduced in equal amounts annually.</w:t>
      </w:r>
    </w:p>
    <w:p w14:paraId="54979048" w14:textId="77777777" w:rsidR="00503BE8" w:rsidRPr="00503BE8" w:rsidRDefault="00503BE8" w:rsidP="00FC13B8">
      <w:pPr>
        <w:pStyle w:val="OATbodystyle"/>
        <w:numPr>
          <w:ilvl w:val="1"/>
          <w:numId w:val="18"/>
        </w:numPr>
        <w:ind w:left="426" w:hanging="426"/>
      </w:pPr>
      <w:r w:rsidRPr="00503BE8">
        <w:t>The period of depreciation (the asset’s useful life) varies according to the category of the asset. The OAT</w:t>
      </w:r>
      <w:r w:rsidR="003F3FBF">
        <w:t xml:space="preserve"> head office</w:t>
      </w:r>
      <w:r w:rsidRPr="00503BE8">
        <w:t xml:space="preserve"> </w:t>
      </w:r>
      <w:r w:rsidR="003F3FBF">
        <w:t>f</w:t>
      </w:r>
      <w:r w:rsidRPr="00503BE8">
        <w:t xml:space="preserve">inance </w:t>
      </w:r>
      <w:r w:rsidR="003F3FBF">
        <w:t>t</w:t>
      </w:r>
      <w:r w:rsidRPr="00503BE8">
        <w:t>eam</w:t>
      </w:r>
      <w:r w:rsidRPr="00503BE8">
        <w:rPr>
          <w:b/>
        </w:rPr>
        <w:t xml:space="preserve"> </w:t>
      </w:r>
      <w:r w:rsidRPr="00503BE8">
        <w:t xml:space="preserve">is responsible for allocating a useful economic life to each asset where expenditure is </w:t>
      </w:r>
      <w:proofErr w:type="spellStart"/>
      <w:r w:rsidRPr="00503BE8">
        <w:t>capitalised</w:t>
      </w:r>
      <w:proofErr w:type="spellEnd"/>
      <w:r w:rsidRPr="00503BE8">
        <w:t xml:space="preserve">.  </w:t>
      </w:r>
    </w:p>
    <w:p w14:paraId="5586EB01" w14:textId="77777777" w:rsidR="00503BE8" w:rsidRPr="00516333" w:rsidRDefault="00503BE8" w:rsidP="00F24FF9">
      <w:pPr>
        <w:pStyle w:val="OATheader"/>
        <w:numPr>
          <w:ilvl w:val="0"/>
          <w:numId w:val="18"/>
        </w:numPr>
        <w:rPr>
          <w:rFonts w:eastAsia="MS Mincho"/>
        </w:rPr>
      </w:pPr>
      <w:bookmarkStart w:id="22" w:name="_Disposal_of_assets"/>
      <w:bookmarkStart w:id="23" w:name="_Toc94681127"/>
      <w:bookmarkStart w:id="24" w:name="damage"/>
      <w:bookmarkEnd w:id="22"/>
      <w:r w:rsidRPr="00516333">
        <w:rPr>
          <w:rFonts w:eastAsia="MS Mincho"/>
        </w:rPr>
        <w:t>Damage of assets by staff</w:t>
      </w:r>
      <w:bookmarkEnd w:id="23"/>
    </w:p>
    <w:bookmarkEnd w:id="24"/>
    <w:p w14:paraId="33F25ED4" w14:textId="77777777" w:rsidR="00503BE8" w:rsidRPr="00F24FF9" w:rsidRDefault="00503BE8" w:rsidP="009C25B9">
      <w:pPr>
        <w:pStyle w:val="OATbodystyle"/>
        <w:numPr>
          <w:ilvl w:val="1"/>
          <w:numId w:val="18"/>
        </w:numPr>
        <w:spacing w:before="240"/>
        <w:ind w:left="426" w:hanging="426"/>
      </w:pPr>
      <w:r w:rsidRPr="00F24FF9">
        <w:t xml:space="preserve">In the event any assets are damaged or broken by staff, whether damaged accidentally or deliberately, the </w:t>
      </w:r>
      <w:r w:rsidR="00BE56B6">
        <w:t>Trust</w:t>
      </w:r>
      <w:r w:rsidRPr="00F24FF9">
        <w:t xml:space="preserve"> will only be able to request payment for the damage if the employee’s contract states this will be the case. </w:t>
      </w:r>
    </w:p>
    <w:p w14:paraId="742CC035" w14:textId="77777777" w:rsidR="00503BE8" w:rsidRPr="00F24FF9" w:rsidRDefault="00503BE8" w:rsidP="00F24FF9">
      <w:pPr>
        <w:pStyle w:val="OATbodystyle"/>
        <w:numPr>
          <w:ilvl w:val="1"/>
          <w:numId w:val="18"/>
        </w:numPr>
        <w:ind w:left="426" w:hanging="426"/>
      </w:pPr>
      <w:r w:rsidRPr="00F24FF9">
        <w:t>If the contract does not state that the employee will need to cover any costs, then they will not be required to do so.</w:t>
      </w:r>
    </w:p>
    <w:p w14:paraId="73D69F3F" w14:textId="77777777" w:rsidR="00503BE8" w:rsidRPr="00F24FF9" w:rsidRDefault="00503BE8" w:rsidP="00F24FF9">
      <w:pPr>
        <w:pStyle w:val="OATbodystyle"/>
        <w:numPr>
          <w:ilvl w:val="1"/>
          <w:numId w:val="18"/>
        </w:numPr>
        <w:ind w:left="426" w:hanging="426"/>
      </w:pPr>
      <w:r w:rsidRPr="00F24FF9">
        <w:t xml:space="preserve">The </w:t>
      </w:r>
      <w:r w:rsidR="00BE56B6">
        <w:t>Trust</w:t>
      </w:r>
      <w:r w:rsidRPr="00F24FF9">
        <w:t xml:space="preserve"> may ask for a contribution towards the repair/replacement of the asset; however, there will be no requirement to pay. </w:t>
      </w:r>
    </w:p>
    <w:p w14:paraId="0BA8269B" w14:textId="77777777" w:rsidR="00503BE8" w:rsidRPr="00F24FF9" w:rsidRDefault="00503BE8" w:rsidP="00F24FF9">
      <w:pPr>
        <w:pStyle w:val="OATbodystyle"/>
        <w:numPr>
          <w:ilvl w:val="1"/>
          <w:numId w:val="18"/>
        </w:numPr>
        <w:ind w:left="426" w:hanging="426"/>
      </w:pPr>
      <w:r w:rsidRPr="00F24FF9">
        <w:t xml:space="preserve">Taking money out of pay cheques is prohibited, the staff member and </w:t>
      </w:r>
      <w:r w:rsidR="00BE56B6">
        <w:t>Trust</w:t>
      </w:r>
      <w:r w:rsidRPr="00F24FF9">
        <w:t xml:space="preserve"> will have agreed a salary, and deviation from this will be considered a breach of contract. </w:t>
      </w:r>
    </w:p>
    <w:p w14:paraId="4CDDBF61" w14:textId="77777777" w:rsidR="00503BE8" w:rsidRPr="00F24FF9" w:rsidRDefault="00503BE8" w:rsidP="00F24FF9">
      <w:pPr>
        <w:pStyle w:val="OATbodystyle"/>
        <w:numPr>
          <w:ilvl w:val="1"/>
          <w:numId w:val="18"/>
        </w:numPr>
        <w:ind w:left="426" w:hanging="426"/>
      </w:pPr>
      <w:r w:rsidRPr="00F24FF9">
        <w:lastRenderedPageBreak/>
        <w:t xml:space="preserve">If there is reasonable evidence to believe the damage has been caused deliberately, the </w:t>
      </w:r>
      <w:r w:rsidR="00BE56B6">
        <w:t>Trust</w:t>
      </w:r>
      <w:r w:rsidRPr="00F24FF9">
        <w:t xml:space="preserve"> will treat this as a legal matter, and may receive compensation depending on the outcome of any legal proceedings.</w:t>
      </w:r>
    </w:p>
    <w:p w14:paraId="7203D97B" w14:textId="77777777" w:rsidR="00503BE8" w:rsidRPr="00F24FF9" w:rsidRDefault="00503BE8" w:rsidP="00F24FF9">
      <w:pPr>
        <w:pStyle w:val="OATheader"/>
        <w:numPr>
          <w:ilvl w:val="0"/>
          <w:numId w:val="18"/>
        </w:numPr>
        <w:rPr>
          <w:rFonts w:eastAsia="MS Mincho"/>
        </w:rPr>
      </w:pPr>
      <w:bookmarkStart w:id="25" w:name="_Toc94681128"/>
      <w:r w:rsidRPr="00F24FF9">
        <w:rPr>
          <w:rFonts w:eastAsia="MS Mincho"/>
        </w:rPr>
        <w:t>Disposal of assets</w:t>
      </w:r>
      <w:bookmarkEnd w:id="25"/>
    </w:p>
    <w:p w14:paraId="18BB3D72" w14:textId="77777777" w:rsidR="00503BE8" w:rsidRPr="00F24FF9" w:rsidRDefault="00503BE8" w:rsidP="00F24FF9">
      <w:pPr>
        <w:pStyle w:val="OATbodystyle"/>
        <w:numPr>
          <w:ilvl w:val="1"/>
          <w:numId w:val="18"/>
        </w:numPr>
        <w:spacing w:before="240"/>
        <w:ind w:left="426" w:hanging="426"/>
      </w:pPr>
      <w:r w:rsidRPr="00F24FF9">
        <w:t xml:space="preserve">The best possible value should be obtained from the disposal of assets. The disposal of any land and buildings requires the prior approval of the ESFA. Any other assets with a carrying amount of above £1000 require approval from the National Director of Finance for the </w:t>
      </w:r>
      <w:r w:rsidR="00BE56B6">
        <w:t>Trust</w:t>
      </w:r>
      <w:r w:rsidRPr="00F24FF9">
        <w:t xml:space="preserve"> prior to disposal. A Disposal of Equipment Form is available in </w:t>
      </w:r>
      <w:hyperlink w:anchor="annexa" w:history="1">
        <w:r w:rsidRPr="00F24FF9">
          <w:t>Appendix A</w:t>
        </w:r>
      </w:hyperlink>
      <w:r w:rsidRPr="00F24FF9">
        <w:t>.</w:t>
      </w:r>
    </w:p>
    <w:p w14:paraId="6230F855" w14:textId="77777777" w:rsidR="00503BE8" w:rsidRDefault="00503BE8" w:rsidP="00F24FF9">
      <w:pPr>
        <w:pStyle w:val="OATbodystyle"/>
        <w:numPr>
          <w:ilvl w:val="1"/>
          <w:numId w:val="18"/>
        </w:numPr>
        <w:ind w:left="426" w:hanging="426"/>
      </w:pPr>
      <w:r w:rsidRPr="00F24FF9">
        <w:t>When an asset is disposed of or sold, a loss or profit may occur. The difference between the total sale proceeds, less the cost of disposing of the asset, and the net carrying amount of the asset is used to calculate the loss or profit.</w:t>
      </w:r>
    </w:p>
    <w:p w14:paraId="0BB3BE62" w14:textId="77777777" w:rsidR="00D75F36" w:rsidRPr="00F24FF9" w:rsidRDefault="00D75F36" w:rsidP="00F24FF9">
      <w:pPr>
        <w:pStyle w:val="OATbodystyle"/>
        <w:numPr>
          <w:ilvl w:val="1"/>
          <w:numId w:val="18"/>
        </w:numPr>
        <w:ind w:left="426" w:hanging="426"/>
      </w:pPr>
      <w:r>
        <w:t xml:space="preserve">Academies should </w:t>
      </w:r>
      <w:r w:rsidR="00DA6AA2">
        <w:t xml:space="preserve">inform </w:t>
      </w:r>
      <w:r w:rsidR="00172B43">
        <w:t>Head office</w:t>
      </w:r>
      <w:r w:rsidR="00DA6AA2">
        <w:t xml:space="preserve"> of any disposals immediately.  </w:t>
      </w:r>
      <w:r w:rsidR="00172B43">
        <w:t>Head office</w:t>
      </w:r>
      <w:r w:rsidR="00DA6AA2">
        <w:t xml:space="preserve"> will then update the fixed asset register accordingly. </w:t>
      </w:r>
    </w:p>
    <w:p w14:paraId="099B5F7D" w14:textId="77777777" w:rsidR="00503BE8" w:rsidRPr="00F24FF9" w:rsidRDefault="00503BE8" w:rsidP="00F24FF9">
      <w:pPr>
        <w:pStyle w:val="OATbodystyle"/>
        <w:numPr>
          <w:ilvl w:val="1"/>
          <w:numId w:val="18"/>
        </w:numPr>
        <w:ind w:left="426" w:hanging="426"/>
      </w:pPr>
      <w:r w:rsidRPr="00F24FF9">
        <w:t>The loss or profit should be recorded as follows:</w:t>
      </w:r>
    </w:p>
    <w:p w14:paraId="28AB067E" w14:textId="77777777" w:rsidR="00503BE8" w:rsidRPr="00503BE8" w:rsidRDefault="00503BE8" w:rsidP="00F24FF9">
      <w:pPr>
        <w:pStyle w:val="OATbodystyle"/>
        <w:numPr>
          <w:ilvl w:val="2"/>
          <w:numId w:val="18"/>
        </w:numPr>
        <w:ind w:left="1134" w:hanging="708"/>
      </w:pPr>
      <w:r w:rsidRPr="00503BE8">
        <w:t xml:space="preserve">Profits on disposal of fixed assets must be included in the income and expenditure account under ‘profit or loss on sale of fixed </w:t>
      </w:r>
      <w:proofErr w:type="gramStart"/>
      <w:r w:rsidRPr="00503BE8">
        <w:t>assets’</w:t>
      </w:r>
      <w:proofErr w:type="gramEnd"/>
      <w:r w:rsidRPr="00503BE8">
        <w:t>.</w:t>
      </w:r>
    </w:p>
    <w:p w14:paraId="4424DF92" w14:textId="77777777" w:rsidR="00503BE8" w:rsidRPr="00503BE8" w:rsidRDefault="00503BE8" w:rsidP="00F24FF9">
      <w:pPr>
        <w:pStyle w:val="OATbodystyle"/>
        <w:numPr>
          <w:ilvl w:val="2"/>
          <w:numId w:val="18"/>
        </w:numPr>
        <w:ind w:left="1134" w:hanging="708"/>
      </w:pPr>
      <w:r w:rsidRPr="00503BE8">
        <w:t>Losses on disposal of fixed assets must be treated as additional depreciation and included in the relevant account.</w:t>
      </w:r>
    </w:p>
    <w:p w14:paraId="55A1CF09" w14:textId="77777777" w:rsidR="00503BE8" w:rsidRDefault="00503BE8" w:rsidP="00F24FF9">
      <w:pPr>
        <w:pStyle w:val="OATbodystyle"/>
        <w:numPr>
          <w:ilvl w:val="2"/>
          <w:numId w:val="18"/>
        </w:numPr>
        <w:ind w:left="1134" w:hanging="708"/>
      </w:pPr>
      <w:r w:rsidRPr="00503BE8">
        <w:t xml:space="preserve">Lost or destroyed assets replaced by insurance proceeds should be removed from the balance sheet. Any profit or loss must be recognised in the income and expenditure account under ‘profit or loss on sale of fixed asset’. The replacement asset is </w:t>
      </w:r>
      <w:proofErr w:type="spellStart"/>
      <w:r w:rsidRPr="00503BE8">
        <w:t>capitalised</w:t>
      </w:r>
      <w:proofErr w:type="spellEnd"/>
      <w:r w:rsidRPr="00503BE8">
        <w:t xml:space="preserve"> at cost in the normal manner. </w:t>
      </w:r>
    </w:p>
    <w:p w14:paraId="3B9074CC" w14:textId="77777777" w:rsidR="00A20F50" w:rsidRPr="005D51A1" w:rsidRDefault="005D51A1" w:rsidP="005D51A1">
      <w:pPr>
        <w:pStyle w:val="OATheader"/>
        <w:numPr>
          <w:ilvl w:val="0"/>
          <w:numId w:val="18"/>
        </w:numPr>
        <w:rPr>
          <w:rFonts w:eastAsia="MS Mincho"/>
        </w:rPr>
      </w:pPr>
      <w:bookmarkStart w:id="26" w:name="_Toc94681129"/>
      <w:r w:rsidRPr="005D51A1">
        <w:rPr>
          <w:rFonts w:eastAsia="MS Mincho"/>
        </w:rPr>
        <w:t>Review assets for existence and impairment</w:t>
      </w:r>
      <w:bookmarkEnd w:id="26"/>
    </w:p>
    <w:p w14:paraId="2FDD787F" w14:textId="1F07AC1A" w:rsidR="00B00A01" w:rsidRDefault="001F7F83" w:rsidP="009C25B9">
      <w:pPr>
        <w:pStyle w:val="OATbodystyle"/>
        <w:numPr>
          <w:ilvl w:val="1"/>
          <w:numId w:val="18"/>
        </w:numPr>
        <w:spacing w:before="240"/>
        <w:ind w:left="426" w:hanging="426"/>
      </w:pPr>
      <w:r>
        <w:t xml:space="preserve">Assets should be reviewed on an annual basis to confirm their existence </w:t>
      </w:r>
      <w:proofErr w:type="gramStart"/>
      <w:r>
        <w:t>and also</w:t>
      </w:r>
      <w:proofErr w:type="gramEnd"/>
      <w:r>
        <w:t xml:space="preserve"> to check for any indicators of impairment</w:t>
      </w:r>
      <w:r w:rsidR="00F80309">
        <w:t>.</w:t>
      </w:r>
      <w:r w:rsidR="007349D7">
        <w:t xml:space="preserve">  Appendix </w:t>
      </w:r>
      <w:r w:rsidR="00CA1FC7">
        <w:t>B</w:t>
      </w:r>
      <w:r w:rsidR="007349D7">
        <w:t xml:space="preserve"> should </w:t>
      </w:r>
      <w:r w:rsidR="008F5866">
        <w:t xml:space="preserve">also </w:t>
      </w:r>
      <w:r w:rsidR="007349D7">
        <w:t xml:space="preserve">be used to report signs of impairment on the ICT </w:t>
      </w:r>
      <w:r w:rsidR="00641831">
        <w:t xml:space="preserve">asset inventory. </w:t>
      </w:r>
    </w:p>
    <w:p w14:paraId="5E64776D" w14:textId="77777777" w:rsidR="00F80309" w:rsidRDefault="0005503B" w:rsidP="003338EA">
      <w:pPr>
        <w:pStyle w:val="OATbodystyle"/>
        <w:numPr>
          <w:ilvl w:val="1"/>
          <w:numId w:val="18"/>
        </w:numPr>
        <w:ind w:left="426" w:hanging="426"/>
      </w:pPr>
      <w:r>
        <w:t xml:space="preserve">Where it is found that assets that have previously been </w:t>
      </w:r>
      <w:proofErr w:type="spellStart"/>
      <w:r>
        <w:t>capitali</w:t>
      </w:r>
      <w:r w:rsidR="000B750B">
        <w:t>s</w:t>
      </w:r>
      <w:r>
        <w:t>ed</w:t>
      </w:r>
      <w:proofErr w:type="spellEnd"/>
      <w:r>
        <w:t xml:space="preserve"> no longer exist, </w:t>
      </w:r>
      <w:r w:rsidR="00172B43">
        <w:t>head office</w:t>
      </w:r>
      <w:r>
        <w:t xml:space="preserve"> should be informed in the first instance so that the asset can be disposed of from the fixed asset register.</w:t>
      </w:r>
    </w:p>
    <w:p w14:paraId="4F4681E3" w14:textId="07E3245F" w:rsidR="001F7F83" w:rsidRDefault="00664ABC" w:rsidP="00396C37">
      <w:pPr>
        <w:pStyle w:val="OATbodystyle"/>
        <w:numPr>
          <w:ilvl w:val="1"/>
          <w:numId w:val="18"/>
        </w:numPr>
        <w:ind w:left="426" w:hanging="426"/>
      </w:pPr>
      <w:r>
        <w:t xml:space="preserve">If assets are impaired, so are damaged or have a part missing and are therefore not working to full capacity then the academy should inform head office and a potential impairment charge will be reflected in the financial statements. </w:t>
      </w:r>
    </w:p>
    <w:p w14:paraId="5EF1D3E1" w14:textId="698EB298" w:rsidR="00503BE8" w:rsidRPr="00B00A01" w:rsidRDefault="00503BE8" w:rsidP="00503BE8">
      <w:pPr>
        <w:pStyle w:val="OATheader"/>
        <w:numPr>
          <w:ilvl w:val="0"/>
          <w:numId w:val="18"/>
        </w:numPr>
        <w:rPr>
          <w:rFonts w:eastAsia="MS Mincho"/>
        </w:rPr>
      </w:pPr>
      <w:bookmarkStart w:id="27" w:name="_Toc94681130"/>
      <w:r w:rsidRPr="00B00A01">
        <w:rPr>
          <w:rFonts w:eastAsia="MS Mincho"/>
        </w:rPr>
        <w:lastRenderedPageBreak/>
        <w:t>Advanced payments and assets in construction</w:t>
      </w:r>
      <w:bookmarkEnd w:id="27"/>
    </w:p>
    <w:p w14:paraId="7E5A4696" w14:textId="77777777" w:rsidR="00503BE8" w:rsidRPr="00B00A01" w:rsidRDefault="00503BE8" w:rsidP="003338EA">
      <w:pPr>
        <w:pStyle w:val="OATbodystyle"/>
        <w:numPr>
          <w:ilvl w:val="1"/>
          <w:numId w:val="18"/>
        </w:numPr>
        <w:spacing w:before="240"/>
        <w:ind w:left="567" w:hanging="567"/>
      </w:pPr>
      <w:r w:rsidRPr="00B00A01">
        <w:t>Advance payments for fixed assets must be recorded at the time of payment. It should be reclassified to the appropriate fixed asset item once the goods or services have been supplied.</w:t>
      </w:r>
    </w:p>
    <w:p w14:paraId="6852DF40" w14:textId="77777777" w:rsidR="00503BE8" w:rsidRPr="00B00A01" w:rsidRDefault="00503BE8" w:rsidP="003338EA">
      <w:pPr>
        <w:pStyle w:val="OATbodystyle"/>
        <w:numPr>
          <w:ilvl w:val="1"/>
          <w:numId w:val="18"/>
        </w:numPr>
        <w:spacing w:before="240"/>
        <w:ind w:left="567" w:hanging="567"/>
      </w:pPr>
      <w:r w:rsidRPr="00B00A01">
        <w:t xml:space="preserve">Fixed assets which are incomplete by the balance sheet date, but for which costs have already been incurred, must be recognised as ‘assets-in-construction’. Once completed, the costs are reclassified to the appropriate fixed asset category. </w:t>
      </w:r>
    </w:p>
    <w:p w14:paraId="4E4B96B5" w14:textId="77777777" w:rsidR="00503BE8" w:rsidRPr="00B00A01" w:rsidRDefault="00503BE8" w:rsidP="00B00A01">
      <w:pPr>
        <w:pStyle w:val="OATheader"/>
        <w:numPr>
          <w:ilvl w:val="0"/>
          <w:numId w:val="18"/>
        </w:numPr>
        <w:rPr>
          <w:rFonts w:eastAsia="MS Mincho"/>
        </w:rPr>
      </w:pPr>
      <w:bookmarkStart w:id="28" w:name="_Monitoring_and_review"/>
      <w:bookmarkStart w:id="29" w:name="_Toc94681131"/>
      <w:bookmarkEnd w:id="28"/>
      <w:r w:rsidRPr="00B00A01">
        <w:rPr>
          <w:rFonts w:eastAsia="MS Mincho"/>
        </w:rPr>
        <w:t>Monitoring and review</w:t>
      </w:r>
      <w:bookmarkEnd w:id="29"/>
    </w:p>
    <w:p w14:paraId="44E16C47" w14:textId="77777777" w:rsidR="00503BE8" w:rsidRPr="00B00A01" w:rsidRDefault="00503BE8" w:rsidP="003338EA">
      <w:pPr>
        <w:pStyle w:val="OATbodystyle"/>
        <w:numPr>
          <w:ilvl w:val="1"/>
          <w:numId w:val="18"/>
        </w:numPr>
        <w:spacing w:before="240"/>
        <w:ind w:left="567" w:hanging="567"/>
      </w:pPr>
      <w:r w:rsidRPr="00B00A01">
        <w:t xml:space="preserve">The effectiveness of the Asset </w:t>
      </w:r>
      <w:r w:rsidR="00172B43">
        <w:t>Management</w:t>
      </w:r>
      <w:r w:rsidRPr="00B00A01">
        <w:t xml:space="preserve"> Policy is monitored by the Head of </w:t>
      </w:r>
      <w:r w:rsidR="005A4578">
        <w:t>Compliance and Reporting</w:t>
      </w:r>
    </w:p>
    <w:p w14:paraId="1703C76C" w14:textId="77777777" w:rsidR="00503BE8" w:rsidRPr="00172B43" w:rsidRDefault="00503BE8" w:rsidP="003338EA">
      <w:pPr>
        <w:pStyle w:val="OATbodystyle"/>
        <w:numPr>
          <w:ilvl w:val="1"/>
          <w:numId w:val="18"/>
        </w:numPr>
        <w:spacing w:before="240"/>
        <w:ind w:left="567" w:hanging="567"/>
        <w:sectPr w:rsidR="00503BE8" w:rsidRPr="00172B43" w:rsidSect="006E52B8">
          <w:footerReference w:type="default" r:id="rId14"/>
          <w:pgSz w:w="11906" w:h="16838"/>
          <w:pgMar w:top="1440" w:right="1440" w:bottom="1440" w:left="1440" w:header="564" w:footer="708" w:gutter="0"/>
          <w:cols w:space="708"/>
          <w:docGrid w:linePitch="360"/>
        </w:sectPr>
      </w:pPr>
      <w:r w:rsidRPr="00B00A01">
        <w:t xml:space="preserve">The policy is reviewed </w:t>
      </w:r>
      <w:r w:rsidR="005A1EEA">
        <w:t xml:space="preserve">annually. </w:t>
      </w:r>
    </w:p>
    <w:p w14:paraId="070635BB" w14:textId="77777777" w:rsidR="00486A31" w:rsidRPr="003338EA" w:rsidRDefault="00503BE8" w:rsidP="003338EA">
      <w:pPr>
        <w:pStyle w:val="OATheader"/>
        <w:rPr>
          <w:rFonts w:eastAsia="MS Mincho"/>
        </w:rPr>
      </w:pPr>
      <w:bookmarkStart w:id="30" w:name="_Toc94681132"/>
      <w:bookmarkStart w:id="31" w:name="annexa"/>
      <w:r w:rsidRPr="00503BE8">
        <w:rPr>
          <w:rFonts w:eastAsia="MS Mincho"/>
        </w:rPr>
        <w:lastRenderedPageBreak/>
        <w:t>Appendix A</w:t>
      </w:r>
      <w:bookmarkEnd w:id="30"/>
      <w:r w:rsidR="009F585A">
        <w:rPr>
          <w:rFonts w:eastAsia="MS Mincho"/>
        </w:rPr>
        <w:t xml:space="preserve"> </w:t>
      </w:r>
    </w:p>
    <w:p w14:paraId="144802F4" w14:textId="05086DA4" w:rsidR="00503BE8" w:rsidRDefault="00503BE8" w:rsidP="00C278DB">
      <w:pPr>
        <w:pStyle w:val="OATsubheader1"/>
      </w:pPr>
      <w:bookmarkStart w:id="32" w:name="_Toc94681133"/>
      <w:r w:rsidRPr="00503BE8">
        <w:t>Disposal of equipment form</w:t>
      </w:r>
      <w:bookmarkEnd w:id="32"/>
    </w:p>
    <w:p w14:paraId="2F62D2F1" w14:textId="77777777" w:rsidR="00BF15D7" w:rsidRDefault="00BF15D7" w:rsidP="00C278DB">
      <w:pPr>
        <w:pStyle w:val="OATsubheader1"/>
      </w:pPr>
    </w:p>
    <w:p w14:paraId="62E9D5D9" w14:textId="77777777" w:rsidR="00503BE8" w:rsidRPr="00503BE8" w:rsidRDefault="00503BE8" w:rsidP="00503BE8">
      <w:pPr>
        <w:rPr>
          <w:rFonts w:ascii="Gill Sans MT" w:eastAsia="MS Mincho" w:hAnsi="Gill Sans MT" w:cs="Times New Roman"/>
          <w:b/>
          <w:sz w:val="10"/>
          <w:lang w:val="en-US"/>
        </w:rPr>
      </w:pPr>
    </w:p>
    <w:tbl>
      <w:tblPr>
        <w:tblStyle w:val="TableGrid1"/>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61"/>
        <w:gridCol w:w="5670"/>
      </w:tblGrid>
      <w:tr w:rsidR="00503BE8" w:rsidRPr="00B50D7C" w14:paraId="19CBAF8C" w14:textId="77777777" w:rsidTr="00BF15D7">
        <w:trPr>
          <w:trHeight w:val="585"/>
          <w:jc w:val="center"/>
        </w:trPr>
        <w:tc>
          <w:tcPr>
            <w:tcW w:w="3261" w:type="dxa"/>
            <w:shd w:val="clear" w:color="auto" w:fill="FFFFFF"/>
            <w:vAlign w:val="center"/>
          </w:tcPr>
          <w:bookmarkEnd w:id="31"/>
          <w:p w14:paraId="3FBDDEC4" w14:textId="77777777" w:rsidR="00503BE8" w:rsidRPr="00C278DB" w:rsidRDefault="00503BE8" w:rsidP="00B50D7C">
            <w:pPr>
              <w:pStyle w:val="OATbodystyle"/>
              <w:rPr>
                <w:b/>
                <w:sz w:val="24"/>
                <w:szCs w:val="24"/>
              </w:rPr>
            </w:pPr>
            <w:r w:rsidRPr="00C278DB">
              <w:rPr>
                <w:sz w:val="24"/>
                <w:szCs w:val="24"/>
              </w:rPr>
              <w:t>Item to be disposed of:</w:t>
            </w:r>
          </w:p>
        </w:tc>
        <w:tc>
          <w:tcPr>
            <w:tcW w:w="5670" w:type="dxa"/>
            <w:shd w:val="clear" w:color="auto" w:fill="FFFFFF"/>
          </w:tcPr>
          <w:p w14:paraId="7217E57C" w14:textId="77777777" w:rsidR="00503BE8" w:rsidRPr="00C278DB" w:rsidRDefault="00503BE8" w:rsidP="00503BE8">
            <w:pPr>
              <w:pStyle w:val="OATbodystyle"/>
              <w:rPr>
                <w:b/>
                <w:sz w:val="24"/>
                <w:szCs w:val="24"/>
              </w:rPr>
            </w:pPr>
          </w:p>
        </w:tc>
      </w:tr>
      <w:tr w:rsidR="00503BE8" w:rsidRPr="00B50D7C" w14:paraId="137DF5B3" w14:textId="77777777" w:rsidTr="00BF15D7">
        <w:trPr>
          <w:trHeight w:val="500"/>
          <w:jc w:val="center"/>
        </w:trPr>
        <w:tc>
          <w:tcPr>
            <w:tcW w:w="3261" w:type="dxa"/>
            <w:vMerge w:val="restart"/>
            <w:vAlign w:val="center"/>
          </w:tcPr>
          <w:p w14:paraId="361A5E1C" w14:textId="77777777" w:rsidR="00503BE8" w:rsidRPr="00C278DB" w:rsidRDefault="00503BE8" w:rsidP="009F585A">
            <w:pPr>
              <w:pStyle w:val="OATbodystyle"/>
              <w:spacing w:before="240"/>
              <w:rPr>
                <w:sz w:val="24"/>
                <w:szCs w:val="24"/>
              </w:rPr>
            </w:pPr>
            <w:r w:rsidRPr="00C278DB">
              <w:rPr>
                <w:sz w:val="24"/>
                <w:szCs w:val="24"/>
              </w:rPr>
              <w:t>Reason for disposal (circle as appropriate):</w:t>
            </w:r>
          </w:p>
        </w:tc>
        <w:tc>
          <w:tcPr>
            <w:tcW w:w="5670" w:type="dxa"/>
            <w:vMerge w:val="restart"/>
            <w:vAlign w:val="center"/>
          </w:tcPr>
          <w:p w14:paraId="2C992041" w14:textId="77777777" w:rsidR="00503BE8" w:rsidRPr="00C278DB" w:rsidRDefault="00503BE8" w:rsidP="009F585A">
            <w:pPr>
              <w:pStyle w:val="OATbodystyle"/>
              <w:spacing w:before="240" w:line="240" w:lineRule="auto"/>
              <w:rPr>
                <w:sz w:val="24"/>
                <w:szCs w:val="24"/>
              </w:rPr>
            </w:pPr>
            <w:r w:rsidRPr="00C278DB">
              <w:rPr>
                <w:sz w:val="24"/>
                <w:szCs w:val="24"/>
              </w:rPr>
              <w:t>Broken</w:t>
            </w:r>
          </w:p>
          <w:p w14:paraId="09772D6A" w14:textId="77777777" w:rsidR="00503BE8" w:rsidRPr="00C278DB" w:rsidRDefault="00503BE8" w:rsidP="009F585A">
            <w:pPr>
              <w:pStyle w:val="OATbodystyle"/>
              <w:spacing w:before="240" w:line="240" w:lineRule="auto"/>
              <w:rPr>
                <w:sz w:val="24"/>
                <w:szCs w:val="24"/>
              </w:rPr>
            </w:pPr>
            <w:r w:rsidRPr="00C278DB">
              <w:rPr>
                <w:sz w:val="24"/>
                <w:szCs w:val="24"/>
              </w:rPr>
              <w:t>Surplus to requirements</w:t>
            </w:r>
          </w:p>
          <w:p w14:paraId="3C160025" w14:textId="77777777" w:rsidR="00503BE8" w:rsidRPr="00C278DB" w:rsidRDefault="00503BE8" w:rsidP="009F585A">
            <w:pPr>
              <w:pStyle w:val="OATbodystyle"/>
              <w:spacing w:before="240" w:line="240" w:lineRule="auto"/>
              <w:rPr>
                <w:sz w:val="24"/>
                <w:szCs w:val="24"/>
              </w:rPr>
            </w:pPr>
            <w:r w:rsidRPr="00C278DB">
              <w:rPr>
                <w:sz w:val="24"/>
                <w:szCs w:val="24"/>
              </w:rPr>
              <w:t>Irreparable</w:t>
            </w:r>
          </w:p>
          <w:p w14:paraId="33104D9B" w14:textId="77777777" w:rsidR="00503BE8" w:rsidRPr="00C278DB" w:rsidRDefault="00503BE8" w:rsidP="009F585A">
            <w:pPr>
              <w:pStyle w:val="OATbodystyle"/>
              <w:spacing w:before="240" w:line="240" w:lineRule="auto"/>
              <w:rPr>
                <w:sz w:val="24"/>
                <w:szCs w:val="24"/>
              </w:rPr>
            </w:pPr>
            <w:r w:rsidRPr="00C278DB">
              <w:rPr>
                <w:sz w:val="24"/>
                <w:szCs w:val="24"/>
              </w:rPr>
              <w:t>Obsolete</w:t>
            </w:r>
          </w:p>
        </w:tc>
      </w:tr>
      <w:tr w:rsidR="00503BE8" w:rsidRPr="00B50D7C" w14:paraId="47ED1DE0" w14:textId="77777777" w:rsidTr="00BF15D7">
        <w:trPr>
          <w:trHeight w:val="500"/>
          <w:jc w:val="center"/>
        </w:trPr>
        <w:tc>
          <w:tcPr>
            <w:tcW w:w="3261" w:type="dxa"/>
            <w:vMerge/>
            <w:vAlign w:val="center"/>
          </w:tcPr>
          <w:p w14:paraId="624784F4" w14:textId="77777777" w:rsidR="00503BE8" w:rsidRPr="00C278DB" w:rsidRDefault="00503BE8" w:rsidP="00503BE8">
            <w:pPr>
              <w:pStyle w:val="OATbodystyle"/>
              <w:rPr>
                <w:sz w:val="24"/>
                <w:szCs w:val="24"/>
              </w:rPr>
            </w:pPr>
          </w:p>
        </w:tc>
        <w:tc>
          <w:tcPr>
            <w:tcW w:w="5670" w:type="dxa"/>
            <w:vMerge/>
            <w:vAlign w:val="center"/>
          </w:tcPr>
          <w:p w14:paraId="6CC475EE" w14:textId="77777777" w:rsidR="00503BE8" w:rsidRPr="00C278DB" w:rsidRDefault="00503BE8" w:rsidP="00503BE8">
            <w:pPr>
              <w:pStyle w:val="OATbodystyle"/>
              <w:rPr>
                <w:b/>
                <w:sz w:val="24"/>
                <w:szCs w:val="24"/>
              </w:rPr>
            </w:pPr>
          </w:p>
        </w:tc>
      </w:tr>
      <w:tr w:rsidR="00503BE8" w:rsidRPr="00B50D7C" w14:paraId="0C76AAA8" w14:textId="77777777" w:rsidTr="00BF15D7">
        <w:trPr>
          <w:trHeight w:val="500"/>
          <w:jc w:val="center"/>
        </w:trPr>
        <w:tc>
          <w:tcPr>
            <w:tcW w:w="3261" w:type="dxa"/>
            <w:vMerge/>
            <w:vAlign w:val="center"/>
          </w:tcPr>
          <w:p w14:paraId="6EA0024C" w14:textId="77777777" w:rsidR="00503BE8" w:rsidRPr="00C278DB" w:rsidRDefault="00503BE8" w:rsidP="00503BE8">
            <w:pPr>
              <w:pStyle w:val="OATbodystyle"/>
              <w:rPr>
                <w:sz w:val="24"/>
                <w:szCs w:val="24"/>
              </w:rPr>
            </w:pPr>
          </w:p>
        </w:tc>
        <w:tc>
          <w:tcPr>
            <w:tcW w:w="5670" w:type="dxa"/>
            <w:vMerge/>
            <w:vAlign w:val="center"/>
          </w:tcPr>
          <w:p w14:paraId="0B851B58" w14:textId="77777777" w:rsidR="00503BE8" w:rsidRPr="00C278DB" w:rsidRDefault="00503BE8" w:rsidP="00503BE8">
            <w:pPr>
              <w:pStyle w:val="OATbodystyle"/>
              <w:rPr>
                <w:b/>
                <w:sz w:val="24"/>
                <w:szCs w:val="24"/>
              </w:rPr>
            </w:pPr>
          </w:p>
        </w:tc>
      </w:tr>
      <w:tr w:rsidR="00503BE8" w:rsidRPr="00B50D7C" w14:paraId="64DD32BD" w14:textId="77777777" w:rsidTr="00BF15D7">
        <w:trPr>
          <w:trHeight w:val="500"/>
          <w:jc w:val="center"/>
        </w:trPr>
        <w:tc>
          <w:tcPr>
            <w:tcW w:w="3261" w:type="dxa"/>
            <w:vMerge/>
            <w:vAlign w:val="center"/>
          </w:tcPr>
          <w:p w14:paraId="3F7D9E89" w14:textId="77777777" w:rsidR="00503BE8" w:rsidRPr="00C278DB" w:rsidRDefault="00503BE8" w:rsidP="00503BE8">
            <w:pPr>
              <w:pStyle w:val="OATbodystyle"/>
              <w:rPr>
                <w:sz w:val="24"/>
                <w:szCs w:val="24"/>
              </w:rPr>
            </w:pPr>
          </w:p>
        </w:tc>
        <w:tc>
          <w:tcPr>
            <w:tcW w:w="5670" w:type="dxa"/>
            <w:vMerge/>
            <w:vAlign w:val="center"/>
          </w:tcPr>
          <w:p w14:paraId="5137CDC0" w14:textId="77777777" w:rsidR="00503BE8" w:rsidRPr="00C278DB" w:rsidRDefault="00503BE8" w:rsidP="00503BE8">
            <w:pPr>
              <w:pStyle w:val="OATbodystyle"/>
              <w:rPr>
                <w:b/>
                <w:sz w:val="24"/>
                <w:szCs w:val="24"/>
              </w:rPr>
            </w:pPr>
          </w:p>
        </w:tc>
      </w:tr>
      <w:tr w:rsidR="00503BE8" w:rsidRPr="00B50D7C" w14:paraId="61330550" w14:textId="77777777" w:rsidTr="00BF15D7">
        <w:trPr>
          <w:trHeight w:val="397"/>
          <w:jc w:val="center"/>
        </w:trPr>
        <w:tc>
          <w:tcPr>
            <w:tcW w:w="3261" w:type="dxa"/>
            <w:vAlign w:val="center"/>
          </w:tcPr>
          <w:p w14:paraId="14F05D65" w14:textId="77777777" w:rsidR="00503BE8" w:rsidRPr="00C278DB" w:rsidRDefault="00503BE8" w:rsidP="00503BE8">
            <w:pPr>
              <w:pStyle w:val="OATbodystyle"/>
              <w:rPr>
                <w:color w:val="000000"/>
                <w:sz w:val="24"/>
                <w:szCs w:val="24"/>
              </w:rPr>
            </w:pPr>
            <w:r w:rsidRPr="00C278DB">
              <w:rPr>
                <w:color w:val="000000"/>
                <w:sz w:val="24"/>
                <w:szCs w:val="24"/>
              </w:rPr>
              <w:t>Residual value (if appropriate):</w:t>
            </w:r>
          </w:p>
        </w:tc>
        <w:tc>
          <w:tcPr>
            <w:tcW w:w="5670" w:type="dxa"/>
            <w:vAlign w:val="center"/>
          </w:tcPr>
          <w:p w14:paraId="643BB246" w14:textId="77777777" w:rsidR="00503BE8" w:rsidRPr="00C278DB" w:rsidRDefault="00503BE8" w:rsidP="00503BE8">
            <w:pPr>
              <w:pStyle w:val="OATbodystyle"/>
              <w:rPr>
                <w:b/>
                <w:sz w:val="24"/>
                <w:szCs w:val="24"/>
              </w:rPr>
            </w:pPr>
          </w:p>
        </w:tc>
      </w:tr>
      <w:tr w:rsidR="00503BE8" w:rsidRPr="00B50D7C" w14:paraId="298B68D4" w14:textId="77777777" w:rsidTr="00BF15D7">
        <w:trPr>
          <w:trHeight w:val="749"/>
          <w:jc w:val="center"/>
        </w:trPr>
        <w:tc>
          <w:tcPr>
            <w:tcW w:w="3261" w:type="dxa"/>
            <w:vAlign w:val="center"/>
          </w:tcPr>
          <w:p w14:paraId="7D5FBEC0" w14:textId="77777777" w:rsidR="00503BE8" w:rsidRPr="00C278DB" w:rsidRDefault="00503BE8" w:rsidP="00503BE8">
            <w:pPr>
              <w:pStyle w:val="OATbodystyle"/>
              <w:rPr>
                <w:color w:val="000000"/>
                <w:sz w:val="24"/>
                <w:szCs w:val="24"/>
              </w:rPr>
            </w:pPr>
            <w:r w:rsidRPr="00C278DB">
              <w:rPr>
                <w:color w:val="000000"/>
                <w:sz w:val="24"/>
                <w:szCs w:val="24"/>
              </w:rPr>
              <w:t>Action to be taken (circle as appropriate):</w:t>
            </w:r>
          </w:p>
        </w:tc>
        <w:tc>
          <w:tcPr>
            <w:tcW w:w="5670" w:type="dxa"/>
            <w:vAlign w:val="center"/>
          </w:tcPr>
          <w:p w14:paraId="5D25D325" w14:textId="77777777" w:rsidR="00503BE8" w:rsidRPr="00C278DB" w:rsidRDefault="00503BE8" w:rsidP="00503BE8">
            <w:pPr>
              <w:pStyle w:val="OATbodystyle"/>
              <w:rPr>
                <w:sz w:val="24"/>
                <w:szCs w:val="24"/>
              </w:rPr>
            </w:pPr>
            <w:r w:rsidRPr="00C278DB">
              <w:rPr>
                <w:sz w:val="24"/>
                <w:szCs w:val="24"/>
              </w:rPr>
              <w:t>Disposal</w:t>
            </w:r>
          </w:p>
          <w:p w14:paraId="0F2214FA" w14:textId="77777777" w:rsidR="00503BE8" w:rsidRPr="00C278DB" w:rsidRDefault="00503BE8" w:rsidP="00503BE8">
            <w:pPr>
              <w:pStyle w:val="OATbodystyle"/>
              <w:rPr>
                <w:sz w:val="24"/>
                <w:szCs w:val="24"/>
              </w:rPr>
            </w:pPr>
            <w:r w:rsidRPr="00C278DB">
              <w:rPr>
                <w:sz w:val="24"/>
                <w:szCs w:val="24"/>
              </w:rPr>
              <w:t>Sale</w:t>
            </w:r>
          </w:p>
        </w:tc>
      </w:tr>
      <w:tr w:rsidR="00503BE8" w:rsidRPr="00B50D7C" w14:paraId="1BF2E449" w14:textId="77777777" w:rsidTr="00BF15D7">
        <w:trPr>
          <w:trHeight w:val="397"/>
          <w:jc w:val="center"/>
        </w:trPr>
        <w:tc>
          <w:tcPr>
            <w:tcW w:w="3261" w:type="dxa"/>
            <w:vAlign w:val="center"/>
          </w:tcPr>
          <w:p w14:paraId="644154B8" w14:textId="77777777" w:rsidR="00503BE8" w:rsidRPr="00C278DB" w:rsidRDefault="00503BE8" w:rsidP="00503BE8">
            <w:pPr>
              <w:pStyle w:val="OATbodystyle"/>
              <w:rPr>
                <w:color w:val="000000"/>
                <w:sz w:val="24"/>
                <w:szCs w:val="24"/>
              </w:rPr>
            </w:pPr>
            <w:r w:rsidRPr="00C278DB">
              <w:rPr>
                <w:color w:val="000000"/>
                <w:sz w:val="24"/>
                <w:szCs w:val="24"/>
              </w:rPr>
              <w:t>By whom:</w:t>
            </w:r>
          </w:p>
        </w:tc>
        <w:tc>
          <w:tcPr>
            <w:tcW w:w="5670" w:type="dxa"/>
          </w:tcPr>
          <w:p w14:paraId="395C1087" w14:textId="77777777" w:rsidR="00503BE8" w:rsidRPr="00C278DB" w:rsidRDefault="00503BE8" w:rsidP="00503BE8">
            <w:pPr>
              <w:pStyle w:val="OATbodystyle"/>
              <w:rPr>
                <w:b/>
                <w:sz w:val="24"/>
                <w:szCs w:val="24"/>
              </w:rPr>
            </w:pPr>
          </w:p>
        </w:tc>
      </w:tr>
      <w:tr w:rsidR="00503BE8" w:rsidRPr="00B50D7C" w14:paraId="489FC264" w14:textId="77777777" w:rsidTr="00BF15D7">
        <w:trPr>
          <w:trHeight w:val="397"/>
          <w:jc w:val="center"/>
        </w:trPr>
        <w:tc>
          <w:tcPr>
            <w:tcW w:w="3261" w:type="dxa"/>
            <w:vAlign w:val="center"/>
          </w:tcPr>
          <w:p w14:paraId="502C84CF" w14:textId="77777777" w:rsidR="00503BE8" w:rsidRPr="00C278DB" w:rsidRDefault="00503BE8" w:rsidP="00503BE8">
            <w:pPr>
              <w:pStyle w:val="OATbodystyle"/>
              <w:rPr>
                <w:color w:val="000000"/>
                <w:sz w:val="24"/>
                <w:szCs w:val="24"/>
              </w:rPr>
            </w:pPr>
            <w:r w:rsidRPr="00C278DB">
              <w:rPr>
                <w:color w:val="000000"/>
                <w:sz w:val="24"/>
                <w:szCs w:val="24"/>
              </w:rPr>
              <w:t>Signed:</w:t>
            </w:r>
          </w:p>
        </w:tc>
        <w:tc>
          <w:tcPr>
            <w:tcW w:w="5670" w:type="dxa"/>
          </w:tcPr>
          <w:p w14:paraId="56EFCD31" w14:textId="77777777" w:rsidR="00503BE8" w:rsidRPr="00C278DB" w:rsidRDefault="00503BE8" w:rsidP="00503BE8">
            <w:pPr>
              <w:pStyle w:val="OATbodystyle"/>
              <w:rPr>
                <w:b/>
                <w:sz w:val="24"/>
                <w:szCs w:val="24"/>
              </w:rPr>
            </w:pPr>
          </w:p>
        </w:tc>
      </w:tr>
      <w:tr w:rsidR="00503BE8" w:rsidRPr="00B50D7C" w14:paraId="69470114" w14:textId="77777777" w:rsidTr="00BF15D7">
        <w:trPr>
          <w:trHeight w:val="397"/>
          <w:jc w:val="center"/>
        </w:trPr>
        <w:tc>
          <w:tcPr>
            <w:tcW w:w="3261" w:type="dxa"/>
            <w:vAlign w:val="center"/>
          </w:tcPr>
          <w:p w14:paraId="33F15E41" w14:textId="77777777" w:rsidR="00503BE8" w:rsidRPr="00C278DB" w:rsidRDefault="00503BE8" w:rsidP="00503BE8">
            <w:pPr>
              <w:pStyle w:val="OATbodystyle"/>
              <w:rPr>
                <w:color w:val="000000"/>
                <w:sz w:val="24"/>
                <w:szCs w:val="24"/>
              </w:rPr>
            </w:pPr>
            <w:r w:rsidRPr="00C278DB">
              <w:rPr>
                <w:color w:val="000000"/>
                <w:sz w:val="24"/>
                <w:szCs w:val="24"/>
              </w:rPr>
              <w:t>Date:</w:t>
            </w:r>
          </w:p>
        </w:tc>
        <w:tc>
          <w:tcPr>
            <w:tcW w:w="5670" w:type="dxa"/>
          </w:tcPr>
          <w:p w14:paraId="4DB9BAFB" w14:textId="77777777" w:rsidR="00503BE8" w:rsidRPr="00C278DB" w:rsidRDefault="00503BE8" w:rsidP="00503BE8">
            <w:pPr>
              <w:pStyle w:val="OATbodystyle"/>
              <w:rPr>
                <w:b/>
                <w:sz w:val="24"/>
                <w:szCs w:val="24"/>
              </w:rPr>
            </w:pPr>
          </w:p>
        </w:tc>
      </w:tr>
    </w:tbl>
    <w:p w14:paraId="64014A8F" w14:textId="77777777" w:rsidR="00503BE8" w:rsidRPr="00B50D7C" w:rsidRDefault="00503BE8" w:rsidP="00503BE8">
      <w:pPr>
        <w:rPr>
          <w:rFonts w:ascii="Gill Sans MT" w:eastAsia="MS Mincho" w:hAnsi="Gill Sans MT" w:cs="Times New Roman"/>
          <w:b/>
          <w:sz w:val="20"/>
          <w:szCs w:val="20"/>
          <w:lang w:val="en-US"/>
        </w:rPr>
      </w:pPr>
    </w:p>
    <w:bookmarkEnd w:id="5"/>
    <w:p w14:paraId="2096382D" w14:textId="77777777" w:rsidR="003C3700" w:rsidRDefault="003C3700" w:rsidP="009400FD">
      <w:pPr>
        <w:pStyle w:val="OATbodystyle"/>
        <w:rPr>
          <w:b/>
          <w:bCs/>
        </w:rPr>
      </w:pPr>
      <w:r>
        <w:rPr>
          <w:b/>
          <w:bCs/>
        </w:rPr>
        <w:br w:type="page"/>
      </w:r>
    </w:p>
    <w:p w14:paraId="3DF5E339" w14:textId="77777777" w:rsidR="00503BE8" w:rsidRPr="003338EA" w:rsidRDefault="00503BE8" w:rsidP="003338EA">
      <w:pPr>
        <w:pStyle w:val="OATbodystyle"/>
        <w:rPr>
          <w:color w:val="00B0F0"/>
          <w:sz w:val="24"/>
          <w:szCs w:val="24"/>
        </w:rPr>
      </w:pPr>
      <w:r w:rsidRPr="003338EA">
        <w:rPr>
          <w:color w:val="00B0F0"/>
          <w:sz w:val="24"/>
          <w:szCs w:val="24"/>
        </w:rPr>
        <w:lastRenderedPageBreak/>
        <w:t>Office use only</w:t>
      </w:r>
    </w:p>
    <w:tbl>
      <w:tblPr>
        <w:tblStyle w:val="TableGrid1"/>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56"/>
        <w:gridCol w:w="5670"/>
      </w:tblGrid>
      <w:tr w:rsidR="00503BE8" w:rsidRPr="00B50D7C" w14:paraId="2C9E3976" w14:textId="77777777" w:rsidTr="00BF15D7">
        <w:trPr>
          <w:trHeight w:val="567"/>
          <w:jc w:val="center"/>
        </w:trPr>
        <w:tc>
          <w:tcPr>
            <w:tcW w:w="3256" w:type="dxa"/>
            <w:vAlign w:val="center"/>
          </w:tcPr>
          <w:p w14:paraId="1D1AE97C" w14:textId="77777777" w:rsidR="00503BE8" w:rsidRPr="00B50D7C" w:rsidRDefault="00503BE8" w:rsidP="00503BE8">
            <w:pPr>
              <w:pStyle w:val="OATbodystyle"/>
            </w:pPr>
            <w:r w:rsidRPr="00B50D7C">
              <w:t>Value obtained for item:</w:t>
            </w:r>
          </w:p>
        </w:tc>
        <w:tc>
          <w:tcPr>
            <w:tcW w:w="5670" w:type="dxa"/>
            <w:vAlign w:val="center"/>
          </w:tcPr>
          <w:p w14:paraId="2C7C037A" w14:textId="77777777" w:rsidR="00503BE8" w:rsidRPr="00B50D7C" w:rsidRDefault="00503BE8" w:rsidP="00503BE8">
            <w:pPr>
              <w:pStyle w:val="OATbodystyle"/>
            </w:pPr>
          </w:p>
        </w:tc>
      </w:tr>
      <w:tr w:rsidR="00503BE8" w:rsidRPr="00B50D7C" w14:paraId="67E8A236" w14:textId="77777777" w:rsidTr="00BF15D7">
        <w:trPr>
          <w:trHeight w:val="567"/>
          <w:jc w:val="center"/>
        </w:trPr>
        <w:tc>
          <w:tcPr>
            <w:tcW w:w="3256" w:type="dxa"/>
            <w:vAlign w:val="center"/>
          </w:tcPr>
          <w:p w14:paraId="4D0F2B0C" w14:textId="77777777" w:rsidR="00503BE8" w:rsidRPr="00B50D7C" w:rsidRDefault="00503BE8" w:rsidP="00503BE8">
            <w:pPr>
              <w:pStyle w:val="OATbodystyle"/>
            </w:pPr>
            <w:r w:rsidRPr="00B50D7C">
              <w:t>Ledger code:</w:t>
            </w:r>
          </w:p>
        </w:tc>
        <w:tc>
          <w:tcPr>
            <w:tcW w:w="5670" w:type="dxa"/>
            <w:vAlign w:val="center"/>
          </w:tcPr>
          <w:p w14:paraId="59F35AA0" w14:textId="77777777" w:rsidR="00503BE8" w:rsidRPr="00B50D7C" w:rsidRDefault="00503BE8" w:rsidP="00503BE8">
            <w:pPr>
              <w:pStyle w:val="OATbodystyle"/>
            </w:pPr>
          </w:p>
        </w:tc>
      </w:tr>
      <w:tr w:rsidR="00503BE8" w:rsidRPr="00B50D7C" w14:paraId="6057EDDE" w14:textId="77777777" w:rsidTr="00BF15D7">
        <w:trPr>
          <w:trHeight w:val="567"/>
          <w:jc w:val="center"/>
        </w:trPr>
        <w:tc>
          <w:tcPr>
            <w:tcW w:w="3256" w:type="dxa"/>
            <w:vAlign w:val="center"/>
          </w:tcPr>
          <w:p w14:paraId="62A3D5A5" w14:textId="77777777" w:rsidR="00503BE8" w:rsidRPr="00B50D7C" w:rsidRDefault="00503BE8" w:rsidP="00503BE8">
            <w:pPr>
              <w:pStyle w:val="OATbodystyle"/>
            </w:pPr>
            <w:r w:rsidRPr="00B50D7C">
              <w:t>Fund:</w:t>
            </w:r>
          </w:p>
        </w:tc>
        <w:tc>
          <w:tcPr>
            <w:tcW w:w="5670" w:type="dxa"/>
            <w:vAlign w:val="center"/>
          </w:tcPr>
          <w:p w14:paraId="42480796" w14:textId="77777777" w:rsidR="00503BE8" w:rsidRPr="00B50D7C" w:rsidRDefault="00503BE8" w:rsidP="00503BE8">
            <w:pPr>
              <w:pStyle w:val="OATbodystyle"/>
            </w:pPr>
          </w:p>
        </w:tc>
      </w:tr>
      <w:tr w:rsidR="00503BE8" w:rsidRPr="00B50D7C" w14:paraId="6D42C798" w14:textId="77777777" w:rsidTr="00BF15D7">
        <w:trPr>
          <w:trHeight w:val="567"/>
          <w:jc w:val="center"/>
        </w:trPr>
        <w:tc>
          <w:tcPr>
            <w:tcW w:w="3256" w:type="dxa"/>
            <w:vAlign w:val="center"/>
          </w:tcPr>
          <w:p w14:paraId="284D3877" w14:textId="77777777" w:rsidR="00503BE8" w:rsidRPr="00B50D7C" w:rsidRDefault="00503BE8" w:rsidP="00503BE8">
            <w:pPr>
              <w:pStyle w:val="OATbodystyle"/>
            </w:pPr>
            <w:r w:rsidRPr="00B50D7C">
              <w:t>Original cost:</w:t>
            </w:r>
          </w:p>
        </w:tc>
        <w:tc>
          <w:tcPr>
            <w:tcW w:w="5670" w:type="dxa"/>
            <w:vAlign w:val="center"/>
          </w:tcPr>
          <w:p w14:paraId="357BE667" w14:textId="77777777" w:rsidR="00503BE8" w:rsidRPr="00B50D7C" w:rsidRDefault="00503BE8" w:rsidP="00503BE8">
            <w:pPr>
              <w:pStyle w:val="OATbodystyle"/>
            </w:pPr>
          </w:p>
        </w:tc>
      </w:tr>
      <w:tr w:rsidR="00503BE8" w:rsidRPr="00B50D7C" w14:paraId="02C26563" w14:textId="77777777" w:rsidTr="00BF15D7">
        <w:trPr>
          <w:trHeight w:val="567"/>
          <w:jc w:val="center"/>
        </w:trPr>
        <w:tc>
          <w:tcPr>
            <w:tcW w:w="3256" w:type="dxa"/>
            <w:vAlign w:val="center"/>
          </w:tcPr>
          <w:p w14:paraId="35F00BAE" w14:textId="77777777" w:rsidR="00503BE8" w:rsidRPr="00B50D7C" w:rsidRDefault="00503BE8" w:rsidP="00503BE8">
            <w:pPr>
              <w:pStyle w:val="OATbodystyle"/>
            </w:pPr>
            <w:r w:rsidRPr="00B50D7C">
              <w:t>Accumulated depreciation:</w:t>
            </w:r>
          </w:p>
        </w:tc>
        <w:tc>
          <w:tcPr>
            <w:tcW w:w="5670" w:type="dxa"/>
            <w:vAlign w:val="center"/>
          </w:tcPr>
          <w:p w14:paraId="54FCD69F" w14:textId="77777777" w:rsidR="00503BE8" w:rsidRPr="00B50D7C" w:rsidRDefault="00503BE8" w:rsidP="00503BE8">
            <w:pPr>
              <w:pStyle w:val="OATbodystyle"/>
            </w:pPr>
          </w:p>
        </w:tc>
      </w:tr>
      <w:tr w:rsidR="00503BE8" w:rsidRPr="00B50D7C" w14:paraId="1E39BBDC" w14:textId="77777777" w:rsidTr="00BF15D7">
        <w:trPr>
          <w:trHeight w:val="567"/>
          <w:jc w:val="center"/>
        </w:trPr>
        <w:tc>
          <w:tcPr>
            <w:tcW w:w="3256" w:type="dxa"/>
            <w:vAlign w:val="center"/>
          </w:tcPr>
          <w:p w14:paraId="76B82F59" w14:textId="77777777" w:rsidR="00503BE8" w:rsidRPr="00B50D7C" w:rsidRDefault="00503BE8" w:rsidP="00503BE8">
            <w:pPr>
              <w:pStyle w:val="OATbodystyle"/>
            </w:pPr>
            <w:r w:rsidRPr="00B50D7C">
              <w:t>Carrying amount:</w:t>
            </w:r>
          </w:p>
        </w:tc>
        <w:tc>
          <w:tcPr>
            <w:tcW w:w="5670" w:type="dxa"/>
            <w:vAlign w:val="center"/>
          </w:tcPr>
          <w:p w14:paraId="12FD65DE" w14:textId="77777777" w:rsidR="00503BE8" w:rsidRPr="00B50D7C" w:rsidRDefault="00503BE8" w:rsidP="00503BE8">
            <w:pPr>
              <w:pStyle w:val="OATbodystyle"/>
            </w:pPr>
          </w:p>
        </w:tc>
      </w:tr>
      <w:tr w:rsidR="00503BE8" w:rsidRPr="00B50D7C" w14:paraId="1754DBEB" w14:textId="77777777" w:rsidTr="00BF15D7">
        <w:trPr>
          <w:trHeight w:val="567"/>
          <w:jc w:val="center"/>
        </w:trPr>
        <w:tc>
          <w:tcPr>
            <w:tcW w:w="3256" w:type="dxa"/>
            <w:vAlign w:val="center"/>
          </w:tcPr>
          <w:p w14:paraId="27E8A1F8" w14:textId="77777777" w:rsidR="00503BE8" w:rsidRPr="00B50D7C" w:rsidRDefault="00503BE8" w:rsidP="00503BE8">
            <w:pPr>
              <w:pStyle w:val="OATbodystyle"/>
            </w:pPr>
            <w:r w:rsidRPr="00B50D7C">
              <w:t>Grant received for original purchase (delete as appropriate):</w:t>
            </w:r>
          </w:p>
        </w:tc>
        <w:tc>
          <w:tcPr>
            <w:tcW w:w="5670" w:type="dxa"/>
            <w:vAlign w:val="center"/>
          </w:tcPr>
          <w:p w14:paraId="229A5FAB" w14:textId="77777777" w:rsidR="00503BE8" w:rsidRPr="00B50D7C" w:rsidRDefault="00503BE8" w:rsidP="00503BE8">
            <w:pPr>
              <w:pStyle w:val="OATbodystyle"/>
            </w:pPr>
            <w:r w:rsidRPr="00B50D7C">
              <w:t>Yes/No</w:t>
            </w:r>
          </w:p>
        </w:tc>
      </w:tr>
      <w:tr w:rsidR="00503BE8" w:rsidRPr="00B50D7C" w14:paraId="08C232FD" w14:textId="77777777" w:rsidTr="00BF15D7">
        <w:trPr>
          <w:trHeight w:val="567"/>
          <w:jc w:val="center"/>
        </w:trPr>
        <w:tc>
          <w:tcPr>
            <w:tcW w:w="3256" w:type="dxa"/>
            <w:vAlign w:val="center"/>
          </w:tcPr>
          <w:p w14:paraId="2D859413" w14:textId="77777777" w:rsidR="00503BE8" w:rsidRPr="00B50D7C" w:rsidRDefault="00503BE8" w:rsidP="00503BE8">
            <w:pPr>
              <w:pStyle w:val="OATbodystyle"/>
            </w:pPr>
            <w:r w:rsidRPr="00B50D7C">
              <w:t>Reinvested grant (if applicable):</w:t>
            </w:r>
          </w:p>
        </w:tc>
        <w:tc>
          <w:tcPr>
            <w:tcW w:w="5670" w:type="dxa"/>
            <w:vAlign w:val="center"/>
          </w:tcPr>
          <w:p w14:paraId="788E5E3D" w14:textId="77777777" w:rsidR="00503BE8" w:rsidRPr="00B50D7C" w:rsidRDefault="00503BE8" w:rsidP="00503BE8">
            <w:pPr>
              <w:pStyle w:val="OATbodystyle"/>
            </w:pPr>
          </w:p>
        </w:tc>
      </w:tr>
      <w:tr w:rsidR="00503BE8" w:rsidRPr="00B50D7C" w14:paraId="5BFD020B" w14:textId="77777777" w:rsidTr="00BF15D7">
        <w:trPr>
          <w:trHeight w:val="567"/>
          <w:jc w:val="center"/>
        </w:trPr>
        <w:tc>
          <w:tcPr>
            <w:tcW w:w="3256" w:type="dxa"/>
            <w:vAlign w:val="center"/>
          </w:tcPr>
          <w:p w14:paraId="1D2ACBE2" w14:textId="77777777" w:rsidR="00503BE8" w:rsidRPr="00B50D7C" w:rsidRDefault="00503BE8" w:rsidP="00503BE8">
            <w:pPr>
              <w:pStyle w:val="OATbodystyle"/>
            </w:pPr>
            <w:r w:rsidRPr="00B50D7C">
              <w:t>Repayment to Secretary of State:</w:t>
            </w:r>
          </w:p>
        </w:tc>
        <w:tc>
          <w:tcPr>
            <w:tcW w:w="5670" w:type="dxa"/>
            <w:vAlign w:val="center"/>
          </w:tcPr>
          <w:p w14:paraId="0DDC6AE1" w14:textId="77777777" w:rsidR="00503BE8" w:rsidRPr="00B50D7C" w:rsidRDefault="00503BE8" w:rsidP="00503BE8">
            <w:pPr>
              <w:pStyle w:val="OATbodystyle"/>
            </w:pPr>
          </w:p>
        </w:tc>
      </w:tr>
      <w:tr w:rsidR="00503BE8" w:rsidRPr="00B50D7C" w14:paraId="68A4EE0B" w14:textId="77777777" w:rsidTr="00BF15D7">
        <w:trPr>
          <w:trHeight w:val="567"/>
          <w:jc w:val="center"/>
        </w:trPr>
        <w:tc>
          <w:tcPr>
            <w:tcW w:w="3256" w:type="dxa"/>
            <w:vAlign w:val="center"/>
          </w:tcPr>
          <w:p w14:paraId="144444B4" w14:textId="77777777" w:rsidR="00503BE8" w:rsidRPr="00B50D7C" w:rsidRDefault="00503BE8" w:rsidP="00503BE8">
            <w:pPr>
              <w:pStyle w:val="OATbodystyle"/>
            </w:pPr>
            <w:r w:rsidRPr="00B50D7C">
              <w:t>Value repaid:</w:t>
            </w:r>
          </w:p>
        </w:tc>
        <w:tc>
          <w:tcPr>
            <w:tcW w:w="5670" w:type="dxa"/>
            <w:vAlign w:val="center"/>
          </w:tcPr>
          <w:p w14:paraId="1A0C65AA" w14:textId="77777777" w:rsidR="00503BE8" w:rsidRPr="00B50D7C" w:rsidRDefault="00503BE8" w:rsidP="00503BE8">
            <w:pPr>
              <w:pStyle w:val="OATbodystyle"/>
            </w:pPr>
          </w:p>
        </w:tc>
      </w:tr>
      <w:tr w:rsidR="00503BE8" w:rsidRPr="00B50D7C" w14:paraId="625E8D8E" w14:textId="77777777" w:rsidTr="00BF15D7">
        <w:trPr>
          <w:trHeight w:val="567"/>
          <w:jc w:val="center"/>
        </w:trPr>
        <w:tc>
          <w:tcPr>
            <w:tcW w:w="3256" w:type="dxa"/>
            <w:vAlign w:val="center"/>
          </w:tcPr>
          <w:p w14:paraId="1A4CFA2F" w14:textId="77777777" w:rsidR="00503BE8" w:rsidRPr="00B50D7C" w:rsidRDefault="00503BE8" w:rsidP="00503BE8">
            <w:pPr>
              <w:pStyle w:val="OATbodystyle"/>
            </w:pPr>
            <w:r w:rsidRPr="00B50D7C">
              <w:t>Removed from fixed asset register</w:t>
            </w:r>
            <w:r w:rsidR="00B50D7C" w:rsidRPr="00B50D7C">
              <w:t xml:space="preserve"> </w:t>
            </w:r>
            <w:r w:rsidRPr="00B50D7C">
              <w:t>(delete as appropriate):</w:t>
            </w:r>
          </w:p>
        </w:tc>
        <w:tc>
          <w:tcPr>
            <w:tcW w:w="5670" w:type="dxa"/>
            <w:vAlign w:val="center"/>
          </w:tcPr>
          <w:p w14:paraId="16269CEA" w14:textId="77777777" w:rsidR="00503BE8" w:rsidRPr="00B50D7C" w:rsidRDefault="00503BE8" w:rsidP="00503BE8">
            <w:pPr>
              <w:pStyle w:val="OATbodystyle"/>
            </w:pPr>
            <w:r w:rsidRPr="00B50D7C">
              <w:t>Yes/No</w:t>
            </w:r>
          </w:p>
        </w:tc>
      </w:tr>
      <w:tr w:rsidR="00503BE8" w:rsidRPr="00B50D7C" w14:paraId="0FC3DCB3" w14:textId="77777777" w:rsidTr="00BF15D7">
        <w:trPr>
          <w:trHeight w:val="567"/>
          <w:jc w:val="center"/>
        </w:trPr>
        <w:tc>
          <w:tcPr>
            <w:tcW w:w="3256" w:type="dxa"/>
            <w:vAlign w:val="center"/>
          </w:tcPr>
          <w:p w14:paraId="6069648A" w14:textId="77777777" w:rsidR="00503BE8" w:rsidRPr="00B50D7C" w:rsidRDefault="00503BE8" w:rsidP="00503BE8">
            <w:pPr>
              <w:pStyle w:val="OATbodystyle"/>
            </w:pPr>
            <w:r w:rsidRPr="00B50D7C">
              <w:t>Removal date:</w:t>
            </w:r>
          </w:p>
        </w:tc>
        <w:tc>
          <w:tcPr>
            <w:tcW w:w="5670" w:type="dxa"/>
            <w:vAlign w:val="center"/>
          </w:tcPr>
          <w:p w14:paraId="4642E7CF" w14:textId="77777777" w:rsidR="00503BE8" w:rsidRPr="00B50D7C" w:rsidRDefault="00503BE8" w:rsidP="00503BE8">
            <w:pPr>
              <w:pStyle w:val="OATbodystyle"/>
            </w:pPr>
          </w:p>
        </w:tc>
      </w:tr>
    </w:tbl>
    <w:p w14:paraId="74AA8F7F" w14:textId="77777777" w:rsidR="00121422" w:rsidRPr="00566B99" w:rsidRDefault="00121422" w:rsidP="00BD1D62">
      <w:pPr>
        <w:pStyle w:val="OATbodystyle"/>
      </w:pPr>
    </w:p>
    <w:sectPr w:rsidR="00121422" w:rsidRPr="00566B99" w:rsidSect="006E52B8">
      <w:footerReference w:type="default" r:id="rId15"/>
      <w:pgSz w:w="11900" w:h="16840"/>
      <w:pgMar w:top="1134"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EAB6" w14:textId="77777777" w:rsidR="009C7B14" w:rsidRDefault="009C7B14" w:rsidP="00DE543D">
      <w:r>
        <w:separator/>
      </w:r>
    </w:p>
  </w:endnote>
  <w:endnote w:type="continuationSeparator" w:id="0">
    <w:p w14:paraId="21C2F9C8" w14:textId="77777777" w:rsidR="009C7B14" w:rsidRDefault="009C7B14" w:rsidP="00DE543D">
      <w:r>
        <w:continuationSeparator/>
      </w:r>
    </w:p>
  </w:endnote>
  <w:endnote w:type="continuationNotice" w:id="1">
    <w:p w14:paraId="0AA5DFC9" w14:textId="77777777" w:rsidR="009C7B14" w:rsidRDefault="009C7B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Gill Sans">
    <w:altName w:val="Arial"/>
    <w:charset w:val="00"/>
    <w:family w:val="auto"/>
    <w:pitch w:val="variable"/>
    <w:sig w:usb0="800002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941184"/>
      <w:docPartObj>
        <w:docPartGallery w:val="Page Numbers (Bottom of Page)"/>
        <w:docPartUnique/>
      </w:docPartObj>
    </w:sdtPr>
    <w:sdtEndPr>
      <w:rPr>
        <w:rFonts w:ascii="Arial" w:hAnsi="Arial" w:cs="Arial"/>
        <w:noProof/>
        <w:sz w:val="20"/>
        <w:szCs w:val="20"/>
      </w:rPr>
    </w:sdtEndPr>
    <w:sdtContent>
      <w:p w14:paraId="3C78B5BC" w14:textId="77777777" w:rsidR="003338EA" w:rsidRPr="003338EA" w:rsidRDefault="003338EA">
        <w:pPr>
          <w:pStyle w:val="Footer"/>
          <w:jc w:val="center"/>
          <w:rPr>
            <w:rFonts w:ascii="Arial" w:hAnsi="Arial" w:cs="Arial"/>
            <w:sz w:val="20"/>
            <w:szCs w:val="20"/>
          </w:rPr>
        </w:pPr>
        <w:r w:rsidRPr="003338EA">
          <w:rPr>
            <w:rFonts w:ascii="Arial" w:hAnsi="Arial" w:cs="Arial"/>
            <w:sz w:val="20"/>
            <w:szCs w:val="20"/>
          </w:rPr>
          <w:t xml:space="preserve">Asset </w:t>
        </w:r>
        <w:r>
          <w:rPr>
            <w:rFonts w:ascii="Arial" w:hAnsi="Arial" w:cs="Arial"/>
            <w:sz w:val="20"/>
            <w:szCs w:val="20"/>
          </w:rPr>
          <w:t>M</w:t>
        </w:r>
        <w:r w:rsidRPr="003338EA">
          <w:rPr>
            <w:rFonts w:ascii="Arial" w:hAnsi="Arial" w:cs="Arial"/>
            <w:sz w:val="20"/>
            <w:szCs w:val="20"/>
          </w:rPr>
          <w:t>anagement</w:t>
        </w:r>
        <w:r>
          <w:rPr>
            <w:rFonts w:ascii="Arial" w:hAnsi="Arial" w:cs="Arial"/>
            <w:sz w:val="20"/>
            <w:szCs w:val="20"/>
          </w:rPr>
          <w:t xml:space="preserve"> policy</w:t>
        </w:r>
        <w:r>
          <w:rPr>
            <w:rFonts w:ascii="Arial" w:hAnsi="Arial" w:cs="Arial"/>
            <w:sz w:val="20"/>
            <w:szCs w:val="20"/>
          </w:rPr>
          <w:tab/>
        </w:r>
        <w:r>
          <w:rPr>
            <w:rFonts w:ascii="Arial" w:hAnsi="Arial" w:cs="Arial"/>
            <w:sz w:val="20"/>
            <w:szCs w:val="20"/>
          </w:rPr>
          <w:tab/>
        </w:r>
        <w:r w:rsidRPr="003338EA">
          <w:rPr>
            <w:rFonts w:ascii="Arial" w:hAnsi="Arial" w:cs="Arial"/>
            <w:sz w:val="20"/>
            <w:szCs w:val="20"/>
          </w:rPr>
          <w:fldChar w:fldCharType="begin"/>
        </w:r>
        <w:r w:rsidRPr="003338EA">
          <w:rPr>
            <w:rFonts w:ascii="Arial" w:hAnsi="Arial" w:cs="Arial"/>
            <w:sz w:val="20"/>
            <w:szCs w:val="20"/>
          </w:rPr>
          <w:instrText xml:space="preserve"> PAGE   \* MERGEFORMAT </w:instrText>
        </w:r>
        <w:r w:rsidRPr="003338EA">
          <w:rPr>
            <w:rFonts w:ascii="Arial" w:hAnsi="Arial" w:cs="Arial"/>
            <w:sz w:val="20"/>
            <w:szCs w:val="20"/>
          </w:rPr>
          <w:fldChar w:fldCharType="separate"/>
        </w:r>
        <w:r w:rsidRPr="003338EA">
          <w:rPr>
            <w:rFonts w:ascii="Arial" w:hAnsi="Arial" w:cs="Arial"/>
            <w:noProof/>
            <w:sz w:val="20"/>
            <w:szCs w:val="20"/>
          </w:rPr>
          <w:t>2</w:t>
        </w:r>
        <w:r w:rsidRPr="003338EA">
          <w:rPr>
            <w:rFonts w:ascii="Arial" w:hAnsi="Arial" w:cs="Arial"/>
            <w:noProof/>
            <w:sz w:val="20"/>
            <w:szCs w:val="20"/>
          </w:rPr>
          <w:fldChar w:fldCharType="end"/>
        </w:r>
      </w:p>
    </w:sdtContent>
  </w:sdt>
  <w:p w14:paraId="7DE0BE24" w14:textId="77777777" w:rsidR="00C77148" w:rsidRPr="00F93EE1" w:rsidRDefault="00C77148" w:rsidP="00F93EE1">
    <w:pPr>
      <w:pStyle w:val="Footer"/>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DD6C6" w14:textId="77777777" w:rsidR="00503BE8" w:rsidRPr="003338EA" w:rsidRDefault="00D81257" w:rsidP="006076F6">
    <w:pPr>
      <w:pStyle w:val="Footer"/>
      <w:jc w:val="right"/>
      <w:rPr>
        <w:rFonts w:ascii="Arial" w:hAnsi="Arial" w:cs="Arial"/>
        <w:sz w:val="20"/>
        <w:szCs w:val="20"/>
      </w:rPr>
    </w:pPr>
    <w:r w:rsidRPr="003338EA">
      <w:rPr>
        <w:rFonts w:ascii="Arial" w:hAnsi="Arial" w:cs="Arial"/>
        <w:sz w:val="20"/>
        <w:szCs w:val="20"/>
      </w:rPr>
      <w:t>Asset Management Policy</w:t>
    </w:r>
    <w:r w:rsidRPr="003338EA">
      <w:rPr>
        <w:rFonts w:ascii="Arial" w:hAnsi="Arial" w:cs="Arial"/>
        <w:sz w:val="20"/>
        <w:szCs w:val="20"/>
      </w:rPr>
      <w:tab/>
    </w:r>
    <w:r w:rsidRPr="003338EA">
      <w:rPr>
        <w:rFonts w:ascii="Arial" w:hAnsi="Arial" w:cs="Arial"/>
        <w:sz w:val="20"/>
        <w:szCs w:val="20"/>
      </w:rPr>
      <w:tab/>
    </w:r>
    <w:sdt>
      <w:sdtPr>
        <w:rPr>
          <w:rFonts w:ascii="Arial" w:hAnsi="Arial" w:cs="Arial"/>
          <w:sz w:val="20"/>
          <w:szCs w:val="20"/>
        </w:rPr>
        <w:id w:val="-1186827600"/>
        <w:docPartObj>
          <w:docPartGallery w:val="Page Numbers (Bottom of Page)"/>
          <w:docPartUnique/>
        </w:docPartObj>
      </w:sdtPr>
      <w:sdtEndPr>
        <w:rPr>
          <w:noProof/>
        </w:rPr>
      </w:sdtEndPr>
      <w:sdtContent>
        <w:r w:rsidR="00AE056D" w:rsidRPr="003338EA">
          <w:rPr>
            <w:rFonts w:ascii="Arial" w:hAnsi="Arial" w:cs="Arial"/>
            <w:sz w:val="20"/>
            <w:szCs w:val="20"/>
          </w:rPr>
          <w:fldChar w:fldCharType="begin"/>
        </w:r>
        <w:r w:rsidR="00AE056D" w:rsidRPr="003338EA">
          <w:rPr>
            <w:rFonts w:ascii="Arial" w:hAnsi="Arial" w:cs="Arial"/>
            <w:sz w:val="20"/>
            <w:szCs w:val="20"/>
          </w:rPr>
          <w:instrText xml:space="preserve"> PAGE   \* MERGEFORMAT </w:instrText>
        </w:r>
        <w:r w:rsidR="00AE056D" w:rsidRPr="003338EA">
          <w:rPr>
            <w:rFonts w:ascii="Arial" w:hAnsi="Arial" w:cs="Arial"/>
            <w:sz w:val="20"/>
            <w:szCs w:val="20"/>
          </w:rPr>
          <w:fldChar w:fldCharType="separate"/>
        </w:r>
        <w:r w:rsidR="00AE056D" w:rsidRPr="003338EA">
          <w:rPr>
            <w:rFonts w:ascii="Arial" w:hAnsi="Arial" w:cs="Arial"/>
            <w:noProof/>
            <w:sz w:val="20"/>
            <w:szCs w:val="20"/>
          </w:rPr>
          <w:t>2</w:t>
        </w:r>
        <w:r w:rsidR="00AE056D" w:rsidRPr="003338EA">
          <w:rPr>
            <w:rFonts w:ascii="Arial" w:hAnsi="Arial" w:cs="Arial"/>
            <w:noProof/>
            <w:sz w:val="20"/>
            <w:szCs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986DE" w14:textId="77777777" w:rsidR="007E0F46" w:rsidRPr="006076F6" w:rsidRDefault="007E0F46" w:rsidP="007E0F46">
    <w:pPr>
      <w:pStyle w:val="Footer"/>
      <w:jc w:val="right"/>
      <w:rPr>
        <w:rFonts w:ascii="Arial" w:hAnsi="Arial" w:cs="Arial"/>
      </w:rPr>
    </w:pPr>
    <w:r w:rsidRPr="00D81257">
      <w:rPr>
        <w:rFonts w:ascii="Arial" w:hAnsi="Arial" w:cs="Arial"/>
        <w:sz w:val="22"/>
        <w:szCs w:val="22"/>
      </w:rPr>
      <w:t>Asset Management Policy</w:t>
    </w:r>
    <w:r>
      <w:rPr>
        <w:rFonts w:ascii="Arial" w:hAnsi="Arial" w:cs="Arial"/>
      </w:rPr>
      <w:tab/>
    </w:r>
    <w:r>
      <w:rPr>
        <w:rFonts w:ascii="Arial" w:hAnsi="Arial" w:cs="Arial"/>
      </w:rPr>
      <w:tab/>
    </w:r>
    <w:sdt>
      <w:sdtPr>
        <w:rPr>
          <w:rFonts w:ascii="Arial" w:hAnsi="Arial" w:cs="Arial"/>
        </w:rPr>
        <w:id w:val="1367489214"/>
        <w:docPartObj>
          <w:docPartGallery w:val="Page Numbers (Bottom of Page)"/>
          <w:docPartUnique/>
        </w:docPartObj>
      </w:sdtPr>
      <w:sdtEndPr>
        <w:rPr>
          <w:noProof/>
        </w:rPr>
      </w:sdtEndPr>
      <w:sdtContent>
        <w:r w:rsidRPr="00675C60">
          <w:rPr>
            <w:rFonts w:ascii="Arial" w:hAnsi="Arial" w:cs="Arial"/>
          </w:rPr>
          <w:fldChar w:fldCharType="begin"/>
        </w:r>
        <w:r w:rsidRPr="00675C60">
          <w:rPr>
            <w:rFonts w:ascii="Arial" w:hAnsi="Arial" w:cs="Arial"/>
          </w:rPr>
          <w:instrText xml:space="preserve"> PAGE   \* MERGEFORMAT </w:instrText>
        </w:r>
        <w:r w:rsidRPr="00675C60">
          <w:rPr>
            <w:rFonts w:ascii="Arial" w:hAnsi="Arial" w:cs="Arial"/>
          </w:rPr>
          <w:fldChar w:fldCharType="separate"/>
        </w:r>
        <w:r>
          <w:rPr>
            <w:rFonts w:ascii="Arial" w:hAnsi="Arial" w:cs="Arial"/>
          </w:rPr>
          <w:t>7</w:t>
        </w:r>
        <w:r w:rsidRPr="00675C60">
          <w:rPr>
            <w:rFonts w:ascii="Arial" w:hAnsi="Arial" w:cs="Arial"/>
            <w:noProof/>
          </w:rPr>
          <w:fldChar w:fldCharType="end"/>
        </w:r>
      </w:sdtContent>
    </w:sdt>
  </w:p>
  <w:p w14:paraId="18C7C752" w14:textId="77777777" w:rsidR="00615503" w:rsidRPr="001B56BF" w:rsidRDefault="005544DF" w:rsidP="00503BE8">
    <w:pPr>
      <w:pStyle w:val="OATbodysty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7C0C2" w14:textId="77777777" w:rsidR="009C7B14" w:rsidRDefault="009C7B14" w:rsidP="00DE543D">
      <w:r>
        <w:separator/>
      </w:r>
    </w:p>
  </w:footnote>
  <w:footnote w:type="continuationSeparator" w:id="0">
    <w:p w14:paraId="2EAE1B00" w14:textId="77777777" w:rsidR="009C7B14" w:rsidRDefault="009C7B14" w:rsidP="00DE543D">
      <w:r>
        <w:continuationSeparator/>
      </w:r>
    </w:p>
  </w:footnote>
  <w:footnote w:type="continuationNotice" w:id="1">
    <w:p w14:paraId="2B851F3B" w14:textId="77777777" w:rsidR="009C7B14" w:rsidRDefault="009C7B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2E9B0" w14:textId="0002F47F" w:rsidR="00337969" w:rsidRDefault="003338EA" w:rsidP="00475EF7">
    <w:pPr>
      <w:pStyle w:val="OATbodystyle"/>
    </w:pPr>
    <w:r>
      <w:rPr>
        <w:noProof/>
      </w:rPr>
      <w:drawing>
        <wp:anchor distT="0" distB="0" distL="114300" distR="114300" simplePos="0" relativeHeight="251659264" behindDoc="0" locked="0" layoutInCell="1" allowOverlap="1" wp14:anchorId="6D4B440C" wp14:editId="7B7E7F49">
          <wp:simplePos x="0" y="0"/>
          <wp:positionH relativeFrom="column">
            <wp:posOffset>-11445</wp:posOffset>
          </wp:positionH>
          <wp:positionV relativeFrom="paragraph">
            <wp:posOffset>102235</wp:posOffset>
          </wp:positionV>
          <wp:extent cx="1333500" cy="63559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35598"/>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11BA0" w14:textId="77777777" w:rsidR="00337969" w:rsidRDefault="002661BC" w:rsidP="00475EF7">
    <w:pPr>
      <w:pStyle w:val="OATbodystyle"/>
    </w:pPr>
    <w:r>
      <w:rPr>
        <w:noProof/>
      </w:rPr>
      <w:drawing>
        <wp:anchor distT="0" distB="0" distL="114300" distR="114300" simplePos="0" relativeHeight="251657216" behindDoc="0" locked="0" layoutInCell="1" allowOverlap="1" wp14:anchorId="3EE60855" wp14:editId="19DA859D">
          <wp:simplePos x="0" y="0"/>
          <wp:positionH relativeFrom="column">
            <wp:posOffset>-24765</wp:posOffset>
          </wp:positionH>
          <wp:positionV relativeFrom="paragraph">
            <wp:posOffset>121285</wp:posOffset>
          </wp:positionV>
          <wp:extent cx="1343660" cy="638175"/>
          <wp:effectExtent l="0" t="0" r="889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43660" cy="638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pStyle w:val="OATliststyle"/>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902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111C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D522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2C54EEC"/>
    <w:multiLevelType w:val="hybridMultilevel"/>
    <w:tmpl w:val="5D6A2630"/>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0" w15:restartNumberingAfterBreak="0">
    <w:nsid w:val="4AE43E67"/>
    <w:multiLevelType w:val="multilevel"/>
    <w:tmpl w:val="6CC4366A"/>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sz w:val="22"/>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3712F"/>
    <w:multiLevelType w:val="hybridMultilevel"/>
    <w:tmpl w:val="0FEE60CC"/>
    <w:lvl w:ilvl="0" w:tplc="9DF0A736">
      <w:start w:val="1"/>
      <w:numFmt w:val="bullet"/>
      <w:pStyle w:val="TableSubBullet"/>
      <w:lvlText w:val="–"/>
      <w:lvlJc w:val="left"/>
      <w:pPr>
        <w:ind w:left="2024" w:hanging="360"/>
      </w:pPr>
      <w:rPr>
        <w:rFonts w:ascii="Arial" w:hAnsi="Arial" w:hint="default"/>
        <w:sz w:val="12"/>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13" w15:restartNumberingAfterBreak="0">
    <w:nsid w:val="52CE6EE3"/>
    <w:multiLevelType w:val="multilevel"/>
    <w:tmpl w:val="A3B29698"/>
    <w:lvl w:ilvl="0">
      <w:start w:val="1"/>
      <w:numFmt w:val="decimal"/>
      <w:lvlText w:val="%1."/>
      <w:lvlJc w:val="left"/>
      <w:pPr>
        <w:ind w:left="720" w:hanging="360"/>
      </w:pPr>
      <w:rPr>
        <w:rFonts w:ascii="Gill Sans MT" w:hAnsi="Gill Sans MT" w:cstheme="minorBidi" w:hint="default"/>
        <w:color w:val="00B0F0"/>
        <w:sz w:val="40"/>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4"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601385C"/>
    <w:multiLevelType w:val="multilevel"/>
    <w:tmpl w:val="17B8351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6E7794A"/>
    <w:multiLevelType w:val="multilevel"/>
    <w:tmpl w:val="D1C02BEE"/>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sz w:val="22"/>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58682C"/>
    <w:multiLevelType w:val="hybridMultilevel"/>
    <w:tmpl w:val="6982F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6EC0285"/>
    <w:multiLevelType w:val="hybridMultilevel"/>
    <w:tmpl w:val="D5549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340A6A"/>
    <w:multiLevelType w:val="multilevel"/>
    <w:tmpl w:val="17B8351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8"/>
  </w:num>
  <w:num w:numId="3">
    <w:abstractNumId w:val="1"/>
  </w:num>
  <w:num w:numId="4">
    <w:abstractNumId w:val="11"/>
  </w:num>
  <w:num w:numId="5">
    <w:abstractNumId w:val="8"/>
  </w:num>
  <w:num w:numId="6">
    <w:abstractNumId w:val="7"/>
  </w:num>
  <w:num w:numId="7">
    <w:abstractNumId w:val="14"/>
  </w:num>
  <w:num w:numId="8">
    <w:abstractNumId w:val="5"/>
  </w:num>
  <w:num w:numId="9">
    <w:abstractNumId w:val="6"/>
  </w:num>
  <w:num w:numId="10">
    <w:abstractNumId w:val="17"/>
  </w:num>
  <w:num w:numId="11">
    <w:abstractNumId w:val="9"/>
  </w:num>
  <w:num w:numId="12">
    <w:abstractNumId w:val="12"/>
  </w:num>
  <w:num w:numId="13">
    <w:abstractNumId w:val="12"/>
    <w:lvlOverride w:ilvl="0">
      <w:startOverride w:val="1"/>
    </w:lvlOverride>
  </w:num>
  <w:num w:numId="14">
    <w:abstractNumId w:val="10"/>
  </w:num>
  <w:num w:numId="15">
    <w:abstractNumId w:val="16"/>
  </w:num>
  <w:num w:numId="16">
    <w:abstractNumId w:val="13"/>
  </w:num>
  <w:num w:numId="17">
    <w:abstractNumId w:val="19"/>
  </w:num>
  <w:num w:numId="18">
    <w:abstractNumId w:val="3"/>
  </w:num>
  <w:num w:numId="19">
    <w:abstractNumId w:val="15"/>
  </w:num>
  <w:num w:numId="20">
    <w:abstractNumId w:val="2"/>
  </w:num>
  <w:num w:numId="21">
    <w:abstractNumId w:val="2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3C"/>
    <w:rsid w:val="0002329B"/>
    <w:rsid w:val="00024803"/>
    <w:rsid w:val="000262F4"/>
    <w:rsid w:val="00027E51"/>
    <w:rsid w:val="00032278"/>
    <w:rsid w:val="00043FF7"/>
    <w:rsid w:val="00050C73"/>
    <w:rsid w:val="0005503B"/>
    <w:rsid w:val="000615BA"/>
    <w:rsid w:val="00071872"/>
    <w:rsid w:val="000A192E"/>
    <w:rsid w:val="000A2D81"/>
    <w:rsid w:val="000B5616"/>
    <w:rsid w:val="000B5EDC"/>
    <w:rsid w:val="000B750B"/>
    <w:rsid w:val="000D49A8"/>
    <w:rsid w:val="000D5246"/>
    <w:rsid w:val="000D6054"/>
    <w:rsid w:val="000F7128"/>
    <w:rsid w:val="0010215C"/>
    <w:rsid w:val="00121422"/>
    <w:rsid w:val="00136BF6"/>
    <w:rsid w:val="00137B2F"/>
    <w:rsid w:val="001653A2"/>
    <w:rsid w:val="00171C62"/>
    <w:rsid w:val="00172B43"/>
    <w:rsid w:val="001766A7"/>
    <w:rsid w:val="001944A0"/>
    <w:rsid w:val="001A3140"/>
    <w:rsid w:val="001A4997"/>
    <w:rsid w:val="001C01F0"/>
    <w:rsid w:val="001C299B"/>
    <w:rsid w:val="001C4452"/>
    <w:rsid w:val="001D3E60"/>
    <w:rsid w:val="001E7F2B"/>
    <w:rsid w:val="001F17DE"/>
    <w:rsid w:val="001F7F83"/>
    <w:rsid w:val="00203942"/>
    <w:rsid w:val="00246A28"/>
    <w:rsid w:val="00260200"/>
    <w:rsid w:val="00264AC2"/>
    <w:rsid w:val="002661BC"/>
    <w:rsid w:val="00291DFF"/>
    <w:rsid w:val="0029541D"/>
    <w:rsid w:val="002978FE"/>
    <w:rsid w:val="00297C0C"/>
    <w:rsid w:val="002B3C47"/>
    <w:rsid w:val="002B4B8A"/>
    <w:rsid w:val="002B7B8E"/>
    <w:rsid w:val="002C31ED"/>
    <w:rsid w:val="002E24BB"/>
    <w:rsid w:val="002F0E12"/>
    <w:rsid w:val="002F28AB"/>
    <w:rsid w:val="002F4DAE"/>
    <w:rsid w:val="00310151"/>
    <w:rsid w:val="003170D5"/>
    <w:rsid w:val="00317639"/>
    <w:rsid w:val="003338EA"/>
    <w:rsid w:val="0033568A"/>
    <w:rsid w:val="00337969"/>
    <w:rsid w:val="0034026C"/>
    <w:rsid w:val="003412B8"/>
    <w:rsid w:val="00353559"/>
    <w:rsid w:val="00353EEB"/>
    <w:rsid w:val="00396C37"/>
    <w:rsid w:val="003A0A62"/>
    <w:rsid w:val="003A41D5"/>
    <w:rsid w:val="003B7973"/>
    <w:rsid w:val="003C3700"/>
    <w:rsid w:val="003C6431"/>
    <w:rsid w:val="003D0950"/>
    <w:rsid w:val="003D2423"/>
    <w:rsid w:val="003F2025"/>
    <w:rsid w:val="003F25CA"/>
    <w:rsid w:val="003F3FBF"/>
    <w:rsid w:val="00416F1E"/>
    <w:rsid w:val="00425835"/>
    <w:rsid w:val="00431647"/>
    <w:rsid w:val="00431BE5"/>
    <w:rsid w:val="0043297C"/>
    <w:rsid w:val="004359D8"/>
    <w:rsid w:val="00440C88"/>
    <w:rsid w:val="004439AB"/>
    <w:rsid w:val="00446D73"/>
    <w:rsid w:val="00455F1D"/>
    <w:rsid w:val="00462D40"/>
    <w:rsid w:val="00467F2D"/>
    <w:rsid w:val="00475EA3"/>
    <w:rsid w:val="00475EF7"/>
    <w:rsid w:val="00486A31"/>
    <w:rsid w:val="004D4DEC"/>
    <w:rsid w:val="004E59BE"/>
    <w:rsid w:val="004F07C5"/>
    <w:rsid w:val="004F5DE4"/>
    <w:rsid w:val="004F7784"/>
    <w:rsid w:val="00503BE8"/>
    <w:rsid w:val="005044B3"/>
    <w:rsid w:val="00516333"/>
    <w:rsid w:val="00516840"/>
    <w:rsid w:val="005240D2"/>
    <w:rsid w:val="00530652"/>
    <w:rsid w:val="0054566A"/>
    <w:rsid w:val="00553109"/>
    <w:rsid w:val="005544DF"/>
    <w:rsid w:val="00566B99"/>
    <w:rsid w:val="00566E99"/>
    <w:rsid w:val="00567EFD"/>
    <w:rsid w:val="00572F4D"/>
    <w:rsid w:val="00592F89"/>
    <w:rsid w:val="005A1EEA"/>
    <w:rsid w:val="005A4578"/>
    <w:rsid w:val="005B3AFF"/>
    <w:rsid w:val="005C6BD3"/>
    <w:rsid w:val="005D3308"/>
    <w:rsid w:val="005D51A1"/>
    <w:rsid w:val="005E3410"/>
    <w:rsid w:val="005F4928"/>
    <w:rsid w:val="005F4BD0"/>
    <w:rsid w:val="00600C98"/>
    <w:rsid w:val="006076F6"/>
    <w:rsid w:val="00620DC0"/>
    <w:rsid w:val="00634866"/>
    <w:rsid w:val="00641831"/>
    <w:rsid w:val="0064195E"/>
    <w:rsid w:val="00650D98"/>
    <w:rsid w:val="006577D4"/>
    <w:rsid w:val="00664ABC"/>
    <w:rsid w:val="006703EF"/>
    <w:rsid w:val="00675C60"/>
    <w:rsid w:val="006A3CA9"/>
    <w:rsid w:val="006C203C"/>
    <w:rsid w:val="006C54DD"/>
    <w:rsid w:val="006E3B3C"/>
    <w:rsid w:val="006E52B8"/>
    <w:rsid w:val="006E5770"/>
    <w:rsid w:val="006F10CE"/>
    <w:rsid w:val="00700198"/>
    <w:rsid w:val="00721281"/>
    <w:rsid w:val="00726627"/>
    <w:rsid w:val="00727D9B"/>
    <w:rsid w:val="007339D8"/>
    <w:rsid w:val="00733D84"/>
    <w:rsid w:val="007349D7"/>
    <w:rsid w:val="007351A4"/>
    <w:rsid w:val="00736DD6"/>
    <w:rsid w:val="00745A1D"/>
    <w:rsid w:val="0076055D"/>
    <w:rsid w:val="0076286B"/>
    <w:rsid w:val="00764250"/>
    <w:rsid w:val="007745A6"/>
    <w:rsid w:val="00776E86"/>
    <w:rsid w:val="00777693"/>
    <w:rsid w:val="007A0339"/>
    <w:rsid w:val="007B6D7C"/>
    <w:rsid w:val="007C7324"/>
    <w:rsid w:val="007E0F46"/>
    <w:rsid w:val="007F0031"/>
    <w:rsid w:val="007F0A69"/>
    <w:rsid w:val="007F72DB"/>
    <w:rsid w:val="008336A3"/>
    <w:rsid w:val="008510BC"/>
    <w:rsid w:val="00861EAC"/>
    <w:rsid w:val="00864D74"/>
    <w:rsid w:val="008666CB"/>
    <w:rsid w:val="00867099"/>
    <w:rsid w:val="008705FF"/>
    <w:rsid w:val="00891351"/>
    <w:rsid w:val="00891554"/>
    <w:rsid w:val="00895FA5"/>
    <w:rsid w:val="008A249F"/>
    <w:rsid w:val="008B0B79"/>
    <w:rsid w:val="008B3040"/>
    <w:rsid w:val="008B532E"/>
    <w:rsid w:val="008D1038"/>
    <w:rsid w:val="008D1069"/>
    <w:rsid w:val="008E1665"/>
    <w:rsid w:val="008E59EB"/>
    <w:rsid w:val="008F5866"/>
    <w:rsid w:val="008F629E"/>
    <w:rsid w:val="009228EA"/>
    <w:rsid w:val="00933A0A"/>
    <w:rsid w:val="009400FD"/>
    <w:rsid w:val="0094253D"/>
    <w:rsid w:val="009528BE"/>
    <w:rsid w:val="009550BA"/>
    <w:rsid w:val="0096032F"/>
    <w:rsid w:val="009816C0"/>
    <w:rsid w:val="00983389"/>
    <w:rsid w:val="009C25B9"/>
    <w:rsid w:val="009C38BB"/>
    <w:rsid w:val="009C7B14"/>
    <w:rsid w:val="009E3885"/>
    <w:rsid w:val="009F1668"/>
    <w:rsid w:val="009F585A"/>
    <w:rsid w:val="009F58ED"/>
    <w:rsid w:val="00A14C3C"/>
    <w:rsid w:val="00A20F50"/>
    <w:rsid w:val="00A2233C"/>
    <w:rsid w:val="00A24A1A"/>
    <w:rsid w:val="00A25653"/>
    <w:rsid w:val="00A71482"/>
    <w:rsid w:val="00A71FB2"/>
    <w:rsid w:val="00A74AA5"/>
    <w:rsid w:val="00A81E6B"/>
    <w:rsid w:val="00A82299"/>
    <w:rsid w:val="00A82C30"/>
    <w:rsid w:val="00A83B69"/>
    <w:rsid w:val="00AA4970"/>
    <w:rsid w:val="00AC2D08"/>
    <w:rsid w:val="00AE056D"/>
    <w:rsid w:val="00AF2389"/>
    <w:rsid w:val="00AF3431"/>
    <w:rsid w:val="00AF4DC1"/>
    <w:rsid w:val="00B00A01"/>
    <w:rsid w:val="00B00A80"/>
    <w:rsid w:val="00B07922"/>
    <w:rsid w:val="00B137A4"/>
    <w:rsid w:val="00B276B5"/>
    <w:rsid w:val="00B42598"/>
    <w:rsid w:val="00B50D7C"/>
    <w:rsid w:val="00B60711"/>
    <w:rsid w:val="00B74B30"/>
    <w:rsid w:val="00BB2C9D"/>
    <w:rsid w:val="00BB3A94"/>
    <w:rsid w:val="00BC10CA"/>
    <w:rsid w:val="00BD1D62"/>
    <w:rsid w:val="00BD5855"/>
    <w:rsid w:val="00BE56B6"/>
    <w:rsid w:val="00BF0BC9"/>
    <w:rsid w:val="00BF15D7"/>
    <w:rsid w:val="00C0454F"/>
    <w:rsid w:val="00C22F2A"/>
    <w:rsid w:val="00C248D5"/>
    <w:rsid w:val="00C278DB"/>
    <w:rsid w:val="00C37F3F"/>
    <w:rsid w:val="00C622FE"/>
    <w:rsid w:val="00C77148"/>
    <w:rsid w:val="00C77DB4"/>
    <w:rsid w:val="00C807D2"/>
    <w:rsid w:val="00C920D0"/>
    <w:rsid w:val="00CA1FC7"/>
    <w:rsid w:val="00CA41EB"/>
    <w:rsid w:val="00CA561A"/>
    <w:rsid w:val="00CB371C"/>
    <w:rsid w:val="00CE5E9B"/>
    <w:rsid w:val="00CF4ADD"/>
    <w:rsid w:val="00D0329C"/>
    <w:rsid w:val="00D16D88"/>
    <w:rsid w:val="00D30473"/>
    <w:rsid w:val="00D3544E"/>
    <w:rsid w:val="00D4303D"/>
    <w:rsid w:val="00D43692"/>
    <w:rsid w:val="00D64FFB"/>
    <w:rsid w:val="00D7580E"/>
    <w:rsid w:val="00D75F36"/>
    <w:rsid w:val="00D760B4"/>
    <w:rsid w:val="00D761BE"/>
    <w:rsid w:val="00D81257"/>
    <w:rsid w:val="00D97E67"/>
    <w:rsid w:val="00DA3866"/>
    <w:rsid w:val="00DA6AA2"/>
    <w:rsid w:val="00DB1718"/>
    <w:rsid w:val="00DB1AB5"/>
    <w:rsid w:val="00DD0C48"/>
    <w:rsid w:val="00DD3D28"/>
    <w:rsid w:val="00DE543D"/>
    <w:rsid w:val="00DF28C7"/>
    <w:rsid w:val="00E0298C"/>
    <w:rsid w:val="00E0325D"/>
    <w:rsid w:val="00E21CCA"/>
    <w:rsid w:val="00E26E26"/>
    <w:rsid w:val="00E33CE3"/>
    <w:rsid w:val="00E71812"/>
    <w:rsid w:val="00E90485"/>
    <w:rsid w:val="00E91295"/>
    <w:rsid w:val="00E9714F"/>
    <w:rsid w:val="00EA227E"/>
    <w:rsid w:val="00EB220B"/>
    <w:rsid w:val="00EB430E"/>
    <w:rsid w:val="00EC2DFD"/>
    <w:rsid w:val="00EC5527"/>
    <w:rsid w:val="00ED375A"/>
    <w:rsid w:val="00EE6724"/>
    <w:rsid w:val="00F14213"/>
    <w:rsid w:val="00F15A19"/>
    <w:rsid w:val="00F23AD7"/>
    <w:rsid w:val="00F24FF9"/>
    <w:rsid w:val="00F2632A"/>
    <w:rsid w:val="00F33CC3"/>
    <w:rsid w:val="00F40543"/>
    <w:rsid w:val="00F75695"/>
    <w:rsid w:val="00F80309"/>
    <w:rsid w:val="00F82C90"/>
    <w:rsid w:val="00F84FF4"/>
    <w:rsid w:val="00F91FCE"/>
    <w:rsid w:val="00F934E4"/>
    <w:rsid w:val="00F93EE1"/>
    <w:rsid w:val="00FB2B26"/>
    <w:rsid w:val="00FB3965"/>
    <w:rsid w:val="00FB5241"/>
    <w:rsid w:val="00FC13B8"/>
    <w:rsid w:val="00FC1C24"/>
    <w:rsid w:val="00FD11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85F149"/>
  <w14:defaultImageDpi w14:val="300"/>
  <w15:docId w15:val="{9FED6A75-1D3D-43AC-BE12-ADEFE383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1"/>
      </w:numPr>
      <w:spacing w:line="280" w:lineRule="exact"/>
      <w:ind w:left="357" w:hanging="357"/>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503BE8"/>
    <w:rPr>
      <w:rFonts w:eastAsia="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Bullet">
    <w:name w:val="Table Sub Bullet"/>
    <w:basedOn w:val="Normal"/>
    <w:rsid w:val="00503BE8"/>
    <w:pPr>
      <w:numPr>
        <w:numId w:val="12"/>
      </w:numPr>
      <w:spacing w:after="200" w:line="276" w:lineRule="auto"/>
      <w:ind w:left="720"/>
    </w:pPr>
    <w:rPr>
      <w:rFonts w:eastAsia="Cambria"/>
      <w:sz w:val="22"/>
      <w:szCs w:val="22"/>
    </w:rPr>
  </w:style>
  <w:style w:type="paragraph" w:styleId="Revision">
    <w:name w:val="Revision"/>
    <w:hidden/>
    <w:uiPriority w:val="99"/>
    <w:semiHidden/>
    <w:rsid w:val="0043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97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ireLovell\Ormiston%20Academies%20Trust\OAT%20Finance%20-%20FID1\Projects\Policies\Asset%20Management\Asset%20Management%20policy%20September%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Finance</Department>
    <Lead xmlns="dc471172-6ec0-410f-9f6e-10acaa34c523">Finance</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Mandatory</Category>
    <Requirement xmlns="dc471172-6ec0-410f-9f6e-10acaa34c523">Mandatory OAT Policy</Requirement>
    <Method xmlns="dc471172-6ec0-410f-9f6e-10acaa34c523">Governing body free to delegate review​</Method>
    <Document xmlns="dc471172-6ec0-410f-9f6e-10acaa34c523">Asset Management</Document>
    <Website xmlns="dc471172-6ec0-410f-9f6e-10acaa34c523">No</Website>
    <InitiateFlow xmlns="dc471172-6ec0-410f-9f6e-10acaa34c523" xsi:nil="true"/>
    <FlowComplete xmlns="dc471172-6ec0-410f-9f6e-10acaa34c5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93E290-898A-47EE-8AA9-BF2BF3E12A7A}">
  <ds:schemaRefs>
    <ds:schemaRef ds:uri="http://schemas.openxmlformats.org/officeDocument/2006/bibliography"/>
  </ds:schemaRefs>
</ds:datastoreItem>
</file>

<file path=customXml/itemProps2.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4.xml><?xml version="1.0" encoding="utf-8"?>
<ds:datastoreItem xmlns:ds="http://schemas.openxmlformats.org/officeDocument/2006/customXml" ds:itemID="{DE3C7705-08A7-4E7E-A02C-45784645647E}"/>
</file>

<file path=docProps/app.xml><?xml version="1.0" encoding="utf-8"?>
<Properties xmlns="http://schemas.openxmlformats.org/officeDocument/2006/extended-properties" xmlns:vt="http://schemas.openxmlformats.org/officeDocument/2006/docPropsVTypes">
  <Template>Asset Management policy September 2021</Template>
  <TotalTime>15</TotalTime>
  <Pages>10</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Lovell</dc:creator>
  <cp:keywords/>
  <dc:description/>
  <cp:lastModifiedBy>Jayne Brazier</cp:lastModifiedBy>
  <cp:revision>11</cp:revision>
  <cp:lastPrinted>2015-12-01T15:17:00Z</cp:lastPrinted>
  <dcterms:created xsi:type="dcterms:W3CDTF">2022-02-16T15:31:00Z</dcterms:created>
  <dcterms:modified xsi:type="dcterms:W3CDTF">2022-02-16T15:45:00Z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61800</vt:r8>
  </property>
  <property fmtid="{D5CDD505-2E9C-101B-9397-08002B2CF9AE}" pid="4" name="_ExtendedDescription">
    <vt:lpwstr/>
  </property>
</Properties>
</file>