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C5A2" w14:textId="51B6EBF7" w:rsidR="5F779A63" w:rsidRDefault="5F779A63" w:rsidP="5F779A63">
      <w:pPr>
        <w:spacing w:after="240" w:line="240" w:lineRule="exact"/>
        <w:jc w:val="both"/>
        <w:rPr>
          <w:rFonts w:ascii="Cambria" w:eastAsia="MS Mincho" w:hAnsi="Cambria" w:cs="Times New Roman"/>
          <w:lang w:val="en-US"/>
        </w:rPr>
      </w:pPr>
    </w:p>
    <w:p w14:paraId="71874569" w14:textId="77777777" w:rsidR="00CF39A7" w:rsidRDefault="00CF39A7" w:rsidP="5F779A63">
      <w:pPr>
        <w:spacing w:after="240" w:line="240" w:lineRule="exact"/>
        <w:jc w:val="both"/>
        <w:rPr>
          <w:rFonts w:ascii="Cambria" w:eastAsia="MS Mincho" w:hAnsi="Cambria" w:cs="Times New Roman"/>
          <w:lang w:val="en-US"/>
        </w:rPr>
      </w:pPr>
    </w:p>
    <w:p w14:paraId="6D8B696A" w14:textId="18580BE9" w:rsidR="00D761BE" w:rsidRDefault="00D761BE" w:rsidP="00425835">
      <w:pPr>
        <w:spacing w:after="240" w:line="240" w:lineRule="exact"/>
        <w:jc w:val="both"/>
        <w:rPr>
          <w:rFonts w:ascii="Cambria" w:eastAsia="MS Mincho" w:hAnsi="Cambria" w:cs="Times New Roman"/>
          <w:lang w:val="en-US"/>
        </w:rPr>
      </w:pPr>
    </w:p>
    <w:p w14:paraId="04CD9BA0" w14:textId="5ED80285" w:rsidR="00D761BE" w:rsidRDefault="00D761BE" w:rsidP="00425835">
      <w:pPr>
        <w:spacing w:after="240" w:line="240" w:lineRule="exact"/>
        <w:jc w:val="both"/>
        <w:rPr>
          <w:rFonts w:ascii="Cambria" w:eastAsia="MS Mincho" w:hAnsi="Cambria" w:cs="Times New Roman"/>
          <w:lang w:val="en-US"/>
        </w:rPr>
      </w:pPr>
    </w:p>
    <w:p w14:paraId="1FE58767" w14:textId="21E84D88" w:rsidR="00D761BE" w:rsidRDefault="00D761BE" w:rsidP="00425835">
      <w:pPr>
        <w:spacing w:after="240" w:line="240" w:lineRule="exact"/>
        <w:jc w:val="both"/>
        <w:rPr>
          <w:rFonts w:ascii="Cambria" w:eastAsia="MS Mincho" w:hAnsi="Cambria" w:cs="Times New Roman"/>
          <w:lang w:val="en-US"/>
        </w:rPr>
      </w:pPr>
    </w:p>
    <w:p w14:paraId="67F32D80" w14:textId="77257232" w:rsidR="00887E6B" w:rsidRDefault="00887E6B" w:rsidP="00425835">
      <w:pPr>
        <w:spacing w:after="240" w:line="240" w:lineRule="exact"/>
        <w:jc w:val="both"/>
        <w:rPr>
          <w:rFonts w:ascii="Cambria" w:eastAsia="MS Mincho" w:hAnsi="Cambria" w:cs="Times New Roman"/>
          <w:lang w:val="en-US"/>
        </w:rPr>
      </w:pPr>
    </w:p>
    <w:p w14:paraId="729ADB2D" w14:textId="77777777" w:rsidR="00887E6B" w:rsidRPr="00425835" w:rsidRDefault="00887E6B" w:rsidP="00425835">
      <w:pPr>
        <w:spacing w:after="240" w:line="240" w:lineRule="exact"/>
        <w:jc w:val="both"/>
        <w:rPr>
          <w:rFonts w:ascii="Cambria" w:eastAsia="MS Mincho" w:hAnsi="Cambria" w:cs="Times New Roman"/>
          <w:lang w:val="en-US"/>
        </w:rPr>
      </w:pPr>
    </w:p>
    <w:p w14:paraId="53272F46" w14:textId="77777777" w:rsidR="00887E6B" w:rsidRPr="00475EA3" w:rsidRDefault="00887E6B" w:rsidP="00887E6B">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214D7B48" w14:textId="77777777" w:rsidR="00887E6B" w:rsidRPr="00475EA3" w:rsidRDefault="00887E6B" w:rsidP="00887E6B">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Pr>
          <w:rFonts w:ascii="Arial" w:eastAsia="MS Gothic" w:hAnsi="Arial" w:cs="Arial"/>
          <w:color w:val="00B0F0"/>
          <w:kern w:val="28"/>
          <w:sz w:val="42"/>
          <w:szCs w:val="56"/>
        </w:rPr>
        <w:t xml:space="preserve">Gifts and Hospitality </w:t>
      </w:r>
      <w:r w:rsidRPr="00475EA3">
        <w:rPr>
          <w:rFonts w:ascii="Arial" w:eastAsia="MS Gothic" w:hAnsi="Arial" w:cs="Arial"/>
          <w:color w:val="00B0F0"/>
          <w:kern w:val="28"/>
          <w:sz w:val="42"/>
          <w:szCs w:val="56"/>
        </w:rPr>
        <w:t>policy</w:t>
      </w:r>
    </w:p>
    <w:p w14:paraId="347F2D62" w14:textId="77777777" w:rsidR="00887E6B" w:rsidRPr="00D761BE" w:rsidRDefault="00887E6B" w:rsidP="00887E6B">
      <w:pPr>
        <w:tabs>
          <w:tab w:val="left" w:pos="284"/>
        </w:tabs>
        <w:spacing w:before="200" w:line="480" w:lineRule="exact"/>
        <w:rPr>
          <w:rFonts w:ascii="Gill Sans MT" w:eastAsia="MS Gothic" w:hAnsi="Gill Sans MT" w:cs="Times New Roman (Headings CS)"/>
          <w:color w:val="00B0F0"/>
          <w:kern w:val="28"/>
          <w:sz w:val="20"/>
          <w:szCs w:val="20"/>
        </w:rPr>
      </w:pPr>
    </w:p>
    <w:p w14:paraId="0DFCD33C" w14:textId="77777777" w:rsidR="00887E6B" w:rsidRDefault="00887E6B" w:rsidP="00887E6B">
      <w:pPr>
        <w:pStyle w:val="Titlepgcustom1"/>
        <w:rPr>
          <w:rFonts w:eastAsia="Cambria"/>
          <w:color w:val="00B0F0"/>
        </w:rPr>
      </w:pPr>
      <w:r w:rsidRPr="00425835">
        <w:rPr>
          <w:rFonts w:eastAsia="Cambria"/>
          <w:color w:val="00B0F0"/>
        </w:rPr>
        <w:t xml:space="preserve">Policy version control </w:t>
      </w:r>
    </w:p>
    <w:p w14:paraId="6B0C8D2E"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4"/>
        <w:gridCol w:w="6210"/>
      </w:tblGrid>
      <w:tr w:rsidR="00D761BE" w14:paraId="1B521513" w14:textId="77777777" w:rsidTr="00CE3ADF">
        <w:trPr>
          <w:trHeight w:val="305"/>
        </w:trPr>
        <w:tc>
          <w:tcPr>
            <w:tcW w:w="2857" w:type="dxa"/>
            <w:tcMar>
              <w:top w:w="113" w:type="dxa"/>
            </w:tcMar>
          </w:tcPr>
          <w:p w14:paraId="0C679982"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7D78B8AF" w14:textId="7FC07EF7" w:rsidR="00D761BE" w:rsidRPr="00475EA3" w:rsidRDefault="00385F9C"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w:t>
            </w:r>
            <w:r w:rsidR="00CB371C">
              <w:rPr>
                <w:rFonts w:ascii="Arial" w:eastAsia="MS Mincho" w:hAnsi="Arial" w:cs="Arial"/>
                <w:sz w:val="20"/>
                <w:szCs w:val="20"/>
              </w:rPr>
              <w:t>andatory</w:t>
            </w:r>
          </w:p>
        </w:tc>
      </w:tr>
      <w:tr w:rsidR="00D761BE" w14:paraId="5ECD37AD" w14:textId="77777777" w:rsidTr="00CE3ADF">
        <w:tc>
          <w:tcPr>
            <w:tcW w:w="2857" w:type="dxa"/>
            <w:tcMar>
              <w:top w:w="113" w:type="dxa"/>
            </w:tcMar>
          </w:tcPr>
          <w:p w14:paraId="7AFA802D" w14:textId="4B7D4C46"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46" w:type="dxa"/>
            <w:tcMar>
              <w:top w:w="113" w:type="dxa"/>
            </w:tcMar>
          </w:tcPr>
          <w:p w14:paraId="77143F4C" w14:textId="7377E058" w:rsidR="00D761BE" w:rsidRPr="00475EA3" w:rsidRDefault="009F2EA2"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Claire Lovell</w:t>
            </w:r>
            <w:r w:rsidR="00EB6312">
              <w:rPr>
                <w:rFonts w:ascii="Arial" w:eastAsia="MS Mincho" w:hAnsi="Arial" w:cs="Arial"/>
                <w:sz w:val="20"/>
                <w:szCs w:val="20"/>
              </w:rPr>
              <w:t xml:space="preserve">, </w:t>
            </w:r>
            <w:r w:rsidR="0094021A">
              <w:rPr>
                <w:rFonts w:ascii="Arial" w:eastAsia="MS Mincho" w:hAnsi="Arial" w:cs="Arial"/>
                <w:sz w:val="20"/>
                <w:szCs w:val="20"/>
              </w:rPr>
              <w:t xml:space="preserve">Head of </w:t>
            </w:r>
            <w:r>
              <w:rPr>
                <w:rFonts w:ascii="Arial" w:eastAsia="MS Mincho" w:hAnsi="Arial" w:cs="Arial"/>
                <w:sz w:val="20"/>
                <w:szCs w:val="20"/>
              </w:rPr>
              <w:t>Compliance and Reporting</w:t>
            </w:r>
          </w:p>
        </w:tc>
      </w:tr>
      <w:tr w:rsidR="00D761BE" w14:paraId="01013E9A" w14:textId="77777777" w:rsidTr="00CE3ADF">
        <w:tc>
          <w:tcPr>
            <w:tcW w:w="2857" w:type="dxa"/>
            <w:tcMar>
              <w:top w:w="113" w:type="dxa"/>
            </w:tcMar>
          </w:tcPr>
          <w:p w14:paraId="01DDC57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33EC0825" w14:textId="7A1291F7" w:rsidR="00D761BE" w:rsidRPr="0094021A" w:rsidRDefault="0094021A"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Joanne Dawson, National Director of Finance</w:t>
            </w:r>
          </w:p>
        </w:tc>
      </w:tr>
      <w:tr w:rsidR="00D761BE" w14:paraId="29EF9E33" w14:textId="77777777" w:rsidTr="00CE3ADF">
        <w:tc>
          <w:tcPr>
            <w:tcW w:w="2857" w:type="dxa"/>
            <w:tcMar>
              <w:top w:w="113" w:type="dxa"/>
            </w:tcMar>
          </w:tcPr>
          <w:p w14:paraId="27CB452E"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3C29C822" w14:textId="26505F1C" w:rsidR="00D761BE" w:rsidRPr="0094021A" w:rsidRDefault="00D90DDD"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February</w:t>
            </w:r>
            <w:r w:rsidR="00885916">
              <w:rPr>
                <w:rFonts w:ascii="Arial" w:eastAsia="MS Mincho" w:hAnsi="Arial" w:cs="Arial"/>
                <w:sz w:val="20"/>
                <w:szCs w:val="20"/>
              </w:rPr>
              <w:t xml:space="preserve"> 2022</w:t>
            </w:r>
          </w:p>
        </w:tc>
      </w:tr>
      <w:tr w:rsidR="00D761BE" w14:paraId="624A7E59" w14:textId="77777777" w:rsidTr="00CE3ADF">
        <w:trPr>
          <w:trHeight w:val="243"/>
        </w:trPr>
        <w:tc>
          <w:tcPr>
            <w:tcW w:w="2857" w:type="dxa"/>
            <w:tcMar>
              <w:top w:w="113" w:type="dxa"/>
            </w:tcMar>
          </w:tcPr>
          <w:p w14:paraId="6894E497"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Next release date</w:t>
            </w:r>
          </w:p>
        </w:tc>
        <w:tc>
          <w:tcPr>
            <w:tcW w:w="6246" w:type="dxa"/>
            <w:tcMar>
              <w:top w:w="113" w:type="dxa"/>
            </w:tcMar>
          </w:tcPr>
          <w:p w14:paraId="33125B6F" w14:textId="1800D797" w:rsidR="00D761BE" w:rsidRPr="0094021A" w:rsidRDefault="00D90DDD"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February</w:t>
            </w:r>
            <w:r w:rsidR="00885916">
              <w:rPr>
                <w:rFonts w:ascii="Arial" w:eastAsia="MS Mincho" w:hAnsi="Arial" w:cs="Arial"/>
                <w:sz w:val="20"/>
                <w:szCs w:val="20"/>
              </w:rPr>
              <w:t xml:space="preserve"> </w:t>
            </w:r>
            <w:r w:rsidR="009E0E83">
              <w:rPr>
                <w:rFonts w:ascii="Arial" w:eastAsia="MS Mincho" w:hAnsi="Arial" w:cs="Arial"/>
                <w:sz w:val="20"/>
                <w:szCs w:val="20"/>
              </w:rPr>
              <w:t>202</w:t>
            </w:r>
            <w:r w:rsidR="007D4C09">
              <w:rPr>
                <w:rFonts w:ascii="Arial" w:eastAsia="MS Mincho" w:hAnsi="Arial" w:cs="Arial"/>
                <w:sz w:val="20"/>
                <w:szCs w:val="20"/>
              </w:rPr>
              <w:t>5</w:t>
            </w:r>
          </w:p>
        </w:tc>
      </w:tr>
      <w:tr w:rsidR="00D761BE" w14:paraId="75FF30BF" w14:textId="77777777" w:rsidTr="00CE3ADF">
        <w:trPr>
          <w:trHeight w:val="243"/>
        </w:trPr>
        <w:tc>
          <w:tcPr>
            <w:tcW w:w="2857" w:type="dxa"/>
            <w:tcMar>
              <w:top w:w="113" w:type="dxa"/>
            </w:tcMar>
          </w:tcPr>
          <w:p w14:paraId="5EDE120B"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18631950" w14:textId="4881569E" w:rsidR="00394DFF" w:rsidRPr="00887E6B" w:rsidRDefault="00D21414" w:rsidP="009872B7">
            <w:pPr>
              <w:pStyle w:val="OATliststyle"/>
            </w:pPr>
            <w:r w:rsidRPr="00887E6B">
              <w:t>5.8</w:t>
            </w:r>
            <w:r w:rsidR="00887E6B" w:rsidRPr="00887E6B">
              <w:t xml:space="preserve"> </w:t>
            </w:r>
            <w:r w:rsidR="00394DFF" w:rsidRPr="00887E6B">
              <w:t>Further clarity on reporting gifts and hospitality</w:t>
            </w:r>
          </w:p>
          <w:p w14:paraId="0960F2B0" w14:textId="1A3C4E48" w:rsidR="00887E6B" w:rsidRDefault="00887E6B" w:rsidP="009872B7">
            <w:pPr>
              <w:pStyle w:val="OATliststyle"/>
            </w:pPr>
            <w:r w:rsidRPr="00887E6B">
              <w:t>5.9-5.13 added</w:t>
            </w:r>
            <w:r>
              <w:t xml:space="preserve"> to section detailing reporting requirements</w:t>
            </w:r>
          </w:p>
          <w:p w14:paraId="1693CDDE" w14:textId="46DDABE8" w:rsidR="00B75C66" w:rsidRDefault="00B75C66" w:rsidP="009872B7">
            <w:pPr>
              <w:pStyle w:val="OATliststyle"/>
            </w:pPr>
            <w:r>
              <w:t>6.1 reworded</w:t>
            </w:r>
          </w:p>
          <w:p w14:paraId="4118AAFD" w14:textId="6DC2F0D3" w:rsidR="00B75C66" w:rsidRDefault="00B75C66" w:rsidP="009872B7">
            <w:pPr>
              <w:pStyle w:val="OATliststyle"/>
            </w:pPr>
            <w:r>
              <w:t xml:space="preserve">6.2 – 6.5 added as new, further clarity on </w:t>
            </w:r>
            <w:r w:rsidR="009872B7">
              <w:t xml:space="preserve">provision of </w:t>
            </w:r>
            <w:r>
              <w:t xml:space="preserve">gifts, </w:t>
            </w:r>
            <w:r w:rsidR="009872B7">
              <w:t xml:space="preserve">including rules for leaving gifts, </w:t>
            </w:r>
            <w:r>
              <w:t>entertainment and alcohol</w:t>
            </w:r>
          </w:p>
          <w:p w14:paraId="0867178D" w14:textId="20AE7EF5" w:rsidR="000B6F3A" w:rsidRPr="00887E6B" w:rsidRDefault="00887E6B" w:rsidP="009872B7">
            <w:pPr>
              <w:pStyle w:val="OATliststyle"/>
              <w:rPr>
                <w:i/>
                <w:iCs/>
              </w:rPr>
            </w:pPr>
            <w:r>
              <w:t xml:space="preserve">p.6 </w:t>
            </w:r>
            <w:r w:rsidR="009872B7">
              <w:t>Addition of Appendix 1</w:t>
            </w:r>
            <w:r>
              <w:t xml:space="preserve"> providing new Gifts and Hospitality Register </w:t>
            </w:r>
          </w:p>
        </w:tc>
      </w:tr>
    </w:tbl>
    <w:p w14:paraId="020F6F2E" w14:textId="179EF909"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48C4809F" w14:textId="5AAB0F60"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6A1A4BF8" w14:textId="61DE9F92" w:rsidR="009872B7" w:rsidRDefault="00F2632A">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87529288" w:history="1">
            <w:r w:rsidR="009872B7" w:rsidRPr="00A17EA8">
              <w:rPr>
                <w:rStyle w:val="Hyperlink"/>
                <w:rFonts w:eastAsia="MS Mincho"/>
                <w:noProof/>
              </w:rPr>
              <w:t>1.</w:t>
            </w:r>
            <w:r w:rsidR="009872B7">
              <w:rPr>
                <w:rFonts w:asciiTheme="minorHAnsi" w:hAnsiTheme="minorHAnsi"/>
                <w:noProof/>
                <w:sz w:val="22"/>
                <w:szCs w:val="22"/>
                <w:lang w:eastAsia="en-GB"/>
              </w:rPr>
              <w:tab/>
            </w:r>
            <w:r w:rsidR="009872B7" w:rsidRPr="00A17EA8">
              <w:rPr>
                <w:rStyle w:val="Hyperlink"/>
                <w:rFonts w:eastAsia="MS Mincho"/>
                <w:noProof/>
              </w:rPr>
              <w:t>Introduction</w:t>
            </w:r>
            <w:r w:rsidR="009872B7">
              <w:rPr>
                <w:noProof/>
                <w:webHidden/>
              </w:rPr>
              <w:tab/>
            </w:r>
            <w:r w:rsidR="009872B7">
              <w:rPr>
                <w:noProof/>
                <w:webHidden/>
              </w:rPr>
              <w:fldChar w:fldCharType="begin"/>
            </w:r>
            <w:r w:rsidR="009872B7">
              <w:rPr>
                <w:noProof/>
                <w:webHidden/>
              </w:rPr>
              <w:instrText xml:space="preserve"> PAGEREF _Toc87529288 \h </w:instrText>
            </w:r>
            <w:r w:rsidR="009872B7">
              <w:rPr>
                <w:noProof/>
                <w:webHidden/>
              </w:rPr>
            </w:r>
            <w:r w:rsidR="009872B7">
              <w:rPr>
                <w:noProof/>
                <w:webHidden/>
              </w:rPr>
              <w:fldChar w:fldCharType="separate"/>
            </w:r>
            <w:r w:rsidR="009872B7">
              <w:rPr>
                <w:noProof/>
                <w:webHidden/>
              </w:rPr>
              <w:t>3</w:t>
            </w:r>
            <w:r w:rsidR="009872B7">
              <w:rPr>
                <w:noProof/>
                <w:webHidden/>
              </w:rPr>
              <w:fldChar w:fldCharType="end"/>
            </w:r>
          </w:hyperlink>
        </w:p>
        <w:p w14:paraId="0DE15DE9" w14:textId="394156D9" w:rsidR="009872B7" w:rsidRDefault="00ED12C3">
          <w:pPr>
            <w:pStyle w:val="TOC1"/>
            <w:tabs>
              <w:tab w:val="left" w:pos="440"/>
              <w:tab w:val="right" w:leader="dot" w:pos="9054"/>
            </w:tabs>
            <w:rPr>
              <w:rFonts w:asciiTheme="minorHAnsi" w:hAnsiTheme="minorHAnsi"/>
              <w:noProof/>
              <w:sz w:val="22"/>
              <w:szCs w:val="22"/>
              <w:lang w:eastAsia="en-GB"/>
            </w:rPr>
          </w:pPr>
          <w:hyperlink w:anchor="_Toc87529289" w:history="1">
            <w:r w:rsidR="009872B7" w:rsidRPr="00A17EA8">
              <w:rPr>
                <w:rStyle w:val="Hyperlink"/>
                <w:rFonts w:eastAsia="MS Mincho"/>
                <w:noProof/>
              </w:rPr>
              <w:t>2.</w:t>
            </w:r>
            <w:r w:rsidR="009872B7">
              <w:rPr>
                <w:rFonts w:asciiTheme="minorHAnsi" w:hAnsiTheme="minorHAnsi"/>
                <w:noProof/>
                <w:sz w:val="22"/>
                <w:szCs w:val="22"/>
                <w:lang w:eastAsia="en-GB"/>
              </w:rPr>
              <w:tab/>
            </w:r>
            <w:r w:rsidR="009872B7" w:rsidRPr="00A17EA8">
              <w:rPr>
                <w:rStyle w:val="Hyperlink"/>
                <w:rFonts w:eastAsia="MS Mincho"/>
                <w:noProof/>
              </w:rPr>
              <w:t>Objectives</w:t>
            </w:r>
            <w:r w:rsidR="009872B7">
              <w:rPr>
                <w:noProof/>
                <w:webHidden/>
              </w:rPr>
              <w:tab/>
            </w:r>
            <w:r w:rsidR="009872B7">
              <w:rPr>
                <w:noProof/>
                <w:webHidden/>
              </w:rPr>
              <w:fldChar w:fldCharType="begin"/>
            </w:r>
            <w:r w:rsidR="009872B7">
              <w:rPr>
                <w:noProof/>
                <w:webHidden/>
              </w:rPr>
              <w:instrText xml:space="preserve"> PAGEREF _Toc87529289 \h </w:instrText>
            </w:r>
            <w:r w:rsidR="009872B7">
              <w:rPr>
                <w:noProof/>
                <w:webHidden/>
              </w:rPr>
            </w:r>
            <w:r w:rsidR="009872B7">
              <w:rPr>
                <w:noProof/>
                <w:webHidden/>
              </w:rPr>
              <w:fldChar w:fldCharType="separate"/>
            </w:r>
            <w:r w:rsidR="009872B7">
              <w:rPr>
                <w:noProof/>
                <w:webHidden/>
              </w:rPr>
              <w:t>3</w:t>
            </w:r>
            <w:r w:rsidR="009872B7">
              <w:rPr>
                <w:noProof/>
                <w:webHidden/>
              </w:rPr>
              <w:fldChar w:fldCharType="end"/>
            </w:r>
          </w:hyperlink>
        </w:p>
        <w:p w14:paraId="19DC6DF1" w14:textId="0311F17A" w:rsidR="009872B7" w:rsidRDefault="00ED12C3">
          <w:pPr>
            <w:pStyle w:val="TOC1"/>
            <w:tabs>
              <w:tab w:val="left" w:pos="440"/>
              <w:tab w:val="right" w:leader="dot" w:pos="9054"/>
            </w:tabs>
            <w:rPr>
              <w:rFonts w:asciiTheme="minorHAnsi" w:hAnsiTheme="minorHAnsi"/>
              <w:noProof/>
              <w:sz w:val="22"/>
              <w:szCs w:val="22"/>
              <w:lang w:eastAsia="en-GB"/>
            </w:rPr>
          </w:pPr>
          <w:hyperlink w:anchor="_Toc87529290" w:history="1">
            <w:r w:rsidR="009872B7" w:rsidRPr="00A17EA8">
              <w:rPr>
                <w:rStyle w:val="Hyperlink"/>
                <w:rFonts w:eastAsia="MS Mincho"/>
                <w:noProof/>
              </w:rPr>
              <w:t>3.</w:t>
            </w:r>
            <w:r w:rsidR="009872B7">
              <w:rPr>
                <w:rFonts w:asciiTheme="minorHAnsi" w:hAnsiTheme="minorHAnsi"/>
                <w:noProof/>
                <w:sz w:val="22"/>
                <w:szCs w:val="22"/>
                <w:lang w:eastAsia="en-GB"/>
              </w:rPr>
              <w:tab/>
            </w:r>
            <w:r w:rsidR="009872B7" w:rsidRPr="00A17EA8">
              <w:rPr>
                <w:rStyle w:val="Hyperlink"/>
                <w:rFonts w:eastAsia="MS Mincho"/>
                <w:noProof/>
              </w:rPr>
              <w:t>Scope</w:t>
            </w:r>
            <w:r w:rsidR="009872B7">
              <w:rPr>
                <w:noProof/>
                <w:webHidden/>
              </w:rPr>
              <w:tab/>
            </w:r>
            <w:r w:rsidR="009872B7">
              <w:rPr>
                <w:noProof/>
                <w:webHidden/>
              </w:rPr>
              <w:fldChar w:fldCharType="begin"/>
            </w:r>
            <w:r w:rsidR="009872B7">
              <w:rPr>
                <w:noProof/>
                <w:webHidden/>
              </w:rPr>
              <w:instrText xml:space="preserve"> PAGEREF _Toc87529290 \h </w:instrText>
            </w:r>
            <w:r w:rsidR="009872B7">
              <w:rPr>
                <w:noProof/>
                <w:webHidden/>
              </w:rPr>
            </w:r>
            <w:r w:rsidR="009872B7">
              <w:rPr>
                <w:noProof/>
                <w:webHidden/>
              </w:rPr>
              <w:fldChar w:fldCharType="separate"/>
            </w:r>
            <w:r w:rsidR="009872B7">
              <w:rPr>
                <w:noProof/>
                <w:webHidden/>
              </w:rPr>
              <w:t>3</w:t>
            </w:r>
            <w:r w:rsidR="009872B7">
              <w:rPr>
                <w:noProof/>
                <w:webHidden/>
              </w:rPr>
              <w:fldChar w:fldCharType="end"/>
            </w:r>
          </w:hyperlink>
        </w:p>
        <w:p w14:paraId="3872762A" w14:textId="4F69A878" w:rsidR="009872B7" w:rsidRDefault="00ED12C3">
          <w:pPr>
            <w:pStyle w:val="TOC1"/>
            <w:tabs>
              <w:tab w:val="left" w:pos="440"/>
              <w:tab w:val="right" w:leader="dot" w:pos="9054"/>
            </w:tabs>
            <w:rPr>
              <w:rFonts w:asciiTheme="minorHAnsi" w:hAnsiTheme="minorHAnsi"/>
              <w:noProof/>
              <w:sz w:val="22"/>
              <w:szCs w:val="22"/>
              <w:lang w:eastAsia="en-GB"/>
            </w:rPr>
          </w:pPr>
          <w:hyperlink w:anchor="_Toc87529291" w:history="1">
            <w:r w:rsidR="009872B7" w:rsidRPr="00A17EA8">
              <w:rPr>
                <w:rStyle w:val="Hyperlink"/>
                <w:rFonts w:eastAsia="MS Mincho"/>
                <w:noProof/>
              </w:rPr>
              <w:t>4.</w:t>
            </w:r>
            <w:r w:rsidR="009872B7">
              <w:rPr>
                <w:rFonts w:asciiTheme="minorHAnsi" w:hAnsiTheme="minorHAnsi"/>
                <w:noProof/>
                <w:sz w:val="22"/>
                <w:szCs w:val="22"/>
                <w:lang w:eastAsia="en-GB"/>
              </w:rPr>
              <w:tab/>
            </w:r>
            <w:r w:rsidR="009872B7" w:rsidRPr="00A17EA8">
              <w:rPr>
                <w:rStyle w:val="Hyperlink"/>
                <w:rFonts w:eastAsia="MS Mincho"/>
                <w:noProof/>
              </w:rPr>
              <w:t>The purchase of alcohol</w:t>
            </w:r>
            <w:r w:rsidR="009872B7">
              <w:rPr>
                <w:noProof/>
                <w:webHidden/>
              </w:rPr>
              <w:tab/>
            </w:r>
            <w:r w:rsidR="009872B7">
              <w:rPr>
                <w:noProof/>
                <w:webHidden/>
              </w:rPr>
              <w:fldChar w:fldCharType="begin"/>
            </w:r>
            <w:r w:rsidR="009872B7">
              <w:rPr>
                <w:noProof/>
                <w:webHidden/>
              </w:rPr>
              <w:instrText xml:space="preserve"> PAGEREF _Toc87529291 \h </w:instrText>
            </w:r>
            <w:r w:rsidR="009872B7">
              <w:rPr>
                <w:noProof/>
                <w:webHidden/>
              </w:rPr>
            </w:r>
            <w:r w:rsidR="009872B7">
              <w:rPr>
                <w:noProof/>
                <w:webHidden/>
              </w:rPr>
              <w:fldChar w:fldCharType="separate"/>
            </w:r>
            <w:r w:rsidR="009872B7">
              <w:rPr>
                <w:noProof/>
                <w:webHidden/>
              </w:rPr>
              <w:t>3</w:t>
            </w:r>
            <w:r w:rsidR="009872B7">
              <w:rPr>
                <w:noProof/>
                <w:webHidden/>
              </w:rPr>
              <w:fldChar w:fldCharType="end"/>
            </w:r>
          </w:hyperlink>
        </w:p>
        <w:p w14:paraId="1A2C0B44" w14:textId="64B819CA" w:rsidR="009872B7" w:rsidRDefault="00ED12C3">
          <w:pPr>
            <w:pStyle w:val="TOC1"/>
            <w:tabs>
              <w:tab w:val="left" w:pos="440"/>
              <w:tab w:val="right" w:leader="dot" w:pos="9054"/>
            </w:tabs>
            <w:rPr>
              <w:rFonts w:asciiTheme="minorHAnsi" w:hAnsiTheme="minorHAnsi"/>
              <w:noProof/>
              <w:sz w:val="22"/>
              <w:szCs w:val="22"/>
              <w:lang w:eastAsia="en-GB"/>
            </w:rPr>
          </w:pPr>
          <w:hyperlink w:anchor="_Toc87529292" w:history="1">
            <w:r w:rsidR="009872B7" w:rsidRPr="00A17EA8">
              <w:rPr>
                <w:rStyle w:val="Hyperlink"/>
                <w:rFonts w:eastAsia="MS Mincho"/>
                <w:noProof/>
              </w:rPr>
              <w:t>5.</w:t>
            </w:r>
            <w:r w:rsidR="009872B7">
              <w:rPr>
                <w:rFonts w:asciiTheme="minorHAnsi" w:hAnsiTheme="minorHAnsi"/>
                <w:noProof/>
                <w:sz w:val="22"/>
                <w:szCs w:val="22"/>
                <w:lang w:eastAsia="en-GB"/>
              </w:rPr>
              <w:tab/>
            </w:r>
            <w:r w:rsidR="009872B7" w:rsidRPr="00A17EA8">
              <w:rPr>
                <w:rStyle w:val="Hyperlink"/>
                <w:rFonts w:eastAsia="MS Mincho"/>
                <w:noProof/>
              </w:rPr>
              <w:t>The receipt of gifts</w:t>
            </w:r>
            <w:r w:rsidR="009872B7">
              <w:rPr>
                <w:noProof/>
                <w:webHidden/>
              </w:rPr>
              <w:tab/>
            </w:r>
            <w:r w:rsidR="009872B7">
              <w:rPr>
                <w:noProof/>
                <w:webHidden/>
              </w:rPr>
              <w:fldChar w:fldCharType="begin"/>
            </w:r>
            <w:r w:rsidR="009872B7">
              <w:rPr>
                <w:noProof/>
                <w:webHidden/>
              </w:rPr>
              <w:instrText xml:space="preserve"> PAGEREF _Toc87529292 \h </w:instrText>
            </w:r>
            <w:r w:rsidR="009872B7">
              <w:rPr>
                <w:noProof/>
                <w:webHidden/>
              </w:rPr>
            </w:r>
            <w:r w:rsidR="009872B7">
              <w:rPr>
                <w:noProof/>
                <w:webHidden/>
              </w:rPr>
              <w:fldChar w:fldCharType="separate"/>
            </w:r>
            <w:r w:rsidR="009872B7">
              <w:rPr>
                <w:noProof/>
                <w:webHidden/>
              </w:rPr>
              <w:t>3</w:t>
            </w:r>
            <w:r w:rsidR="009872B7">
              <w:rPr>
                <w:noProof/>
                <w:webHidden/>
              </w:rPr>
              <w:fldChar w:fldCharType="end"/>
            </w:r>
          </w:hyperlink>
        </w:p>
        <w:p w14:paraId="26B8F9A9" w14:textId="6017B159" w:rsidR="009872B7" w:rsidRDefault="00ED12C3">
          <w:pPr>
            <w:pStyle w:val="TOC1"/>
            <w:tabs>
              <w:tab w:val="left" w:pos="440"/>
              <w:tab w:val="right" w:leader="dot" w:pos="9054"/>
            </w:tabs>
            <w:rPr>
              <w:rFonts w:asciiTheme="minorHAnsi" w:hAnsiTheme="minorHAnsi"/>
              <w:noProof/>
              <w:sz w:val="22"/>
              <w:szCs w:val="22"/>
              <w:lang w:eastAsia="en-GB"/>
            </w:rPr>
          </w:pPr>
          <w:hyperlink w:anchor="_Toc87529293" w:history="1">
            <w:r w:rsidR="009872B7" w:rsidRPr="00A17EA8">
              <w:rPr>
                <w:rStyle w:val="Hyperlink"/>
                <w:rFonts w:eastAsia="MS Mincho"/>
                <w:noProof/>
              </w:rPr>
              <w:t>6.</w:t>
            </w:r>
            <w:r w:rsidR="009872B7">
              <w:rPr>
                <w:rFonts w:asciiTheme="minorHAnsi" w:hAnsiTheme="minorHAnsi"/>
                <w:noProof/>
                <w:sz w:val="22"/>
                <w:szCs w:val="22"/>
                <w:lang w:eastAsia="en-GB"/>
              </w:rPr>
              <w:tab/>
            </w:r>
            <w:r w:rsidR="009872B7" w:rsidRPr="00A17EA8">
              <w:rPr>
                <w:rStyle w:val="Hyperlink"/>
                <w:rFonts w:eastAsia="MS Mincho"/>
                <w:noProof/>
              </w:rPr>
              <w:t>The provision of gifts/hospitality</w:t>
            </w:r>
            <w:r w:rsidR="009872B7">
              <w:rPr>
                <w:noProof/>
                <w:webHidden/>
              </w:rPr>
              <w:tab/>
            </w:r>
            <w:r w:rsidR="009872B7">
              <w:rPr>
                <w:noProof/>
                <w:webHidden/>
              </w:rPr>
              <w:fldChar w:fldCharType="begin"/>
            </w:r>
            <w:r w:rsidR="009872B7">
              <w:rPr>
                <w:noProof/>
                <w:webHidden/>
              </w:rPr>
              <w:instrText xml:space="preserve"> PAGEREF _Toc87529293 \h </w:instrText>
            </w:r>
            <w:r w:rsidR="009872B7">
              <w:rPr>
                <w:noProof/>
                <w:webHidden/>
              </w:rPr>
            </w:r>
            <w:r w:rsidR="009872B7">
              <w:rPr>
                <w:noProof/>
                <w:webHidden/>
              </w:rPr>
              <w:fldChar w:fldCharType="separate"/>
            </w:r>
            <w:r w:rsidR="009872B7">
              <w:rPr>
                <w:noProof/>
                <w:webHidden/>
              </w:rPr>
              <w:t>5</w:t>
            </w:r>
            <w:r w:rsidR="009872B7">
              <w:rPr>
                <w:noProof/>
                <w:webHidden/>
              </w:rPr>
              <w:fldChar w:fldCharType="end"/>
            </w:r>
          </w:hyperlink>
        </w:p>
        <w:p w14:paraId="214E8696" w14:textId="234610B5" w:rsidR="009872B7" w:rsidRDefault="00ED12C3">
          <w:pPr>
            <w:pStyle w:val="TOC1"/>
            <w:tabs>
              <w:tab w:val="right" w:leader="dot" w:pos="9054"/>
            </w:tabs>
            <w:rPr>
              <w:rFonts w:asciiTheme="minorHAnsi" w:hAnsiTheme="minorHAnsi"/>
              <w:noProof/>
              <w:sz w:val="22"/>
              <w:szCs w:val="22"/>
              <w:lang w:eastAsia="en-GB"/>
            </w:rPr>
          </w:pPr>
          <w:hyperlink w:anchor="_Toc87529294" w:history="1">
            <w:r w:rsidR="009872B7" w:rsidRPr="00A17EA8">
              <w:rPr>
                <w:rStyle w:val="Hyperlink"/>
                <w:noProof/>
              </w:rPr>
              <w:t>Appendix 1</w:t>
            </w:r>
            <w:r w:rsidR="009872B7">
              <w:rPr>
                <w:noProof/>
                <w:webHidden/>
              </w:rPr>
              <w:tab/>
            </w:r>
            <w:r w:rsidR="009872B7">
              <w:rPr>
                <w:noProof/>
                <w:webHidden/>
              </w:rPr>
              <w:fldChar w:fldCharType="begin"/>
            </w:r>
            <w:r w:rsidR="009872B7">
              <w:rPr>
                <w:noProof/>
                <w:webHidden/>
              </w:rPr>
              <w:instrText xml:space="preserve"> PAGEREF _Toc87529294 \h </w:instrText>
            </w:r>
            <w:r w:rsidR="009872B7">
              <w:rPr>
                <w:noProof/>
                <w:webHidden/>
              </w:rPr>
            </w:r>
            <w:r w:rsidR="009872B7">
              <w:rPr>
                <w:noProof/>
                <w:webHidden/>
              </w:rPr>
              <w:fldChar w:fldCharType="separate"/>
            </w:r>
            <w:r w:rsidR="009872B7">
              <w:rPr>
                <w:noProof/>
                <w:webHidden/>
              </w:rPr>
              <w:t>6</w:t>
            </w:r>
            <w:r w:rsidR="009872B7">
              <w:rPr>
                <w:noProof/>
                <w:webHidden/>
              </w:rPr>
              <w:fldChar w:fldCharType="end"/>
            </w:r>
          </w:hyperlink>
        </w:p>
        <w:p w14:paraId="5C8DF930" w14:textId="344F7043" w:rsidR="009872B7" w:rsidRDefault="00ED12C3">
          <w:pPr>
            <w:pStyle w:val="TOC2"/>
            <w:tabs>
              <w:tab w:val="right" w:leader="dot" w:pos="9054"/>
            </w:tabs>
            <w:rPr>
              <w:rFonts w:asciiTheme="minorHAnsi" w:hAnsiTheme="minorHAnsi"/>
              <w:noProof/>
              <w:sz w:val="22"/>
              <w:szCs w:val="22"/>
              <w:lang w:eastAsia="en-GB"/>
            </w:rPr>
          </w:pPr>
          <w:hyperlink w:anchor="_Toc87529295" w:history="1">
            <w:r w:rsidR="009872B7" w:rsidRPr="00A17EA8">
              <w:rPr>
                <w:rStyle w:val="Hyperlink"/>
                <w:noProof/>
              </w:rPr>
              <w:t>Gifts and Hospitality Register</w:t>
            </w:r>
            <w:r w:rsidR="009872B7">
              <w:rPr>
                <w:noProof/>
                <w:webHidden/>
              </w:rPr>
              <w:tab/>
            </w:r>
            <w:r w:rsidR="009872B7">
              <w:rPr>
                <w:noProof/>
                <w:webHidden/>
              </w:rPr>
              <w:fldChar w:fldCharType="begin"/>
            </w:r>
            <w:r w:rsidR="009872B7">
              <w:rPr>
                <w:noProof/>
                <w:webHidden/>
              </w:rPr>
              <w:instrText xml:space="preserve"> PAGEREF _Toc87529295 \h </w:instrText>
            </w:r>
            <w:r w:rsidR="009872B7">
              <w:rPr>
                <w:noProof/>
                <w:webHidden/>
              </w:rPr>
            </w:r>
            <w:r w:rsidR="009872B7">
              <w:rPr>
                <w:noProof/>
                <w:webHidden/>
              </w:rPr>
              <w:fldChar w:fldCharType="separate"/>
            </w:r>
            <w:r w:rsidR="009872B7">
              <w:rPr>
                <w:noProof/>
                <w:webHidden/>
              </w:rPr>
              <w:t>6</w:t>
            </w:r>
            <w:r w:rsidR="009872B7">
              <w:rPr>
                <w:noProof/>
                <w:webHidden/>
              </w:rPr>
              <w:fldChar w:fldCharType="end"/>
            </w:r>
          </w:hyperlink>
        </w:p>
        <w:p w14:paraId="4C634083" w14:textId="4D9D9854"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74EBAE4A" w14:textId="61372366"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4E4D4D48" w14:textId="74662EFC" w:rsidR="00970D64" w:rsidRPr="00970D64" w:rsidRDefault="005E0C46" w:rsidP="00970D64">
      <w:pPr>
        <w:pStyle w:val="OATheader"/>
        <w:numPr>
          <w:ilvl w:val="0"/>
          <w:numId w:val="7"/>
        </w:numPr>
        <w:rPr>
          <w:rFonts w:eastAsia="MS Mincho"/>
        </w:rPr>
      </w:pPr>
      <w:r>
        <w:rPr>
          <w:rFonts w:eastAsia="MS Mincho"/>
        </w:rPr>
        <w:lastRenderedPageBreak/>
        <w:t xml:space="preserve"> </w:t>
      </w:r>
      <w:bookmarkStart w:id="0" w:name="_Toc87529288"/>
      <w:r w:rsidR="00970D64" w:rsidRPr="00970D64">
        <w:rPr>
          <w:rFonts w:eastAsia="MS Mincho"/>
        </w:rPr>
        <w:t>Introduction</w:t>
      </w:r>
      <w:bookmarkEnd w:id="0"/>
      <w:r w:rsidR="00970D64" w:rsidRPr="00970D64">
        <w:rPr>
          <w:rFonts w:eastAsia="MS Mincho"/>
        </w:rPr>
        <w:t xml:space="preserve"> </w:t>
      </w:r>
    </w:p>
    <w:p w14:paraId="069AAF35" w14:textId="6BFA06CF" w:rsidR="00970D64" w:rsidRDefault="00970D64" w:rsidP="00A3658E">
      <w:pPr>
        <w:pStyle w:val="OATbodystyle"/>
        <w:numPr>
          <w:ilvl w:val="1"/>
          <w:numId w:val="7"/>
        </w:numPr>
        <w:tabs>
          <w:tab w:val="clear" w:pos="284"/>
          <w:tab w:val="left" w:pos="426"/>
        </w:tabs>
        <w:spacing w:before="240"/>
        <w:ind w:left="426" w:hanging="426"/>
      </w:pPr>
      <w:r>
        <w:t>As a general guideline, gifts, hospitality or other personal benefits (hereinafter referred to as “Gifts”) should not be accepted or offered by any member of staff, except as provided for below.</w:t>
      </w:r>
    </w:p>
    <w:p w14:paraId="3D76A5DA" w14:textId="589A2546" w:rsidR="00970D64" w:rsidRDefault="00970D64" w:rsidP="00C64DA7">
      <w:pPr>
        <w:pStyle w:val="OATbodystyle"/>
        <w:numPr>
          <w:ilvl w:val="1"/>
          <w:numId w:val="7"/>
        </w:numPr>
        <w:tabs>
          <w:tab w:val="clear" w:pos="284"/>
          <w:tab w:val="left" w:pos="426"/>
        </w:tabs>
        <w:ind w:left="426" w:hanging="426"/>
      </w:pPr>
      <w:r>
        <w:t xml:space="preserve">Any breach of this </w:t>
      </w:r>
      <w:r w:rsidR="009914AE">
        <w:t xml:space="preserve">Ormiston Academies Trust (OAT) </w:t>
      </w:r>
      <w:r>
        <w:t>Policy could lead to disciplinary action and may constitute gross misconduct.</w:t>
      </w:r>
    </w:p>
    <w:p w14:paraId="0BC582A0" w14:textId="74BB63D9" w:rsidR="00970D64" w:rsidRPr="005E0C46" w:rsidRDefault="005E0C46" w:rsidP="005E0C46">
      <w:pPr>
        <w:pStyle w:val="OATheader"/>
        <w:numPr>
          <w:ilvl w:val="0"/>
          <w:numId w:val="7"/>
        </w:numPr>
        <w:rPr>
          <w:rFonts w:eastAsia="MS Mincho"/>
        </w:rPr>
      </w:pPr>
      <w:r>
        <w:rPr>
          <w:rFonts w:eastAsia="MS Mincho"/>
        </w:rPr>
        <w:t xml:space="preserve"> </w:t>
      </w:r>
      <w:bookmarkStart w:id="1" w:name="_Toc87529289"/>
      <w:r w:rsidR="00970D64" w:rsidRPr="005E0C46">
        <w:rPr>
          <w:rFonts w:eastAsia="MS Mincho"/>
        </w:rPr>
        <w:t>Objectives</w:t>
      </w:r>
      <w:bookmarkEnd w:id="1"/>
      <w:r w:rsidR="00970D64" w:rsidRPr="005E0C46">
        <w:rPr>
          <w:rFonts w:eastAsia="MS Mincho"/>
        </w:rPr>
        <w:t xml:space="preserve"> </w:t>
      </w:r>
    </w:p>
    <w:p w14:paraId="3330F337" w14:textId="77777777" w:rsidR="00970D64" w:rsidRDefault="00970D64" w:rsidP="00A3658E">
      <w:pPr>
        <w:pStyle w:val="OATbodystyle"/>
        <w:numPr>
          <w:ilvl w:val="1"/>
          <w:numId w:val="7"/>
        </w:numPr>
        <w:tabs>
          <w:tab w:val="clear" w:pos="284"/>
          <w:tab w:val="left" w:pos="426"/>
        </w:tabs>
        <w:spacing w:before="240"/>
        <w:ind w:left="284" w:hanging="284"/>
      </w:pPr>
      <w:r>
        <w:t xml:space="preserve">The objectives of the OAT Policy are: </w:t>
      </w:r>
    </w:p>
    <w:p w14:paraId="77EF5C92" w14:textId="37A43900" w:rsidR="00970D64" w:rsidRDefault="00970D64" w:rsidP="005E0C46">
      <w:pPr>
        <w:pStyle w:val="OATliststyle"/>
      </w:pPr>
      <w:r>
        <w:t>Ensure the Trust can demonstrate that no improper influence has been applied to decisions made.</w:t>
      </w:r>
    </w:p>
    <w:p w14:paraId="2634A10A" w14:textId="292401A5" w:rsidR="00970D64" w:rsidRDefault="00970D64" w:rsidP="005E0C46">
      <w:pPr>
        <w:pStyle w:val="OATliststyle"/>
      </w:pPr>
      <w:r>
        <w:t>To show that all decisions whether educational, financial or otherwise are reached on the basis of the proper application of OAT procedures.</w:t>
      </w:r>
    </w:p>
    <w:p w14:paraId="4C12BF9E" w14:textId="03E8D12C" w:rsidR="00970D64" w:rsidRPr="005E0C46" w:rsidRDefault="005E0C46" w:rsidP="005E0C46">
      <w:pPr>
        <w:pStyle w:val="OATheader"/>
        <w:numPr>
          <w:ilvl w:val="0"/>
          <w:numId w:val="7"/>
        </w:numPr>
        <w:rPr>
          <w:rFonts w:eastAsia="MS Mincho"/>
        </w:rPr>
      </w:pPr>
      <w:r>
        <w:rPr>
          <w:rFonts w:eastAsia="MS Mincho"/>
        </w:rPr>
        <w:t xml:space="preserve"> </w:t>
      </w:r>
      <w:bookmarkStart w:id="2" w:name="_Toc87529290"/>
      <w:r w:rsidR="00970D64" w:rsidRPr="005E0C46">
        <w:rPr>
          <w:rFonts w:eastAsia="MS Mincho"/>
        </w:rPr>
        <w:t>Scope</w:t>
      </w:r>
      <w:bookmarkEnd w:id="2"/>
      <w:r w:rsidR="00970D64" w:rsidRPr="005E0C46">
        <w:rPr>
          <w:rFonts w:eastAsia="MS Mincho"/>
        </w:rPr>
        <w:t xml:space="preserve"> </w:t>
      </w:r>
    </w:p>
    <w:p w14:paraId="064DF914" w14:textId="77777777" w:rsidR="00970D64" w:rsidRDefault="00970D64" w:rsidP="00A3658E">
      <w:pPr>
        <w:pStyle w:val="OATbodystyle"/>
        <w:numPr>
          <w:ilvl w:val="1"/>
          <w:numId w:val="7"/>
        </w:numPr>
        <w:tabs>
          <w:tab w:val="clear" w:pos="284"/>
          <w:tab w:val="left" w:pos="426"/>
        </w:tabs>
        <w:spacing w:before="240"/>
        <w:ind w:left="284" w:hanging="284"/>
      </w:pPr>
      <w:r>
        <w:t>The Policies and Procedures apply to all employees of OAT.</w:t>
      </w:r>
    </w:p>
    <w:p w14:paraId="0DE96620" w14:textId="3EC5FC59" w:rsidR="00970D64" w:rsidRPr="005E0C46" w:rsidRDefault="005E0C46" w:rsidP="005E0C46">
      <w:pPr>
        <w:pStyle w:val="OATheader"/>
        <w:numPr>
          <w:ilvl w:val="0"/>
          <w:numId w:val="7"/>
        </w:numPr>
        <w:rPr>
          <w:rFonts w:eastAsia="MS Mincho"/>
        </w:rPr>
      </w:pPr>
      <w:r>
        <w:rPr>
          <w:rFonts w:eastAsia="MS Mincho"/>
        </w:rPr>
        <w:t xml:space="preserve"> </w:t>
      </w:r>
      <w:bookmarkStart w:id="3" w:name="_Toc87529291"/>
      <w:r w:rsidR="00970D64" w:rsidRPr="005E0C46">
        <w:rPr>
          <w:rFonts w:eastAsia="MS Mincho"/>
        </w:rPr>
        <w:t>The purchase of alcohol</w:t>
      </w:r>
      <w:bookmarkEnd w:id="3"/>
    </w:p>
    <w:p w14:paraId="4DFF7F04" w14:textId="45B9E5CB" w:rsidR="00970D64" w:rsidRDefault="00970D64" w:rsidP="00A3658E">
      <w:pPr>
        <w:pStyle w:val="OATbodystyle"/>
        <w:numPr>
          <w:ilvl w:val="1"/>
          <w:numId w:val="7"/>
        </w:numPr>
        <w:tabs>
          <w:tab w:val="clear" w:pos="284"/>
          <w:tab w:val="left" w:pos="426"/>
        </w:tabs>
        <w:spacing w:before="240"/>
        <w:ind w:left="426" w:hanging="426"/>
      </w:pPr>
      <w:r>
        <w:t xml:space="preserve">The purchase of alcohol using </w:t>
      </w:r>
      <w:r w:rsidR="0032449F">
        <w:t>any Trust fund</w:t>
      </w:r>
      <w:r>
        <w:t xml:space="preserve"> is prohibited.  Corporate</w:t>
      </w:r>
      <w:r w:rsidR="00377EFE">
        <w:t xml:space="preserve"> procurement cards</w:t>
      </w:r>
      <w:r>
        <w:t xml:space="preserve"> must </w:t>
      </w:r>
      <w:r w:rsidR="0032449F">
        <w:t xml:space="preserve">also </w:t>
      </w:r>
      <w:r>
        <w:t>not be used to purchase alcohol.</w:t>
      </w:r>
      <w:r w:rsidR="0032449F">
        <w:t xml:space="preserve"> </w:t>
      </w:r>
    </w:p>
    <w:p w14:paraId="5DB8886E" w14:textId="75107BDB" w:rsidR="00970D64" w:rsidRPr="005E0C46" w:rsidRDefault="00970D64" w:rsidP="005E0C46">
      <w:pPr>
        <w:pStyle w:val="OATheader"/>
        <w:numPr>
          <w:ilvl w:val="0"/>
          <w:numId w:val="7"/>
        </w:numPr>
        <w:rPr>
          <w:rFonts w:eastAsia="MS Mincho"/>
        </w:rPr>
      </w:pPr>
      <w:bookmarkStart w:id="4" w:name="_Toc87529292"/>
      <w:r w:rsidRPr="005E0C46">
        <w:rPr>
          <w:rFonts w:eastAsia="MS Mincho"/>
        </w:rPr>
        <w:t>The receipt of gifts</w:t>
      </w:r>
      <w:bookmarkEnd w:id="4"/>
    </w:p>
    <w:p w14:paraId="1ACA66FE" w14:textId="763266A4" w:rsidR="00970D64" w:rsidRDefault="00970D64" w:rsidP="00A3658E">
      <w:pPr>
        <w:pStyle w:val="OATbodystyle"/>
        <w:numPr>
          <w:ilvl w:val="1"/>
          <w:numId w:val="7"/>
        </w:numPr>
        <w:tabs>
          <w:tab w:val="clear" w:pos="284"/>
          <w:tab w:val="left" w:pos="426"/>
        </w:tabs>
        <w:spacing w:before="240"/>
        <w:ind w:left="426" w:hanging="426"/>
      </w:pPr>
      <w:r>
        <w:t xml:space="preserve">The Trust encourages and expects staff and governors to use their networks and contacts for its benefit.  It is however a fundamental requirement on all staff, the contravention of which would be considered to be gross misconduct, that they must not derive any financial benefit beyond their agreed salary from the decisions they make or contribute to, which involve the education of students, or the spending of the significant sums of public money that are entrusted to the Trust or its Academies. Therefore, staff shall not use their authority or office for personal gain beyond their agreed salary and shall seek to uphold and enhance the standing of the Trust by: </w:t>
      </w:r>
    </w:p>
    <w:p w14:paraId="61DDCD8D" w14:textId="3326B95D" w:rsidR="00970D64" w:rsidRDefault="00FB1FD2" w:rsidP="00FB1FD2">
      <w:pPr>
        <w:pStyle w:val="OATliststyle"/>
      </w:pPr>
      <w:r>
        <w:t>M</w:t>
      </w:r>
      <w:r w:rsidR="00970D64">
        <w:t>aintaining an unimpeachable standard of honesty and integrity in all their business and other relationships</w:t>
      </w:r>
    </w:p>
    <w:p w14:paraId="15238BAB" w14:textId="332B2363" w:rsidR="00970D64" w:rsidRDefault="00FB1FD2" w:rsidP="00FB1FD2">
      <w:pPr>
        <w:pStyle w:val="OATliststyle"/>
      </w:pPr>
      <w:r>
        <w:t>C</w:t>
      </w:r>
      <w:r w:rsidR="00970D64">
        <w:t>omplying with the letter and spirit of the law in contractual obligations, rejecting any business practice that might be deemed improper</w:t>
      </w:r>
    </w:p>
    <w:p w14:paraId="33EEC8FF" w14:textId="309F58E4" w:rsidR="00970D64" w:rsidRDefault="00FB1FD2" w:rsidP="00FB1FD2">
      <w:pPr>
        <w:pStyle w:val="OATliststyle"/>
        <w:tabs>
          <w:tab w:val="clear" w:pos="284"/>
          <w:tab w:val="left" w:pos="426"/>
        </w:tabs>
      </w:pPr>
      <w:r>
        <w:t>A</w:t>
      </w:r>
      <w:r w:rsidR="00970D64">
        <w:t>t all times in their business and other relationships, act to maintain the interests and good reputation of the Trust</w:t>
      </w:r>
    </w:p>
    <w:p w14:paraId="57E180FE" w14:textId="07198906" w:rsidR="00970D64" w:rsidRDefault="00970D64" w:rsidP="00C64DA7">
      <w:pPr>
        <w:pStyle w:val="OATbodystyle"/>
        <w:numPr>
          <w:ilvl w:val="1"/>
          <w:numId w:val="7"/>
        </w:numPr>
        <w:tabs>
          <w:tab w:val="clear" w:pos="284"/>
          <w:tab w:val="left" w:pos="426"/>
        </w:tabs>
        <w:ind w:left="426" w:hanging="426"/>
      </w:pPr>
      <w:r>
        <w:lastRenderedPageBreak/>
        <w:t>Any employee who becomes aware of a breach of Policy must refer to the Trust’s Whistle</w:t>
      </w:r>
      <w:r w:rsidR="009872B7">
        <w:t>b</w:t>
      </w:r>
      <w:r>
        <w:t>lowing Policy and report the alleged breach immediately to his or her line manager who will instigate investigations as necessary.</w:t>
      </w:r>
    </w:p>
    <w:p w14:paraId="096ECE77" w14:textId="63942A98" w:rsidR="00970D64" w:rsidRDefault="00970D64" w:rsidP="00C64DA7">
      <w:pPr>
        <w:pStyle w:val="OATbodystyle"/>
        <w:numPr>
          <w:ilvl w:val="1"/>
          <w:numId w:val="7"/>
        </w:numPr>
        <w:tabs>
          <w:tab w:val="clear" w:pos="284"/>
          <w:tab w:val="left" w:pos="426"/>
        </w:tabs>
        <w:ind w:left="426" w:hanging="426"/>
      </w:pPr>
      <w:r>
        <w:t>Any personal interest that may impinge, or might reasonably be deemed by others to impinge, on an employee's impartiality, or conflict with the duty owed to the Trust in any matter relevant to an employee's duties (such as conflicting business interests) shall be declared in writing.  Any member of staff who is aware of any business dealings conferring personal gain</w:t>
      </w:r>
      <w:r w:rsidR="00FD1880">
        <w:t xml:space="preserve"> </w:t>
      </w:r>
      <w:r>
        <w:t>or involving their relatives or associates must make an appropriate entry in the Register of Business Interests.</w:t>
      </w:r>
    </w:p>
    <w:p w14:paraId="7AF3697E" w14:textId="749A26D6" w:rsidR="00970D64" w:rsidRDefault="00970D64" w:rsidP="00C64DA7">
      <w:pPr>
        <w:pStyle w:val="OATbodystyle"/>
        <w:numPr>
          <w:ilvl w:val="1"/>
          <w:numId w:val="7"/>
        </w:numPr>
        <w:tabs>
          <w:tab w:val="clear" w:pos="284"/>
          <w:tab w:val="left" w:pos="426"/>
        </w:tabs>
        <w:ind w:left="426" w:hanging="426"/>
      </w:pPr>
      <w:r>
        <w:t xml:space="preserve">Staff are permitted to accept gifts, rewards or benefits from students, students’ families, members of the public, or </w:t>
      </w:r>
      <w:proofErr w:type="spellStart"/>
      <w:r>
        <w:t>organisations</w:t>
      </w:r>
      <w:proofErr w:type="spellEnd"/>
      <w:r>
        <w:t xml:space="preserve"> which the Trust has official contacts with, only where they are isolated gifts of a trivial character, or inexpensive seasonal gifts (such as chocolates, flowers, diaries or calendars). Therefore, gifts should not be accepted if they appear to be disproportionately generous</w:t>
      </w:r>
      <w:r w:rsidR="00FD1880">
        <w:t xml:space="preserve"> </w:t>
      </w:r>
      <w:r>
        <w:t xml:space="preserve">or could be construed as an inducement to affect a decision or action, whether business, educational, or other. </w:t>
      </w:r>
    </w:p>
    <w:p w14:paraId="48A0AD28" w14:textId="57FF1F9B" w:rsidR="00970D64" w:rsidRDefault="00970D64" w:rsidP="00465466">
      <w:pPr>
        <w:pStyle w:val="OATbodystyle"/>
        <w:numPr>
          <w:ilvl w:val="1"/>
          <w:numId w:val="7"/>
        </w:numPr>
        <w:tabs>
          <w:tab w:val="clear" w:pos="284"/>
          <w:tab w:val="left" w:pos="426"/>
        </w:tabs>
        <w:ind w:left="426" w:hanging="426"/>
      </w:pPr>
      <w:r>
        <w:t xml:space="preserve">Gifts of alcohol will not be considered trivial or inexpensive and should not be given or received except where the rejection of receipt is likely to cause offense that it is reasonable to determine would be of detriment the Trust. </w:t>
      </w:r>
    </w:p>
    <w:p w14:paraId="75B37D61" w14:textId="56213768" w:rsidR="00970D64" w:rsidRDefault="00970D64" w:rsidP="00465466">
      <w:pPr>
        <w:pStyle w:val="OATbodystyle"/>
        <w:numPr>
          <w:ilvl w:val="1"/>
          <w:numId w:val="7"/>
        </w:numPr>
        <w:tabs>
          <w:tab w:val="clear" w:pos="284"/>
          <w:tab w:val="left" w:pos="426"/>
        </w:tabs>
        <w:ind w:left="426" w:hanging="426"/>
      </w:pPr>
      <w:r>
        <w:t>Where purchased items include a "free gift", such a gift should be either used for Trust business or handed to the Trust to be used at charity raffles, pupil prizes, etc.</w:t>
      </w:r>
    </w:p>
    <w:p w14:paraId="39999702" w14:textId="79AA5343" w:rsidR="00970D64" w:rsidRDefault="00970D64" w:rsidP="00465466">
      <w:pPr>
        <w:pStyle w:val="OATbodystyle"/>
        <w:numPr>
          <w:ilvl w:val="1"/>
          <w:numId w:val="7"/>
        </w:numPr>
        <w:tabs>
          <w:tab w:val="clear" w:pos="284"/>
          <w:tab w:val="left" w:pos="426"/>
        </w:tabs>
        <w:ind w:left="426" w:hanging="426"/>
      </w:pPr>
      <w:r>
        <w:t>In relation to conventional hospitality (lunches, outings, tickets for events, etc</w:t>
      </w:r>
      <w:r w:rsidR="009872B7">
        <w:t>.</w:t>
      </w:r>
      <w:r>
        <w:t xml:space="preserve">), it may be accepted provided that it is normal and reasonable in the circumstances.  However, invitations for the following should not be accepted: </w:t>
      </w:r>
    </w:p>
    <w:p w14:paraId="544308FC" w14:textId="1D08B88B" w:rsidR="00970D64" w:rsidRDefault="00970D64" w:rsidP="00465466">
      <w:pPr>
        <w:pStyle w:val="OATliststyle"/>
      </w:pPr>
      <w:r>
        <w:t>where there is no reasonable business justification for doing so</w:t>
      </w:r>
    </w:p>
    <w:p w14:paraId="2ABC938D" w14:textId="755F7683" w:rsidR="00970D64" w:rsidRDefault="00970D64" w:rsidP="00465466">
      <w:pPr>
        <w:pStyle w:val="OATliststyle"/>
      </w:pPr>
      <w:r>
        <w:t>where an invitation is disproportionately generous</w:t>
      </w:r>
    </w:p>
    <w:p w14:paraId="702C8BF0" w14:textId="3858284D" w:rsidR="00970D64" w:rsidRDefault="00970D64" w:rsidP="00465466">
      <w:pPr>
        <w:pStyle w:val="OATliststyle"/>
      </w:pPr>
      <w:r>
        <w:t>where the invitation could be seen as an inducement to affect a business or other decision.</w:t>
      </w:r>
    </w:p>
    <w:p w14:paraId="3D9D3312" w14:textId="22328948" w:rsidR="000C3F2B" w:rsidRDefault="00970D64" w:rsidP="000C3F2B">
      <w:pPr>
        <w:pStyle w:val="OATbodystyle"/>
        <w:numPr>
          <w:ilvl w:val="1"/>
          <w:numId w:val="7"/>
        </w:numPr>
        <w:tabs>
          <w:tab w:val="left" w:pos="426"/>
        </w:tabs>
        <w:ind w:left="426" w:hanging="426"/>
      </w:pPr>
      <w:r>
        <w:t xml:space="preserve">Any hospitality </w:t>
      </w:r>
      <w:r w:rsidR="0085354D">
        <w:t>over a</w:t>
      </w:r>
      <w:r>
        <w:t xml:space="preserve"> nominal value (£15) or facilities provided during the normal course of business should be reported to</w:t>
      </w:r>
      <w:r w:rsidR="000901F9">
        <w:t xml:space="preserve"> </w:t>
      </w:r>
      <w:r w:rsidR="00DF3F87">
        <w:t xml:space="preserve">the </w:t>
      </w:r>
      <w:r w:rsidR="009872B7">
        <w:t>p</w:t>
      </w:r>
      <w:r w:rsidR="00DF3F87">
        <w:t xml:space="preserve">rincipal </w:t>
      </w:r>
      <w:r w:rsidR="004E6C53">
        <w:t>at</w:t>
      </w:r>
      <w:r w:rsidR="00532064">
        <w:t xml:space="preserve"> the </w:t>
      </w:r>
      <w:r w:rsidR="00DB08C2">
        <w:t>a</w:t>
      </w:r>
      <w:r w:rsidR="00532064">
        <w:t>cademy and</w:t>
      </w:r>
      <w:r w:rsidR="004E6C53">
        <w:t xml:space="preserve"> </w:t>
      </w:r>
      <w:r w:rsidR="00532064">
        <w:t xml:space="preserve">the </w:t>
      </w:r>
      <w:r w:rsidR="000C3F2B">
        <w:t>c</w:t>
      </w:r>
      <w:r w:rsidR="00DF3F87">
        <w:t xml:space="preserve">ompany </w:t>
      </w:r>
      <w:r w:rsidR="00602BA8">
        <w:t>s</w:t>
      </w:r>
      <w:r w:rsidR="00DF3F87">
        <w:t>ecretary</w:t>
      </w:r>
      <w:r w:rsidR="00532064">
        <w:t xml:space="preserve"> at </w:t>
      </w:r>
      <w:r w:rsidR="00FA1BD8">
        <w:t>h</w:t>
      </w:r>
      <w:r w:rsidR="00532064">
        <w:t xml:space="preserve">ead </w:t>
      </w:r>
      <w:r w:rsidR="00FA1BD8">
        <w:t>o</w:t>
      </w:r>
      <w:r w:rsidR="00532064">
        <w:t>ffice</w:t>
      </w:r>
      <w:r w:rsidR="00AA29EC">
        <w:t>.</w:t>
      </w:r>
      <w:r w:rsidR="009872B7">
        <w:t xml:space="preserve"> </w:t>
      </w:r>
      <w:r w:rsidR="00391EF6" w:rsidRPr="00391EF6">
        <w:t>Principals will decide, within the parameters of the Trust policy, whether to allow any offers of gifts or hospitality to staff to be accepted.</w:t>
      </w:r>
      <w:r w:rsidR="00926913">
        <w:t xml:space="preserve">  If the </w:t>
      </w:r>
      <w:r w:rsidR="009872B7">
        <w:t>p</w:t>
      </w:r>
      <w:r w:rsidR="00926913">
        <w:t xml:space="preserve">rincipal is uncertain, they should notify the </w:t>
      </w:r>
      <w:r w:rsidR="000C3F2B">
        <w:t>c</w:t>
      </w:r>
      <w:r w:rsidR="00926913">
        <w:t xml:space="preserve">ompany </w:t>
      </w:r>
      <w:r w:rsidR="000C3F2B">
        <w:t>s</w:t>
      </w:r>
      <w:r w:rsidR="00926913">
        <w:t xml:space="preserve">ecretary </w:t>
      </w:r>
      <w:r w:rsidR="00684CE9">
        <w:t>within 1 week of the gift being received, who will then make a decision on whether the gi</w:t>
      </w:r>
      <w:r w:rsidR="001F55BC">
        <w:t>f</w:t>
      </w:r>
      <w:r w:rsidR="00684CE9">
        <w:t>t should be allowed.</w:t>
      </w:r>
      <w:r w:rsidR="000020C5" w:rsidRPr="000020C5">
        <w:t xml:space="preserve"> </w:t>
      </w:r>
      <w:r w:rsidR="000020C5">
        <w:t xml:space="preserve"> Any gifts received by the </w:t>
      </w:r>
      <w:r w:rsidR="009872B7">
        <w:t>p</w:t>
      </w:r>
      <w:r w:rsidR="000020C5">
        <w:t xml:space="preserve">rincipal should be reported to the </w:t>
      </w:r>
      <w:r w:rsidR="000C3F2B">
        <w:t>c</w:t>
      </w:r>
      <w:r w:rsidR="000020C5">
        <w:t xml:space="preserve">ompany </w:t>
      </w:r>
      <w:r w:rsidR="000C3F2B">
        <w:t>s</w:t>
      </w:r>
      <w:r w:rsidR="000020C5">
        <w:t>ecretary</w:t>
      </w:r>
      <w:r w:rsidR="000C3F2B">
        <w:t xml:space="preserve">, using the email </w:t>
      </w:r>
      <w:hyperlink r:id="rId11" w:history="1">
        <w:r w:rsidR="000C3F2B" w:rsidRPr="00112770">
          <w:rPr>
            <w:rStyle w:val="Hyperlink"/>
          </w:rPr>
          <w:t>governance@ormistonacademies.co.uk</w:t>
        </w:r>
      </w:hyperlink>
      <w:r w:rsidR="000C3F2B">
        <w:t xml:space="preserve"> .</w:t>
      </w:r>
    </w:p>
    <w:p w14:paraId="780164DA" w14:textId="22756CC6" w:rsidR="00970D64" w:rsidRDefault="00AA29EC" w:rsidP="00391EF6">
      <w:pPr>
        <w:pStyle w:val="OATbodystyle"/>
        <w:numPr>
          <w:ilvl w:val="1"/>
          <w:numId w:val="7"/>
        </w:numPr>
        <w:tabs>
          <w:tab w:val="left" w:pos="426"/>
        </w:tabs>
        <w:ind w:left="426" w:hanging="426"/>
      </w:pPr>
      <w:r>
        <w:t xml:space="preserve">The </w:t>
      </w:r>
      <w:r w:rsidR="000C3F2B">
        <w:t>c</w:t>
      </w:r>
      <w:r>
        <w:t xml:space="preserve">ompany </w:t>
      </w:r>
      <w:r w:rsidR="000C3F2B">
        <w:t>s</w:t>
      </w:r>
      <w:r>
        <w:t xml:space="preserve">ecretary will collate the gifts and hospitality register for </w:t>
      </w:r>
      <w:r w:rsidR="000C3F2B">
        <w:t>p</w:t>
      </w:r>
      <w:r>
        <w:t xml:space="preserve">rincipals and </w:t>
      </w:r>
      <w:r w:rsidR="000C3F2B">
        <w:t>t</w:t>
      </w:r>
      <w:r>
        <w:t>rustees.  Principals</w:t>
      </w:r>
      <w:r w:rsidR="00CB0374">
        <w:t xml:space="preserve"> should declare </w:t>
      </w:r>
      <w:r w:rsidR="00065A4F">
        <w:t>annually in</w:t>
      </w:r>
      <w:r w:rsidR="00CB0374">
        <w:t xml:space="preserve"> </w:t>
      </w:r>
      <w:r w:rsidR="00C85A41">
        <w:t>July any</w:t>
      </w:r>
      <w:r w:rsidR="00D0125B">
        <w:t xml:space="preserve"> items included on the Academy gifts and hospitality register</w:t>
      </w:r>
      <w:r w:rsidR="00862BE5">
        <w:t xml:space="preserve"> to the </w:t>
      </w:r>
      <w:r w:rsidR="000C3F2B">
        <w:t>c</w:t>
      </w:r>
      <w:r w:rsidR="00862BE5">
        <w:t xml:space="preserve">ompany </w:t>
      </w:r>
      <w:r w:rsidR="000C3F2B">
        <w:t>s</w:t>
      </w:r>
      <w:r w:rsidR="00862BE5">
        <w:t>ecretary</w:t>
      </w:r>
      <w:r w:rsidR="00D0125B">
        <w:t xml:space="preserve">.  </w:t>
      </w:r>
    </w:p>
    <w:p w14:paraId="16D72153" w14:textId="481A9559" w:rsidR="00705FF0" w:rsidRDefault="00705FF0" w:rsidP="00B75C66">
      <w:pPr>
        <w:pStyle w:val="OATbodystyle"/>
        <w:numPr>
          <w:ilvl w:val="1"/>
          <w:numId w:val="7"/>
        </w:numPr>
        <w:ind w:left="567" w:hanging="567"/>
      </w:pPr>
      <w:r>
        <w:t xml:space="preserve"> </w:t>
      </w:r>
      <w:r w:rsidRPr="00705FF0">
        <w:t xml:space="preserve">The </w:t>
      </w:r>
      <w:r w:rsidR="000C3F2B">
        <w:t>c</w:t>
      </w:r>
      <w:r w:rsidRPr="00705FF0">
        <w:t xml:space="preserve">lerk to the </w:t>
      </w:r>
      <w:r w:rsidR="000C3F2B">
        <w:t>g</w:t>
      </w:r>
      <w:r w:rsidRPr="00705FF0">
        <w:t xml:space="preserve">overnors will maintain the register for the </w:t>
      </w:r>
      <w:r w:rsidR="000C3F2B">
        <w:t>g</w:t>
      </w:r>
      <w:r w:rsidRPr="00705FF0">
        <w:t>overnors and will report any non-compliance to the LGB.</w:t>
      </w:r>
      <w:r>
        <w:t xml:space="preserve">  </w:t>
      </w:r>
      <w:r w:rsidRPr="00705FF0">
        <w:t xml:space="preserve">Governors will decide, subject to the policy parameters, whether any offer may be accepted by </w:t>
      </w:r>
      <w:r w:rsidR="000C3F2B">
        <w:t>g</w:t>
      </w:r>
      <w:r w:rsidRPr="00705FF0">
        <w:t>overnors.</w:t>
      </w:r>
      <w:r w:rsidR="000C3F2B">
        <w:t xml:space="preserve"> The c</w:t>
      </w:r>
      <w:r w:rsidRPr="00705FF0">
        <w:t xml:space="preserve">lerk to the </w:t>
      </w:r>
      <w:r w:rsidR="000C3F2B">
        <w:t>g</w:t>
      </w:r>
      <w:r w:rsidRPr="00705FF0">
        <w:t>overn</w:t>
      </w:r>
      <w:r w:rsidR="000C3F2B">
        <w:t>ing body</w:t>
      </w:r>
      <w:r w:rsidRPr="00705FF0">
        <w:t xml:space="preserve"> will provide updates to the </w:t>
      </w:r>
      <w:r w:rsidR="000C3F2B">
        <w:t>c</w:t>
      </w:r>
      <w:r w:rsidRPr="00705FF0">
        <w:t xml:space="preserve">ompany </w:t>
      </w:r>
      <w:r w:rsidR="000C3F2B">
        <w:t>s</w:t>
      </w:r>
      <w:r w:rsidRPr="00705FF0">
        <w:t>ecretary on an annual basis of any gifts received.</w:t>
      </w:r>
      <w:r w:rsidR="00324BAA">
        <w:t xml:space="preserve">  Nil returns will also be required.  </w:t>
      </w:r>
      <w:r w:rsidR="00CC0F0D">
        <w:t xml:space="preserve">The </w:t>
      </w:r>
      <w:r w:rsidR="000C3F2B">
        <w:t>c</w:t>
      </w:r>
      <w:r w:rsidR="00CC0F0D">
        <w:t xml:space="preserve">ompany </w:t>
      </w:r>
      <w:r w:rsidR="000C3F2B">
        <w:t>s</w:t>
      </w:r>
      <w:r w:rsidR="00CC0F0D">
        <w:t>ecretary will compile a complete gifts and hospitality register for the Trust at the end of August for submission to the external auditors.</w:t>
      </w:r>
    </w:p>
    <w:p w14:paraId="68B4D097" w14:textId="3E4C1A05" w:rsidR="00705FF0" w:rsidRDefault="003C126C" w:rsidP="00B75C66">
      <w:pPr>
        <w:pStyle w:val="OATbodystyle"/>
        <w:numPr>
          <w:ilvl w:val="1"/>
          <w:numId w:val="7"/>
        </w:numPr>
        <w:ind w:left="567" w:hanging="567"/>
      </w:pPr>
      <w:r>
        <w:lastRenderedPageBreak/>
        <w:t xml:space="preserve">The gifts and hospitality register will also be presented to the </w:t>
      </w:r>
      <w:r w:rsidR="000C3F2B">
        <w:t>t</w:t>
      </w:r>
      <w:r>
        <w:t>rustees at the end of each academic year.</w:t>
      </w:r>
    </w:p>
    <w:p w14:paraId="7FADEEC8" w14:textId="53CC527E" w:rsidR="00593A28" w:rsidRDefault="00593A28" w:rsidP="00B75C66">
      <w:pPr>
        <w:pStyle w:val="OATbodystyle"/>
        <w:numPr>
          <w:ilvl w:val="1"/>
          <w:numId w:val="7"/>
        </w:numPr>
        <w:ind w:left="567" w:hanging="567"/>
      </w:pPr>
      <w:bookmarkStart w:id="5" w:name="_Hlk87530222"/>
      <w:r>
        <w:t xml:space="preserve">The </w:t>
      </w:r>
      <w:r w:rsidR="005B167D">
        <w:t>gift</w:t>
      </w:r>
      <w:r w:rsidR="000C3F2B">
        <w:t>s</w:t>
      </w:r>
      <w:r w:rsidR="005B167D">
        <w:t xml:space="preserve"> and hospitality register should include the following</w:t>
      </w:r>
      <w:r w:rsidR="0071201E">
        <w:t xml:space="preserve"> as shown on Appendix 1</w:t>
      </w:r>
      <w:r w:rsidR="005B167D">
        <w:t>:</w:t>
      </w:r>
    </w:p>
    <w:p w14:paraId="68870A56" w14:textId="3ACA2FA2" w:rsidR="00970D64" w:rsidRDefault="00970D64" w:rsidP="00465466">
      <w:pPr>
        <w:pStyle w:val="OATliststyle"/>
      </w:pPr>
      <w:r>
        <w:t>Who the gift is from</w:t>
      </w:r>
    </w:p>
    <w:p w14:paraId="1FA46AEC" w14:textId="796B583F" w:rsidR="00970D64" w:rsidRDefault="00970D64" w:rsidP="00465466">
      <w:pPr>
        <w:pStyle w:val="OATliststyle"/>
      </w:pPr>
      <w:r>
        <w:t>Date the gift is received</w:t>
      </w:r>
    </w:p>
    <w:p w14:paraId="01A6A5DF" w14:textId="1D0D8FAE" w:rsidR="00970D64" w:rsidRDefault="00970D64" w:rsidP="00465466">
      <w:pPr>
        <w:pStyle w:val="OATliststyle"/>
      </w:pPr>
      <w:r>
        <w:t>Details of the gift</w:t>
      </w:r>
      <w:r w:rsidR="003B548D">
        <w:t xml:space="preserve"> with estimated value</w:t>
      </w:r>
    </w:p>
    <w:p w14:paraId="71361016" w14:textId="735B6E5B" w:rsidR="00970D64" w:rsidRDefault="00970D64" w:rsidP="00465466">
      <w:pPr>
        <w:pStyle w:val="OATliststyle"/>
      </w:pPr>
      <w:r>
        <w:t>Action taken (whether the gift is retained or refused or passed on, etc</w:t>
      </w:r>
      <w:r w:rsidR="00D90DDD">
        <w:t>.</w:t>
      </w:r>
      <w:r w:rsidR="00CF39A7">
        <w:t>)</w:t>
      </w:r>
    </w:p>
    <w:p w14:paraId="3ED90F97" w14:textId="12710B71" w:rsidR="003B548D" w:rsidRDefault="003B548D" w:rsidP="00465466">
      <w:pPr>
        <w:pStyle w:val="OATliststyle"/>
      </w:pPr>
      <w:proofErr w:type="spellStart"/>
      <w:r>
        <w:t>Authorisation</w:t>
      </w:r>
      <w:proofErr w:type="spellEnd"/>
      <w:r>
        <w:t xml:space="preserve"> </w:t>
      </w:r>
    </w:p>
    <w:bookmarkEnd w:id="5"/>
    <w:p w14:paraId="2B938589" w14:textId="0647769D" w:rsidR="003D4E16" w:rsidRDefault="003D4E16" w:rsidP="003D4E16">
      <w:pPr>
        <w:pStyle w:val="OATliststyle"/>
        <w:numPr>
          <w:ilvl w:val="0"/>
          <w:numId w:val="0"/>
        </w:numPr>
        <w:ind w:left="357" w:hanging="357"/>
      </w:pPr>
    </w:p>
    <w:p w14:paraId="7E9E1DAD" w14:textId="4F8D94FD" w:rsidR="003D4E16" w:rsidRDefault="003D4E16" w:rsidP="00B75C66">
      <w:pPr>
        <w:pStyle w:val="OATbodystyle"/>
        <w:numPr>
          <w:ilvl w:val="1"/>
          <w:numId w:val="7"/>
        </w:numPr>
        <w:ind w:left="567" w:hanging="567"/>
      </w:pPr>
      <w:r>
        <w:t>For the avoidance of doubt this policy does not cover</w:t>
      </w:r>
      <w:r w:rsidR="00816D37">
        <w:t xml:space="preserve"> staff meals and entertaining as this is covered by the ‘Staff Expenses Policy’.</w:t>
      </w:r>
    </w:p>
    <w:p w14:paraId="142C59B0" w14:textId="286E78A6" w:rsidR="00970D64" w:rsidRPr="005E0C46" w:rsidRDefault="005E0C46" w:rsidP="00887E6B">
      <w:pPr>
        <w:pStyle w:val="OATheader"/>
        <w:numPr>
          <w:ilvl w:val="0"/>
          <w:numId w:val="7"/>
        </w:numPr>
        <w:rPr>
          <w:rFonts w:eastAsia="MS Mincho"/>
        </w:rPr>
      </w:pPr>
      <w:r>
        <w:rPr>
          <w:rFonts w:eastAsia="MS Mincho"/>
        </w:rPr>
        <w:t xml:space="preserve"> </w:t>
      </w:r>
      <w:bookmarkStart w:id="6" w:name="_Toc87529293"/>
      <w:r w:rsidR="00970D64" w:rsidRPr="005E0C46">
        <w:rPr>
          <w:rFonts w:eastAsia="MS Mincho"/>
        </w:rPr>
        <w:t>The provision of gifts</w:t>
      </w:r>
      <w:r w:rsidR="00433EDA">
        <w:rPr>
          <w:rFonts w:eastAsia="MS Mincho"/>
        </w:rPr>
        <w:t>/hospitality</w:t>
      </w:r>
      <w:bookmarkEnd w:id="6"/>
    </w:p>
    <w:p w14:paraId="61F1EB2F" w14:textId="6CA5D7C6" w:rsidR="00433EDA" w:rsidRDefault="00970D64" w:rsidP="009872B7">
      <w:pPr>
        <w:pStyle w:val="OATbodystyle"/>
        <w:numPr>
          <w:ilvl w:val="1"/>
          <w:numId w:val="7"/>
        </w:numPr>
        <w:tabs>
          <w:tab w:val="left" w:pos="426"/>
        </w:tabs>
        <w:spacing w:before="240"/>
        <w:ind w:left="426" w:hanging="426"/>
      </w:pPr>
      <w:r>
        <w:t xml:space="preserve">The Trust encourages and seeks cooperative relationships between staff, governors, stakeholders and external </w:t>
      </w:r>
      <w:proofErr w:type="spellStart"/>
      <w:r>
        <w:t>organisations</w:t>
      </w:r>
      <w:proofErr w:type="spellEnd"/>
      <w:r>
        <w:t xml:space="preserve">.  Accordingly, there can be occasions where it is appropriate for the Trust to provide and fund limited gifts, in particular hospitality, which will principally be dealt with in-house.  </w:t>
      </w:r>
    </w:p>
    <w:p w14:paraId="3153ABB6" w14:textId="7E557C74" w:rsidR="0022262E" w:rsidRDefault="0022262E" w:rsidP="00B75C66">
      <w:pPr>
        <w:pStyle w:val="OATbodystyle"/>
        <w:numPr>
          <w:ilvl w:val="1"/>
          <w:numId w:val="7"/>
        </w:numPr>
        <w:tabs>
          <w:tab w:val="left" w:pos="426"/>
        </w:tabs>
        <w:ind w:left="426" w:hanging="426"/>
      </w:pPr>
      <w:r w:rsidRPr="00887E6B">
        <w:t>Likewise, it may be appropriate for leaving gifts to be provided to staff leaving the employment of   the Trust, particularly after a long period of service.  Such gifts will need approval by a member of the Executive and should be made up wholly of private contributions from continuing members of staff, unless in extenuating circumstances.</w:t>
      </w:r>
      <w:r>
        <w:t xml:space="preserve"> </w:t>
      </w:r>
    </w:p>
    <w:p w14:paraId="42B8A0CC" w14:textId="40EE25D9" w:rsidR="00433EDA" w:rsidRPr="00887E6B" w:rsidRDefault="00433EDA" w:rsidP="00B75C66">
      <w:pPr>
        <w:pStyle w:val="OATbodystyle"/>
        <w:numPr>
          <w:ilvl w:val="1"/>
          <w:numId w:val="7"/>
        </w:numPr>
        <w:tabs>
          <w:tab w:val="left" w:pos="426"/>
        </w:tabs>
        <w:ind w:left="426" w:hanging="426"/>
      </w:pPr>
      <w:r w:rsidRPr="00887E6B">
        <w:t>Employees, in the execution of their duties, may be required to entertain customers, suppliers, business contacts or potential customers.  All business entertaining activities must be approved by the line manager and must comply with th</w:t>
      </w:r>
      <w:r w:rsidR="0022262E" w:rsidRPr="00887E6B">
        <w:t xml:space="preserve">is policy.  </w:t>
      </w:r>
      <w:r w:rsidRPr="00887E6B">
        <w:t xml:space="preserve">If approved, the nature of the business, names and the organization of the people being entertained must be clearly stated on the expense claim form.  </w:t>
      </w:r>
    </w:p>
    <w:p w14:paraId="566883A7" w14:textId="77777777" w:rsidR="0022262E" w:rsidRPr="00887E6B" w:rsidRDefault="0022262E" w:rsidP="00B75C66">
      <w:pPr>
        <w:pStyle w:val="OATbodystyle"/>
        <w:numPr>
          <w:ilvl w:val="1"/>
          <w:numId w:val="7"/>
        </w:numPr>
        <w:tabs>
          <w:tab w:val="left" w:pos="426"/>
        </w:tabs>
        <w:ind w:left="426" w:hanging="426"/>
      </w:pPr>
      <w:r w:rsidRPr="00887E6B">
        <w:t>It is not permissible in any circumstances to use an academy or other location’s budget for staff entertaining costs. This includes retirement or any form of leaving celebration.</w:t>
      </w:r>
    </w:p>
    <w:p w14:paraId="0EF5A067" w14:textId="23EF59AC" w:rsidR="00B75C66" w:rsidRDefault="00433EDA" w:rsidP="00B75C66">
      <w:pPr>
        <w:pStyle w:val="OATbodystyle"/>
        <w:numPr>
          <w:ilvl w:val="1"/>
          <w:numId w:val="7"/>
        </w:numPr>
        <w:tabs>
          <w:tab w:val="left" w:pos="426"/>
        </w:tabs>
        <w:ind w:left="426" w:hanging="426"/>
      </w:pPr>
      <w:r w:rsidRPr="00887E6B">
        <w:t>The cost of alcohol for business entertaining purposes will not be reimbursed.</w:t>
      </w:r>
    </w:p>
    <w:p w14:paraId="7AF0D78C" w14:textId="77777777" w:rsidR="009872B7" w:rsidRDefault="009872B7">
      <w:pPr>
        <w:rPr>
          <w:rFonts w:ascii="Arial" w:hAnsi="Arial"/>
          <w:sz w:val="20"/>
          <w:szCs w:val="20"/>
          <w:lang w:val="en-US"/>
        </w:rPr>
      </w:pPr>
    </w:p>
    <w:p w14:paraId="5F19FC8B" w14:textId="77777777" w:rsidR="00B75C66" w:rsidRDefault="00B75C66" w:rsidP="00B75C66">
      <w:pPr>
        <w:pStyle w:val="OATheader"/>
        <w:sectPr w:rsidR="00B75C66" w:rsidSect="00221921">
          <w:headerReference w:type="default" r:id="rId12"/>
          <w:footerReference w:type="default" r:id="rId13"/>
          <w:headerReference w:type="first" r:id="rId14"/>
          <w:pgSz w:w="11900" w:h="16840"/>
          <w:pgMar w:top="2127" w:right="1418" w:bottom="1418" w:left="1418" w:header="709" w:footer="709" w:gutter="0"/>
          <w:cols w:space="708"/>
          <w:titlePg/>
          <w:docGrid w:linePitch="360"/>
        </w:sectPr>
      </w:pPr>
    </w:p>
    <w:p w14:paraId="38A819B7" w14:textId="7A991DD2" w:rsidR="00437CC2" w:rsidRDefault="00B75C66" w:rsidP="00B75C66">
      <w:pPr>
        <w:pStyle w:val="OATheader"/>
      </w:pPr>
      <w:bookmarkStart w:id="7" w:name="_Toc87529294"/>
      <w:r>
        <w:lastRenderedPageBreak/>
        <w:t>Appendix 1</w:t>
      </w:r>
      <w:bookmarkEnd w:id="7"/>
    </w:p>
    <w:p w14:paraId="31ECDC3D" w14:textId="1F2077B6" w:rsidR="00B75C66" w:rsidRDefault="00B75C66" w:rsidP="00B75C66">
      <w:pPr>
        <w:pStyle w:val="OATsubheader1"/>
      </w:pPr>
      <w:bookmarkStart w:id="8" w:name="_Toc87529295"/>
      <w:r>
        <w:t>Gifts and Hospitality Register</w:t>
      </w:r>
      <w:bookmarkEnd w:id="8"/>
    </w:p>
    <w:p w14:paraId="3B9D3D0F" w14:textId="4904A9A8" w:rsidR="00B75C66" w:rsidRDefault="00B75C66" w:rsidP="00B75C66">
      <w:pPr>
        <w:pStyle w:val="OATsubheader1"/>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6"/>
        <w:gridCol w:w="1887"/>
        <w:gridCol w:w="1793"/>
        <w:gridCol w:w="1935"/>
        <w:gridCol w:w="1866"/>
        <w:gridCol w:w="1879"/>
        <w:gridCol w:w="2360"/>
      </w:tblGrid>
      <w:tr w:rsidR="009872B7" w14:paraId="7B5F044F" w14:textId="77777777" w:rsidTr="006D3FDB">
        <w:trPr>
          <w:trHeight w:val="907"/>
        </w:trPr>
        <w:tc>
          <w:tcPr>
            <w:tcW w:w="1656" w:type="dxa"/>
            <w:shd w:val="clear" w:color="auto" w:fill="B8CCE4" w:themeFill="accent1" w:themeFillTint="66"/>
            <w:vAlign w:val="center"/>
          </w:tcPr>
          <w:p w14:paraId="44CA0EFE" w14:textId="77777777" w:rsidR="009872B7" w:rsidRPr="004015FC" w:rsidRDefault="009872B7" w:rsidP="006D3FDB">
            <w:pPr>
              <w:pStyle w:val="OATbodystyle"/>
              <w:spacing w:after="0" w:line="240" w:lineRule="auto"/>
              <w:ind w:left="113" w:right="113"/>
              <w:rPr>
                <w:sz w:val="16"/>
                <w:szCs w:val="16"/>
              </w:rPr>
            </w:pPr>
            <w:r w:rsidRPr="004015FC">
              <w:rPr>
                <w:sz w:val="16"/>
                <w:szCs w:val="16"/>
              </w:rPr>
              <w:t>Entry number</w:t>
            </w:r>
          </w:p>
        </w:tc>
        <w:tc>
          <w:tcPr>
            <w:tcW w:w="2005" w:type="dxa"/>
            <w:shd w:val="clear" w:color="auto" w:fill="B8CCE4" w:themeFill="accent1" w:themeFillTint="66"/>
            <w:vAlign w:val="center"/>
          </w:tcPr>
          <w:p w14:paraId="16AE0C55" w14:textId="77777777" w:rsidR="009872B7" w:rsidRPr="004015FC" w:rsidRDefault="009872B7" w:rsidP="006D3FDB">
            <w:pPr>
              <w:pStyle w:val="OATbodystyle"/>
              <w:spacing w:after="0" w:line="240" w:lineRule="auto"/>
              <w:ind w:left="113" w:right="113"/>
              <w:rPr>
                <w:sz w:val="16"/>
                <w:szCs w:val="16"/>
              </w:rPr>
            </w:pPr>
            <w:r w:rsidRPr="004015FC">
              <w:rPr>
                <w:sz w:val="16"/>
                <w:szCs w:val="16"/>
              </w:rPr>
              <w:t xml:space="preserve">Date </w:t>
            </w:r>
            <w:r>
              <w:rPr>
                <w:sz w:val="16"/>
                <w:szCs w:val="16"/>
              </w:rPr>
              <w:t>gift received</w:t>
            </w:r>
          </w:p>
        </w:tc>
        <w:tc>
          <w:tcPr>
            <w:tcW w:w="1934" w:type="dxa"/>
            <w:shd w:val="clear" w:color="auto" w:fill="B8CCE4" w:themeFill="accent1" w:themeFillTint="66"/>
            <w:vAlign w:val="center"/>
          </w:tcPr>
          <w:p w14:paraId="2E1BCC22" w14:textId="77777777" w:rsidR="009872B7" w:rsidRPr="004015FC" w:rsidRDefault="009872B7" w:rsidP="006D3FDB">
            <w:pPr>
              <w:pStyle w:val="OATbodystyle"/>
              <w:spacing w:after="0" w:line="240" w:lineRule="auto"/>
              <w:ind w:left="113" w:right="113"/>
              <w:rPr>
                <w:sz w:val="16"/>
                <w:szCs w:val="16"/>
              </w:rPr>
            </w:pPr>
            <w:r>
              <w:rPr>
                <w:sz w:val="16"/>
                <w:szCs w:val="16"/>
              </w:rPr>
              <w:t>Name of Donor</w:t>
            </w:r>
          </w:p>
        </w:tc>
        <w:tc>
          <w:tcPr>
            <w:tcW w:w="2042" w:type="dxa"/>
            <w:shd w:val="clear" w:color="auto" w:fill="B8CCE4" w:themeFill="accent1" w:themeFillTint="66"/>
            <w:vAlign w:val="center"/>
          </w:tcPr>
          <w:p w14:paraId="7B72F11D" w14:textId="77777777" w:rsidR="009872B7" w:rsidRPr="004015FC" w:rsidRDefault="009872B7" w:rsidP="006D3FDB">
            <w:pPr>
              <w:pStyle w:val="OATbodystyle"/>
              <w:spacing w:after="0" w:line="240" w:lineRule="auto"/>
              <w:ind w:left="113" w:right="113"/>
              <w:rPr>
                <w:sz w:val="16"/>
                <w:szCs w:val="16"/>
              </w:rPr>
            </w:pPr>
            <w:r w:rsidRPr="004015FC">
              <w:rPr>
                <w:sz w:val="16"/>
                <w:szCs w:val="16"/>
              </w:rPr>
              <w:t>Description</w:t>
            </w:r>
            <w:r>
              <w:rPr>
                <w:sz w:val="16"/>
                <w:szCs w:val="16"/>
              </w:rPr>
              <w:t xml:space="preserve"> and estimated value</w:t>
            </w:r>
          </w:p>
        </w:tc>
        <w:tc>
          <w:tcPr>
            <w:tcW w:w="1992" w:type="dxa"/>
            <w:shd w:val="clear" w:color="auto" w:fill="B8CCE4" w:themeFill="accent1" w:themeFillTint="66"/>
            <w:vAlign w:val="center"/>
          </w:tcPr>
          <w:p w14:paraId="0398F1A8" w14:textId="77777777" w:rsidR="009872B7" w:rsidRPr="004015FC" w:rsidRDefault="009872B7" w:rsidP="006D3FDB">
            <w:pPr>
              <w:pStyle w:val="OATbodystyle"/>
              <w:spacing w:after="0" w:line="240" w:lineRule="auto"/>
              <w:ind w:left="113" w:right="113"/>
              <w:rPr>
                <w:sz w:val="16"/>
                <w:szCs w:val="16"/>
              </w:rPr>
            </w:pPr>
            <w:r>
              <w:rPr>
                <w:sz w:val="16"/>
                <w:szCs w:val="16"/>
              </w:rPr>
              <w:t>Name of recipient</w:t>
            </w:r>
          </w:p>
        </w:tc>
        <w:tc>
          <w:tcPr>
            <w:tcW w:w="2005" w:type="dxa"/>
            <w:shd w:val="clear" w:color="auto" w:fill="B8CCE4" w:themeFill="accent1" w:themeFillTint="66"/>
            <w:vAlign w:val="center"/>
          </w:tcPr>
          <w:p w14:paraId="1D7B60EC" w14:textId="77777777" w:rsidR="009872B7" w:rsidRPr="004015FC" w:rsidRDefault="009872B7" w:rsidP="006D3FDB">
            <w:pPr>
              <w:pStyle w:val="OATbodystyle"/>
              <w:spacing w:after="0" w:line="240" w:lineRule="auto"/>
              <w:ind w:left="113" w:right="113"/>
              <w:rPr>
                <w:sz w:val="16"/>
                <w:szCs w:val="16"/>
              </w:rPr>
            </w:pPr>
            <w:r>
              <w:rPr>
                <w:sz w:val="16"/>
                <w:szCs w:val="16"/>
              </w:rPr>
              <w:t>Action taken</w:t>
            </w:r>
          </w:p>
        </w:tc>
        <w:tc>
          <w:tcPr>
            <w:tcW w:w="2540" w:type="dxa"/>
            <w:shd w:val="clear" w:color="auto" w:fill="B8CCE4" w:themeFill="accent1" w:themeFillTint="66"/>
            <w:vAlign w:val="center"/>
          </w:tcPr>
          <w:p w14:paraId="2141FBA1" w14:textId="77777777" w:rsidR="009872B7" w:rsidRPr="004015FC" w:rsidRDefault="009872B7" w:rsidP="006D3FDB">
            <w:pPr>
              <w:pStyle w:val="OATbodystyle"/>
              <w:spacing w:after="0" w:line="240" w:lineRule="auto"/>
              <w:ind w:left="113" w:right="113"/>
              <w:rPr>
                <w:sz w:val="16"/>
                <w:szCs w:val="16"/>
              </w:rPr>
            </w:pPr>
            <w:r>
              <w:rPr>
                <w:sz w:val="16"/>
                <w:szCs w:val="16"/>
              </w:rPr>
              <w:t xml:space="preserve">Gift </w:t>
            </w:r>
            <w:proofErr w:type="spellStart"/>
            <w:r>
              <w:rPr>
                <w:sz w:val="16"/>
                <w:szCs w:val="16"/>
              </w:rPr>
              <w:t>authorised</w:t>
            </w:r>
            <w:proofErr w:type="spellEnd"/>
          </w:p>
        </w:tc>
      </w:tr>
      <w:tr w:rsidR="009872B7" w14:paraId="56B33246" w14:textId="77777777" w:rsidTr="006D3FDB">
        <w:trPr>
          <w:trHeight w:val="1265"/>
        </w:trPr>
        <w:tc>
          <w:tcPr>
            <w:tcW w:w="1656" w:type="dxa"/>
          </w:tcPr>
          <w:p w14:paraId="07354D14" w14:textId="77777777" w:rsidR="009872B7" w:rsidRPr="00260D97" w:rsidRDefault="009872B7" w:rsidP="006D3FDB">
            <w:pPr>
              <w:pStyle w:val="OATbodystyle"/>
              <w:rPr>
                <w:color w:val="FFC000"/>
                <w:sz w:val="18"/>
                <w:szCs w:val="18"/>
              </w:rPr>
            </w:pPr>
          </w:p>
        </w:tc>
        <w:tc>
          <w:tcPr>
            <w:tcW w:w="2005" w:type="dxa"/>
            <w:vAlign w:val="center"/>
          </w:tcPr>
          <w:p w14:paraId="22DAADD7" w14:textId="77777777" w:rsidR="009872B7" w:rsidRPr="00260D97" w:rsidRDefault="009872B7" w:rsidP="006D3FDB">
            <w:pPr>
              <w:pStyle w:val="OATbodystyle"/>
              <w:rPr>
                <w:i/>
                <w:sz w:val="18"/>
                <w:szCs w:val="18"/>
              </w:rPr>
            </w:pPr>
            <w:r>
              <w:rPr>
                <w:i/>
                <w:sz w:val="18"/>
                <w:szCs w:val="18"/>
              </w:rPr>
              <w:t>01/09/2021</w:t>
            </w:r>
          </w:p>
        </w:tc>
        <w:tc>
          <w:tcPr>
            <w:tcW w:w="1934" w:type="dxa"/>
            <w:vAlign w:val="center"/>
          </w:tcPr>
          <w:p w14:paraId="3A4BE613" w14:textId="77777777" w:rsidR="009872B7" w:rsidRPr="00260D97" w:rsidRDefault="009872B7" w:rsidP="006D3FDB">
            <w:pPr>
              <w:pStyle w:val="OATbodystyle"/>
              <w:rPr>
                <w:i/>
                <w:sz w:val="18"/>
                <w:szCs w:val="18"/>
              </w:rPr>
            </w:pPr>
            <w:r>
              <w:rPr>
                <w:i/>
                <w:sz w:val="18"/>
                <w:szCs w:val="18"/>
              </w:rPr>
              <w:t>ABC Limited</w:t>
            </w:r>
          </w:p>
        </w:tc>
        <w:tc>
          <w:tcPr>
            <w:tcW w:w="2042" w:type="dxa"/>
            <w:vAlign w:val="center"/>
          </w:tcPr>
          <w:p w14:paraId="0CC63FFF" w14:textId="77777777" w:rsidR="009872B7" w:rsidRPr="00260D97" w:rsidRDefault="009872B7" w:rsidP="006D3FDB">
            <w:pPr>
              <w:pStyle w:val="OATbodystyle"/>
              <w:rPr>
                <w:i/>
                <w:sz w:val="18"/>
                <w:szCs w:val="18"/>
              </w:rPr>
            </w:pPr>
            <w:r>
              <w:rPr>
                <w:i/>
                <w:sz w:val="18"/>
                <w:szCs w:val="18"/>
              </w:rPr>
              <w:t>Flowers with estimated value of £20</w:t>
            </w:r>
          </w:p>
        </w:tc>
        <w:tc>
          <w:tcPr>
            <w:tcW w:w="1992" w:type="dxa"/>
            <w:vAlign w:val="center"/>
          </w:tcPr>
          <w:p w14:paraId="2C91CBFD" w14:textId="77777777" w:rsidR="009872B7" w:rsidRPr="00260D97" w:rsidRDefault="009872B7" w:rsidP="006D3FDB">
            <w:pPr>
              <w:pStyle w:val="OATbodystyle"/>
              <w:rPr>
                <w:i/>
                <w:sz w:val="18"/>
                <w:szCs w:val="18"/>
              </w:rPr>
            </w:pPr>
            <w:r>
              <w:rPr>
                <w:i/>
                <w:sz w:val="18"/>
                <w:szCs w:val="18"/>
              </w:rPr>
              <w:t>Mrs Red Rose</w:t>
            </w:r>
          </w:p>
        </w:tc>
        <w:tc>
          <w:tcPr>
            <w:tcW w:w="2005" w:type="dxa"/>
            <w:vAlign w:val="center"/>
          </w:tcPr>
          <w:p w14:paraId="704B8525" w14:textId="5E0ADEC4" w:rsidR="009872B7" w:rsidRPr="00260D97" w:rsidRDefault="009872B7" w:rsidP="006D3FDB">
            <w:pPr>
              <w:pStyle w:val="OATbodystyle"/>
              <w:rPr>
                <w:i/>
                <w:sz w:val="18"/>
                <w:szCs w:val="18"/>
              </w:rPr>
            </w:pPr>
            <w:r>
              <w:rPr>
                <w:i/>
                <w:sz w:val="18"/>
                <w:szCs w:val="18"/>
              </w:rPr>
              <w:t xml:space="preserve">Following discussion with the principal the gift has been accepted. </w:t>
            </w:r>
          </w:p>
        </w:tc>
        <w:tc>
          <w:tcPr>
            <w:tcW w:w="2540" w:type="dxa"/>
            <w:vAlign w:val="center"/>
          </w:tcPr>
          <w:p w14:paraId="1C3FCD49" w14:textId="77777777" w:rsidR="009872B7" w:rsidRPr="00260D97" w:rsidRDefault="009872B7" w:rsidP="006D3FDB">
            <w:pPr>
              <w:pStyle w:val="OATbodystyle"/>
              <w:rPr>
                <w:i/>
                <w:sz w:val="18"/>
                <w:szCs w:val="18"/>
              </w:rPr>
            </w:pPr>
            <w:r w:rsidRPr="00260D97">
              <w:rPr>
                <w:i/>
                <w:sz w:val="18"/>
                <w:szCs w:val="18"/>
              </w:rPr>
              <w:t>(</w:t>
            </w:r>
            <w:r>
              <w:rPr>
                <w:i/>
                <w:sz w:val="18"/>
                <w:szCs w:val="18"/>
              </w:rPr>
              <w:t>Principal’s</w:t>
            </w:r>
            <w:r w:rsidRPr="00260D97">
              <w:rPr>
                <w:i/>
                <w:sz w:val="18"/>
                <w:szCs w:val="18"/>
              </w:rPr>
              <w:t xml:space="preserve"> signature)</w:t>
            </w:r>
          </w:p>
        </w:tc>
      </w:tr>
      <w:tr w:rsidR="009872B7" w14:paraId="152F2767" w14:textId="77777777" w:rsidTr="006D3FDB">
        <w:trPr>
          <w:trHeight w:val="1265"/>
        </w:trPr>
        <w:tc>
          <w:tcPr>
            <w:tcW w:w="1656" w:type="dxa"/>
          </w:tcPr>
          <w:p w14:paraId="339C8F95" w14:textId="77777777" w:rsidR="009872B7" w:rsidRPr="00260D97" w:rsidRDefault="009872B7" w:rsidP="006D3FDB">
            <w:pPr>
              <w:pStyle w:val="OATbodystyle"/>
              <w:rPr>
                <w:sz w:val="18"/>
                <w:szCs w:val="18"/>
              </w:rPr>
            </w:pPr>
          </w:p>
        </w:tc>
        <w:tc>
          <w:tcPr>
            <w:tcW w:w="2005" w:type="dxa"/>
            <w:vAlign w:val="center"/>
          </w:tcPr>
          <w:p w14:paraId="183D0D0A" w14:textId="77777777" w:rsidR="009872B7" w:rsidRPr="00260D97" w:rsidRDefault="009872B7" w:rsidP="006D3FDB">
            <w:pPr>
              <w:pStyle w:val="OATbodystyle"/>
              <w:rPr>
                <w:sz w:val="18"/>
                <w:szCs w:val="18"/>
              </w:rPr>
            </w:pPr>
          </w:p>
        </w:tc>
        <w:tc>
          <w:tcPr>
            <w:tcW w:w="1934" w:type="dxa"/>
            <w:vAlign w:val="center"/>
          </w:tcPr>
          <w:p w14:paraId="7929FE2A" w14:textId="77777777" w:rsidR="009872B7" w:rsidRPr="00260D97" w:rsidRDefault="009872B7" w:rsidP="006D3FDB">
            <w:pPr>
              <w:pStyle w:val="OATbodystyle"/>
              <w:rPr>
                <w:sz w:val="18"/>
                <w:szCs w:val="18"/>
              </w:rPr>
            </w:pPr>
          </w:p>
        </w:tc>
        <w:tc>
          <w:tcPr>
            <w:tcW w:w="2042" w:type="dxa"/>
            <w:vAlign w:val="center"/>
          </w:tcPr>
          <w:p w14:paraId="5B0880AD" w14:textId="77777777" w:rsidR="009872B7" w:rsidRPr="00260D97" w:rsidRDefault="009872B7" w:rsidP="006D3FDB">
            <w:pPr>
              <w:pStyle w:val="OATbodystyle"/>
              <w:rPr>
                <w:sz w:val="18"/>
                <w:szCs w:val="18"/>
              </w:rPr>
            </w:pPr>
          </w:p>
        </w:tc>
        <w:tc>
          <w:tcPr>
            <w:tcW w:w="1992" w:type="dxa"/>
            <w:vAlign w:val="center"/>
          </w:tcPr>
          <w:p w14:paraId="703D4A95" w14:textId="77777777" w:rsidR="009872B7" w:rsidRPr="00260D97" w:rsidRDefault="009872B7" w:rsidP="006D3FDB">
            <w:pPr>
              <w:pStyle w:val="OATbodystyle"/>
              <w:rPr>
                <w:sz w:val="18"/>
                <w:szCs w:val="18"/>
              </w:rPr>
            </w:pPr>
          </w:p>
        </w:tc>
        <w:tc>
          <w:tcPr>
            <w:tcW w:w="2005" w:type="dxa"/>
            <w:vAlign w:val="center"/>
          </w:tcPr>
          <w:p w14:paraId="7A6318E2" w14:textId="77777777" w:rsidR="009872B7" w:rsidRPr="00260D97" w:rsidRDefault="009872B7" w:rsidP="006D3FDB">
            <w:pPr>
              <w:pStyle w:val="OATbodystyle"/>
              <w:rPr>
                <w:sz w:val="18"/>
                <w:szCs w:val="18"/>
              </w:rPr>
            </w:pPr>
          </w:p>
        </w:tc>
        <w:tc>
          <w:tcPr>
            <w:tcW w:w="2540" w:type="dxa"/>
            <w:vAlign w:val="center"/>
          </w:tcPr>
          <w:p w14:paraId="46BE7F87" w14:textId="77777777" w:rsidR="009872B7" w:rsidRPr="00260D97" w:rsidRDefault="009872B7" w:rsidP="006D3FDB">
            <w:pPr>
              <w:pStyle w:val="OATbodystyle"/>
              <w:rPr>
                <w:sz w:val="18"/>
                <w:szCs w:val="18"/>
              </w:rPr>
            </w:pPr>
          </w:p>
        </w:tc>
      </w:tr>
      <w:tr w:rsidR="009872B7" w14:paraId="76EC6E4F" w14:textId="77777777" w:rsidTr="006D3FDB">
        <w:trPr>
          <w:trHeight w:val="1265"/>
        </w:trPr>
        <w:tc>
          <w:tcPr>
            <w:tcW w:w="1656" w:type="dxa"/>
          </w:tcPr>
          <w:p w14:paraId="4D07473A" w14:textId="77777777" w:rsidR="009872B7" w:rsidRPr="00260D97" w:rsidRDefault="009872B7" w:rsidP="006D3FDB">
            <w:pPr>
              <w:pStyle w:val="OATbodystyle"/>
              <w:rPr>
                <w:sz w:val="18"/>
                <w:szCs w:val="18"/>
              </w:rPr>
            </w:pPr>
          </w:p>
        </w:tc>
        <w:tc>
          <w:tcPr>
            <w:tcW w:w="2005" w:type="dxa"/>
            <w:vAlign w:val="center"/>
          </w:tcPr>
          <w:p w14:paraId="2B444760" w14:textId="77777777" w:rsidR="009872B7" w:rsidRPr="00260D97" w:rsidRDefault="009872B7" w:rsidP="006D3FDB">
            <w:pPr>
              <w:pStyle w:val="OATbodystyle"/>
              <w:rPr>
                <w:sz w:val="18"/>
                <w:szCs w:val="18"/>
              </w:rPr>
            </w:pPr>
          </w:p>
        </w:tc>
        <w:tc>
          <w:tcPr>
            <w:tcW w:w="1934" w:type="dxa"/>
            <w:vAlign w:val="center"/>
          </w:tcPr>
          <w:p w14:paraId="7572F667" w14:textId="77777777" w:rsidR="009872B7" w:rsidRPr="00260D97" w:rsidRDefault="009872B7" w:rsidP="006D3FDB">
            <w:pPr>
              <w:pStyle w:val="OATbodystyle"/>
              <w:rPr>
                <w:sz w:val="18"/>
                <w:szCs w:val="18"/>
              </w:rPr>
            </w:pPr>
          </w:p>
        </w:tc>
        <w:tc>
          <w:tcPr>
            <w:tcW w:w="2042" w:type="dxa"/>
            <w:vAlign w:val="center"/>
          </w:tcPr>
          <w:p w14:paraId="5663C707" w14:textId="77777777" w:rsidR="009872B7" w:rsidRPr="00260D97" w:rsidRDefault="009872B7" w:rsidP="006D3FDB">
            <w:pPr>
              <w:pStyle w:val="OATbodystyle"/>
              <w:rPr>
                <w:sz w:val="18"/>
                <w:szCs w:val="18"/>
              </w:rPr>
            </w:pPr>
          </w:p>
        </w:tc>
        <w:tc>
          <w:tcPr>
            <w:tcW w:w="1992" w:type="dxa"/>
            <w:vAlign w:val="center"/>
          </w:tcPr>
          <w:p w14:paraId="4CD729E4" w14:textId="77777777" w:rsidR="009872B7" w:rsidRPr="00260D97" w:rsidRDefault="009872B7" w:rsidP="006D3FDB">
            <w:pPr>
              <w:pStyle w:val="OATbodystyle"/>
              <w:rPr>
                <w:sz w:val="18"/>
                <w:szCs w:val="18"/>
              </w:rPr>
            </w:pPr>
          </w:p>
        </w:tc>
        <w:tc>
          <w:tcPr>
            <w:tcW w:w="2005" w:type="dxa"/>
            <w:vAlign w:val="center"/>
          </w:tcPr>
          <w:p w14:paraId="756EDB34" w14:textId="77777777" w:rsidR="009872B7" w:rsidRPr="00260D97" w:rsidRDefault="009872B7" w:rsidP="006D3FDB">
            <w:pPr>
              <w:pStyle w:val="OATbodystyle"/>
              <w:rPr>
                <w:sz w:val="18"/>
                <w:szCs w:val="18"/>
              </w:rPr>
            </w:pPr>
          </w:p>
        </w:tc>
        <w:tc>
          <w:tcPr>
            <w:tcW w:w="2540" w:type="dxa"/>
            <w:vAlign w:val="center"/>
          </w:tcPr>
          <w:p w14:paraId="38DC4FC1" w14:textId="77777777" w:rsidR="009872B7" w:rsidRPr="00260D97" w:rsidRDefault="009872B7" w:rsidP="006D3FDB">
            <w:pPr>
              <w:pStyle w:val="OATbodystyle"/>
              <w:rPr>
                <w:sz w:val="18"/>
                <w:szCs w:val="18"/>
              </w:rPr>
            </w:pPr>
          </w:p>
        </w:tc>
      </w:tr>
      <w:tr w:rsidR="009872B7" w14:paraId="541D3EBC" w14:textId="77777777" w:rsidTr="006D3FDB">
        <w:trPr>
          <w:trHeight w:val="1265"/>
        </w:trPr>
        <w:tc>
          <w:tcPr>
            <w:tcW w:w="1656" w:type="dxa"/>
          </w:tcPr>
          <w:p w14:paraId="6750CCAD" w14:textId="77777777" w:rsidR="009872B7" w:rsidRPr="00260D97" w:rsidRDefault="009872B7" w:rsidP="006D3FDB">
            <w:pPr>
              <w:rPr>
                <w:sz w:val="18"/>
                <w:szCs w:val="18"/>
              </w:rPr>
            </w:pPr>
          </w:p>
        </w:tc>
        <w:tc>
          <w:tcPr>
            <w:tcW w:w="2005" w:type="dxa"/>
            <w:vAlign w:val="center"/>
          </w:tcPr>
          <w:p w14:paraId="21C8EBFB" w14:textId="77777777" w:rsidR="009872B7" w:rsidRPr="00260D97" w:rsidRDefault="009872B7" w:rsidP="006D3FDB">
            <w:pPr>
              <w:rPr>
                <w:sz w:val="18"/>
                <w:szCs w:val="18"/>
              </w:rPr>
            </w:pPr>
          </w:p>
        </w:tc>
        <w:tc>
          <w:tcPr>
            <w:tcW w:w="1934" w:type="dxa"/>
            <w:vAlign w:val="center"/>
          </w:tcPr>
          <w:p w14:paraId="3411BB93" w14:textId="77777777" w:rsidR="009872B7" w:rsidRPr="00260D97" w:rsidRDefault="009872B7" w:rsidP="006D3FDB">
            <w:pPr>
              <w:rPr>
                <w:sz w:val="18"/>
                <w:szCs w:val="18"/>
              </w:rPr>
            </w:pPr>
          </w:p>
        </w:tc>
        <w:tc>
          <w:tcPr>
            <w:tcW w:w="2042" w:type="dxa"/>
            <w:vAlign w:val="center"/>
          </w:tcPr>
          <w:p w14:paraId="2755C381" w14:textId="77777777" w:rsidR="009872B7" w:rsidRPr="00260D97" w:rsidRDefault="009872B7" w:rsidP="006D3FDB">
            <w:pPr>
              <w:rPr>
                <w:sz w:val="18"/>
                <w:szCs w:val="18"/>
              </w:rPr>
            </w:pPr>
          </w:p>
        </w:tc>
        <w:tc>
          <w:tcPr>
            <w:tcW w:w="1992" w:type="dxa"/>
            <w:vAlign w:val="center"/>
          </w:tcPr>
          <w:p w14:paraId="203A022F" w14:textId="77777777" w:rsidR="009872B7" w:rsidRPr="00260D97" w:rsidRDefault="009872B7" w:rsidP="006D3FDB">
            <w:pPr>
              <w:rPr>
                <w:sz w:val="18"/>
                <w:szCs w:val="18"/>
              </w:rPr>
            </w:pPr>
          </w:p>
        </w:tc>
        <w:tc>
          <w:tcPr>
            <w:tcW w:w="2005" w:type="dxa"/>
            <w:vAlign w:val="center"/>
          </w:tcPr>
          <w:p w14:paraId="6C728223" w14:textId="77777777" w:rsidR="009872B7" w:rsidRPr="00260D97" w:rsidRDefault="009872B7" w:rsidP="006D3FDB">
            <w:pPr>
              <w:rPr>
                <w:sz w:val="18"/>
                <w:szCs w:val="18"/>
              </w:rPr>
            </w:pPr>
          </w:p>
        </w:tc>
        <w:tc>
          <w:tcPr>
            <w:tcW w:w="2540" w:type="dxa"/>
            <w:vAlign w:val="center"/>
          </w:tcPr>
          <w:p w14:paraId="7FF77A56" w14:textId="77777777" w:rsidR="009872B7" w:rsidRPr="00260D97" w:rsidRDefault="009872B7" w:rsidP="006D3FDB">
            <w:pPr>
              <w:rPr>
                <w:sz w:val="18"/>
                <w:szCs w:val="18"/>
              </w:rPr>
            </w:pPr>
          </w:p>
        </w:tc>
      </w:tr>
    </w:tbl>
    <w:p w14:paraId="52ED6008" w14:textId="77777777" w:rsidR="009872B7" w:rsidRPr="00B75C66" w:rsidRDefault="009872B7" w:rsidP="009872B7">
      <w:pPr>
        <w:pStyle w:val="OATbodystyle"/>
      </w:pPr>
    </w:p>
    <w:sectPr w:rsidR="009872B7" w:rsidRPr="00B75C66" w:rsidSect="00B75C66">
      <w:pgSz w:w="16840" w:h="11900" w:orient="landscape"/>
      <w:pgMar w:top="1418" w:right="2126"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F9940" w14:textId="77777777" w:rsidR="00ED12C3" w:rsidRDefault="00ED12C3" w:rsidP="00DE543D">
      <w:r>
        <w:separator/>
      </w:r>
    </w:p>
  </w:endnote>
  <w:endnote w:type="continuationSeparator" w:id="0">
    <w:p w14:paraId="4D45702A" w14:textId="77777777" w:rsidR="00ED12C3" w:rsidRDefault="00ED12C3"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Gill Sans">
    <w:altName w:val="Arial"/>
    <w:charset w:val="00"/>
    <w:family w:val="auto"/>
    <w:pitch w:val="variable"/>
    <w:sig w:usb0="800002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19D03050" w14:textId="77777777" w:rsidR="00D4303D" w:rsidRPr="0076286B" w:rsidRDefault="00D4303D" w:rsidP="00CE5E9B">
        <w:pPr>
          <w:pStyle w:val="OATbodystyle"/>
        </w:pPr>
        <w:r w:rsidRPr="0076286B">
          <w:t xml:space="preserve">                                         </w:t>
        </w:r>
      </w:p>
      <w:p w14:paraId="48E53D9F" w14:textId="1E6E6803" w:rsidR="00D4303D" w:rsidRPr="0076286B" w:rsidRDefault="00A3658E" w:rsidP="00CE5E9B">
        <w:pPr>
          <w:pStyle w:val="OATbodystyle"/>
        </w:pPr>
        <w:r>
          <w:rPr>
            <w:rFonts w:eastAsia="MS Mincho" w:cs="Times New Roman"/>
          </w:rPr>
          <w:t>Gifts and Hospitality</w:t>
        </w:r>
        <w:r w:rsidR="00D4303D" w:rsidRPr="0076286B">
          <w:rPr>
            <w:rFonts w:eastAsia="MS Mincho" w:cs="Times New Roman"/>
          </w:rPr>
          <w:t xml:space="preserve"> Policy                                                           </w:t>
        </w:r>
        <w:r w:rsidR="0094253D">
          <w:rPr>
            <w:rFonts w:eastAsia="MS Mincho" w:cs="Times New Roman"/>
          </w:rPr>
          <w:tab/>
        </w:r>
        <w:r w:rsidR="0094253D">
          <w:rPr>
            <w:rFonts w:eastAsia="MS Mincho" w:cs="Times New Roman"/>
          </w:rPr>
          <w:tab/>
        </w:r>
        <w:r w:rsidR="0094253D">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7287342D" w14:textId="77373ABA"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D818" w14:textId="77777777" w:rsidR="00ED12C3" w:rsidRDefault="00ED12C3" w:rsidP="00DE543D">
      <w:r>
        <w:separator/>
      </w:r>
    </w:p>
  </w:footnote>
  <w:footnote w:type="continuationSeparator" w:id="0">
    <w:p w14:paraId="4BBE546E" w14:textId="77777777" w:rsidR="00ED12C3" w:rsidRDefault="00ED12C3"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F053" w14:textId="1BB11911" w:rsidR="009872B7" w:rsidRDefault="009872B7" w:rsidP="00475EF7">
    <w:pPr>
      <w:pStyle w:val="OATbodystyle"/>
    </w:pPr>
    <w:r>
      <w:rPr>
        <w:noProof/>
      </w:rPr>
      <w:drawing>
        <wp:anchor distT="0" distB="0" distL="114300" distR="114300" simplePos="0" relativeHeight="251658752" behindDoc="0" locked="0" layoutInCell="1" allowOverlap="1" wp14:anchorId="04B0A554" wp14:editId="3818D8A6">
          <wp:simplePos x="0" y="0"/>
          <wp:positionH relativeFrom="margin">
            <wp:align>left</wp:align>
          </wp:positionH>
          <wp:positionV relativeFrom="paragraph">
            <wp:posOffset>-39370</wp:posOffset>
          </wp:positionV>
          <wp:extent cx="1261242" cy="601157"/>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242" cy="601157"/>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B666" w14:textId="3C40FE18" w:rsidR="00337969" w:rsidRDefault="002661BC" w:rsidP="00475EF7">
    <w:pPr>
      <w:pStyle w:val="OATbodystyle"/>
    </w:pPr>
    <w:r>
      <w:rPr>
        <w:noProof/>
      </w:rPr>
      <w:drawing>
        <wp:anchor distT="0" distB="0" distL="114300" distR="114300" simplePos="0" relativeHeight="251663360" behindDoc="0" locked="0" layoutInCell="1" allowOverlap="1" wp14:anchorId="2460AE4B" wp14:editId="1C372B97">
          <wp:simplePos x="0" y="0"/>
          <wp:positionH relativeFrom="margin">
            <wp:align>left</wp:align>
          </wp:positionH>
          <wp:positionV relativeFrom="paragraph">
            <wp:posOffset>-44450</wp:posOffset>
          </wp:positionV>
          <wp:extent cx="1332186" cy="63273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32186" cy="6327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pStyle w:val="OATliststyle"/>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50256A"/>
    <w:multiLevelType w:val="multilevel"/>
    <w:tmpl w:val="FCBEA8C2"/>
    <w:lvl w:ilvl="0">
      <w:start w:val="5"/>
      <w:numFmt w:val="decimal"/>
      <w:lvlText w:val="%1"/>
      <w:lvlJc w:val="left"/>
      <w:pPr>
        <w:ind w:left="384" w:hanging="384"/>
      </w:pPr>
      <w:rPr>
        <w:rFonts w:hint="default"/>
      </w:rPr>
    </w:lvl>
    <w:lvl w:ilvl="1">
      <w:start w:val="10"/>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D41255"/>
    <w:multiLevelType w:val="hybridMultilevel"/>
    <w:tmpl w:val="B038DD68"/>
    <w:lvl w:ilvl="0" w:tplc="A7C8546E">
      <w:start w:val="1"/>
      <w:numFmt w:val="bullet"/>
      <w:lvlText w:val=""/>
      <w:lvlJc w:val="left"/>
      <w:pPr>
        <w:ind w:left="360" w:hanging="360"/>
      </w:pPr>
      <w:rPr>
        <w:rFonts w:ascii="Wingdings" w:hAnsi="Wingdings" w:hint="default"/>
        <w:color w:val="0092D2"/>
      </w:rPr>
    </w:lvl>
    <w:lvl w:ilvl="1" w:tplc="91E8E560">
      <w:start w:val="1"/>
      <w:numFmt w:val="bullet"/>
      <w:lvlText w:val=""/>
      <w:lvlJc w:val="left"/>
      <w:pPr>
        <w:ind w:left="567" w:hanging="283"/>
      </w:pPr>
      <w:rPr>
        <w:rFonts w:ascii="Wingdings" w:hAnsi="Wingdings" w:hint="default"/>
        <w:color w:val="808080" w:themeColor="background1" w:themeShade="80"/>
      </w:rPr>
    </w:lvl>
    <w:lvl w:ilvl="2" w:tplc="36B41BAC">
      <w:start w:val="1"/>
      <w:numFmt w:val="bullet"/>
      <w:lvlText w:val=""/>
      <w:lvlJc w:val="left"/>
      <w:pPr>
        <w:ind w:left="851" w:hanging="284"/>
      </w:pPr>
      <w:rPr>
        <w:rFonts w:ascii="Wingdings" w:hAnsi="Wingdings" w:hint="default"/>
        <w:color w:val="808080" w:themeColor="background1" w:themeShade="80"/>
      </w:rPr>
    </w:lvl>
    <w:lvl w:ilvl="3" w:tplc="12C09740">
      <w:start w:val="1"/>
      <w:numFmt w:val="decimal"/>
      <w:lvlText w:val="(%4)"/>
      <w:lvlJc w:val="left"/>
      <w:pPr>
        <w:ind w:left="1440" w:hanging="360"/>
      </w:pPr>
      <w:rPr>
        <w:rFonts w:hint="default"/>
      </w:rPr>
    </w:lvl>
    <w:lvl w:ilvl="4" w:tplc="F574EC9C">
      <w:start w:val="1"/>
      <w:numFmt w:val="lowerLetter"/>
      <w:lvlText w:val="(%5)"/>
      <w:lvlJc w:val="left"/>
      <w:pPr>
        <w:ind w:left="1800" w:hanging="360"/>
      </w:pPr>
      <w:rPr>
        <w:rFonts w:hint="default"/>
      </w:rPr>
    </w:lvl>
    <w:lvl w:ilvl="5" w:tplc="C6F6804E">
      <w:start w:val="1"/>
      <w:numFmt w:val="lowerRoman"/>
      <w:lvlText w:val="(%6)"/>
      <w:lvlJc w:val="left"/>
      <w:pPr>
        <w:ind w:left="2160" w:hanging="360"/>
      </w:pPr>
      <w:rPr>
        <w:rFonts w:hint="default"/>
      </w:rPr>
    </w:lvl>
    <w:lvl w:ilvl="6" w:tplc="B3BA704E">
      <w:start w:val="1"/>
      <w:numFmt w:val="decimal"/>
      <w:lvlText w:val="%7."/>
      <w:lvlJc w:val="left"/>
      <w:pPr>
        <w:ind w:left="2520" w:hanging="360"/>
      </w:pPr>
      <w:rPr>
        <w:rFonts w:hint="default"/>
      </w:rPr>
    </w:lvl>
    <w:lvl w:ilvl="7" w:tplc="D67A80E0">
      <w:start w:val="1"/>
      <w:numFmt w:val="lowerLetter"/>
      <w:lvlText w:val="%8."/>
      <w:lvlJc w:val="left"/>
      <w:pPr>
        <w:ind w:left="2880" w:hanging="360"/>
      </w:pPr>
      <w:rPr>
        <w:rFonts w:hint="default"/>
      </w:rPr>
    </w:lvl>
    <w:lvl w:ilvl="8" w:tplc="A4A03EB8">
      <w:start w:val="1"/>
      <w:numFmt w:val="lowerRoman"/>
      <w:lvlText w:val="%9."/>
      <w:lvlJc w:val="left"/>
      <w:pPr>
        <w:ind w:left="3240" w:hanging="360"/>
      </w:pPr>
      <w:rPr>
        <w:rFonts w:hint="default"/>
      </w:rPr>
    </w:lvl>
  </w:abstractNum>
  <w:abstractNum w:abstractNumId="10" w15:restartNumberingAfterBreak="0">
    <w:nsid w:val="787337DD"/>
    <w:multiLevelType w:val="multilevel"/>
    <w:tmpl w:val="A67C8594"/>
    <w:lvl w:ilvl="0">
      <w:start w:val="5"/>
      <w:numFmt w:val="decimal"/>
      <w:lvlText w:val="%1"/>
      <w:lvlJc w:val="left"/>
      <w:pPr>
        <w:ind w:left="384" w:hanging="384"/>
      </w:pPr>
      <w:rPr>
        <w:rFonts w:hint="default"/>
      </w:rPr>
    </w:lvl>
    <w:lvl w:ilvl="1">
      <w:start w:val="10"/>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9"/>
  </w:num>
  <w:num w:numId="3">
    <w:abstractNumId w:val="1"/>
  </w:num>
  <w:num w:numId="4">
    <w:abstractNumId w:val="6"/>
  </w:num>
  <w:num w:numId="5">
    <w:abstractNumId w:val="5"/>
  </w:num>
  <w:num w:numId="6">
    <w:abstractNumId w:val="4"/>
  </w:num>
  <w:num w:numId="7">
    <w:abstractNumId w:val="7"/>
  </w:num>
  <w:num w:numId="8">
    <w:abstractNumId w:val="2"/>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99"/>
    <w:rsid w:val="00000E4C"/>
    <w:rsid w:val="00001EA9"/>
    <w:rsid w:val="000020C5"/>
    <w:rsid w:val="000262F4"/>
    <w:rsid w:val="00032278"/>
    <w:rsid w:val="000615BA"/>
    <w:rsid w:val="00065A4F"/>
    <w:rsid w:val="00071872"/>
    <w:rsid w:val="000901F9"/>
    <w:rsid w:val="000A2D81"/>
    <w:rsid w:val="000B6F3A"/>
    <w:rsid w:val="000C3F2B"/>
    <w:rsid w:val="000D6054"/>
    <w:rsid w:val="000F1807"/>
    <w:rsid w:val="00102FF0"/>
    <w:rsid w:val="00112FC8"/>
    <w:rsid w:val="00121422"/>
    <w:rsid w:val="00143A56"/>
    <w:rsid w:val="001653A2"/>
    <w:rsid w:val="00171C62"/>
    <w:rsid w:val="001D3E60"/>
    <w:rsid w:val="001F55BC"/>
    <w:rsid w:val="002035C5"/>
    <w:rsid w:val="002117E6"/>
    <w:rsid w:val="00221921"/>
    <w:rsid w:val="0022262E"/>
    <w:rsid w:val="00246A28"/>
    <w:rsid w:val="002661BC"/>
    <w:rsid w:val="00291DFF"/>
    <w:rsid w:val="002B3C47"/>
    <w:rsid w:val="002B7B8E"/>
    <w:rsid w:val="002E24BB"/>
    <w:rsid w:val="003161B2"/>
    <w:rsid w:val="003170D5"/>
    <w:rsid w:val="0032449F"/>
    <w:rsid w:val="00324BAA"/>
    <w:rsid w:val="00337969"/>
    <w:rsid w:val="003412B8"/>
    <w:rsid w:val="00377EFE"/>
    <w:rsid w:val="00385F9C"/>
    <w:rsid w:val="00391EF6"/>
    <w:rsid w:val="00394DFF"/>
    <w:rsid w:val="003B548D"/>
    <w:rsid w:val="003C126C"/>
    <w:rsid w:val="003C6371"/>
    <w:rsid w:val="003D4E16"/>
    <w:rsid w:val="004237E7"/>
    <w:rsid w:val="00425835"/>
    <w:rsid w:val="00433EDA"/>
    <w:rsid w:val="00437CC2"/>
    <w:rsid w:val="00465466"/>
    <w:rsid w:val="00466683"/>
    <w:rsid w:val="00471DFC"/>
    <w:rsid w:val="00475EA3"/>
    <w:rsid w:val="00475EF7"/>
    <w:rsid w:val="004E59BE"/>
    <w:rsid w:val="004E6C53"/>
    <w:rsid w:val="004F4D99"/>
    <w:rsid w:val="004F5DE4"/>
    <w:rsid w:val="005044B3"/>
    <w:rsid w:val="00507EF2"/>
    <w:rsid w:val="005240D2"/>
    <w:rsid w:val="00532064"/>
    <w:rsid w:val="00566B99"/>
    <w:rsid w:val="00572F4D"/>
    <w:rsid w:val="00592F89"/>
    <w:rsid w:val="005935AC"/>
    <w:rsid w:val="00593A28"/>
    <w:rsid w:val="005A4FF8"/>
    <w:rsid w:val="005B049A"/>
    <w:rsid w:val="005B167D"/>
    <w:rsid w:val="005C6BD3"/>
    <w:rsid w:val="005D3308"/>
    <w:rsid w:val="005E0C46"/>
    <w:rsid w:val="00602BA8"/>
    <w:rsid w:val="00616826"/>
    <w:rsid w:val="00620DC0"/>
    <w:rsid w:val="006577D4"/>
    <w:rsid w:val="00677F16"/>
    <w:rsid w:val="00684CE9"/>
    <w:rsid w:val="006C203C"/>
    <w:rsid w:val="006F10CE"/>
    <w:rsid w:val="00705FF0"/>
    <w:rsid w:val="0071201E"/>
    <w:rsid w:val="0076286B"/>
    <w:rsid w:val="00764250"/>
    <w:rsid w:val="007645B2"/>
    <w:rsid w:val="00777693"/>
    <w:rsid w:val="007A0339"/>
    <w:rsid w:val="007A4FB9"/>
    <w:rsid w:val="007A7FC3"/>
    <w:rsid w:val="007D086C"/>
    <w:rsid w:val="007D4C09"/>
    <w:rsid w:val="007D657C"/>
    <w:rsid w:val="007D6915"/>
    <w:rsid w:val="007F0090"/>
    <w:rsid w:val="007F0A69"/>
    <w:rsid w:val="00816D37"/>
    <w:rsid w:val="008510BC"/>
    <w:rsid w:val="0085354D"/>
    <w:rsid w:val="00862BE5"/>
    <w:rsid w:val="00866011"/>
    <w:rsid w:val="00871F4A"/>
    <w:rsid w:val="00885916"/>
    <w:rsid w:val="00887E6B"/>
    <w:rsid w:val="008A249F"/>
    <w:rsid w:val="008D1069"/>
    <w:rsid w:val="008E1665"/>
    <w:rsid w:val="0091069F"/>
    <w:rsid w:val="00926913"/>
    <w:rsid w:val="0094021A"/>
    <w:rsid w:val="0094253D"/>
    <w:rsid w:val="009528BE"/>
    <w:rsid w:val="00954CCB"/>
    <w:rsid w:val="00970D64"/>
    <w:rsid w:val="00983389"/>
    <w:rsid w:val="009872B7"/>
    <w:rsid w:val="009914AE"/>
    <w:rsid w:val="009E0E83"/>
    <w:rsid w:val="009F2EA2"/>
    <w:rsid w:val="00A3658E"/>
    <w:rsid w:val="00A413F1"/>
    <w:rsid w:val="00A64B66"/>
    <w:rsid w:val="00A81E6B"/>
    <w:rsid w:val="00AA29EC"/>
    <w:rsid w:val="00B14DF1"/>
    <w:rsid w:val="00B42598"/>
    <w:rsid w:val="00B60711"/>
    <w:rsid w:val="00B74B30"/>
    <w:rsid w:val="00B75C66"/>
    <w:rsid w:val="00BD0A64"/>
    <w:rsid w:val="00BD5588"/>
    <w:rsid w:val="00C36BAB"/>
    <w:rsid w:val="00C37F3F"/>
    <w:rsid w:val="00C622FE"/>
    <w:rsid w:val="00C64DA7"/>
    <w:rsid w:val="00C77148"/>
    <w:rsid w:val="00C85A41"/>
    <w:rsid w:val="00CB0374"/>
    <w:rsid w:val="00CB2086"/>
    <w:rsid w:val="00CB371C"/>
    <w:rsid w:val="00CC0F0D"/>
    <w:rsid w:val="00CE067A"/>
    <w:rsid w:val="00CE5E9B"/>
    <w:rsid w:val="00CF39A7"/>
    <w:rsid w:val="00D0125B"/>
    <w:rsid w:val="00D0262A"/>
    <w:rsid w:val="00D21414"/>
    <w:rsid w:val="00D3544E"/>
    <w:rsid w:val="00D4303D"/>
    <w:rsid w:val="00D64FFB"/>
    <w:rsid w:val="00D761BE"/>
    <w:rsid w:val="00D90DDD"/>
    <w:rsid w:val="00D9603D"/>
    <w:rsid w:val="00D97E67"/>
    <w:rsid w:val="00DA1B17"/>
    <w:rsid w:val="00DA7F22"/>
    <w:rsid w:val="00DB08C2"/>
    <w:rsid w:val="00DE543D"/>
    <w:rsid w:val="00DF28C7"/>
    <w:rsid w:val="00DF3F87"/>
    <w:rsid w:val="00E0325D"/>
    <w:rsid w:val="00E90485"/>
    <w:rsid w:val="00E927A5"/>
    <w:rsid w:val="00EB430E"/>
    <w:rsid w:val="00EB6312"/>
    <w:rsid w:val="00ED12C3"/>
    <w:rsid w:val="00F14213"/>
    <w:rsid w:val="00F15A19"/>
    <w:rsid w:val="00F236C6"/>
    <w:rsid w:val="00F2632A"/>
    <w:rsid w:val="00F40543"/>
    <w:rsid w:val="00FA1BD8"/>
    <w:rsid w:val="00FB1FD2"/>
    <w:rsid w:val="00FD1880"/>
    <w:rsid w:val="07EF25AB"/>
    <w:rsid w:val="28EFA3EF"/>
    <w:rsid w:val="5F779A63"/>
    <w:rsid w:val="73E777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D0651B"/>
  <w14:defaultImageDpi w14:val="300"/>
  <w15:docId w15:val="{96A262A2-814C-4645-A03A-114CD258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ind w:left="357" w:hanging="357"/>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433EDA"/>
    <w:rPr>
      <w:sz w:val="16"/>
      <w:szCs w:val="16"/>
    </w:rPr>
  </w:style>
  <w:style w:type="paragraph" w:styleId="CommentText">
    <w:name w:val="annotation text"/>
    <w:basedOn w:val="Normal"/>
    <w:link w:val="CommentTextChar"/>
    <w:uiPriority w:val="99"/>
    <w:semiHidden/>
    <w:unhideWhenUsed/>
    <w:rsid w:val="00433EDA"/>
    <w:rPr>
      <w:sz w:val="20"/>
      <w:szCs w:val="20"/>
    </w:rPr>
  </w:style>
  <w:style w:type="character" w:customStyle="1" w:styleId="CommentTextChar">
    <w:name w:val="Comment Text Char"/>
    <w:basedOn w:val="DefaultParagraphFont"/>
    <w:link w:val="CommentText"/>
    <w:uiPriority w:val="99"/>
    <w:semiHidden/>
    <w:rsid w:val="00433EDA"/>
    <w:rPr>
      <w:sz w:val="20"/>
      <w:szCs w:val="20"/>
    </w:rPr>
  </w:style>
  <w:style w:type="character" w:styleId="UnresolvedMention">
    <w:name w:val="Unresolved Mention"/>
    <w:basedOn w:val="DefaultParagraphFont"/>
    <w:uiPriority w:val="99"/>
    <w:semiHidden/>
    <w:unhideWhenUsed/>
    <w:rsid w:val="000C3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vernance@ormistonacademies.co.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Finance</Department>
    <Lead xmlns="dc471172-6ec0-410f-9f6e-10acaa34c523">Finance</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Gifts and Hospitality</Document>
    <Website xmlns="dc471172-6ec0-410f-9f6e-10acaa34c523">No</Website>
    <InitiateFlow xmlns="dc471172-6ec0-410f-9f6e-10acaa34c523" xsi:nil="true"/>
    <FlowComplete xmlns="dc471172-6ec0-410f-9f6e-10acaa34c5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73F08F-B485-433F-8069-65AA3F8A6CC0}"/>
</file>

<file path=customXml/itemProps2.xml><?xml version="1.0" encoding="utf-8"?>
<ds:datastoreItem xmlns:ds="http://schemas.openxmlformats.org/officeDocument/2006/customXml" ds:itemID="{CEBD8909-AFFF-4D97-937B-B69B7A744023}">
  <ds:schemaRefs>
    <ds:schemaRef ds:uri="http://schemas.openxmlformats.org/officeDocument/2006/bibliography"/>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Jayne Brazier</cp:lastModifiedBy>
  <cp:revision>7</cp:revision>
  <cp:lastPrinted>2015-12-01T15:17:00Z</cp:lastPrinted>
  <dcterms:created xsi:type="dcterms:W3CDTF">2021-11-11T13:39:00Z</dcterms:created>
  <dcterms:modified xsi:type="dcterms:W3CDTF">2022-02-09T12:15:00Z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15700</vt:r8>
  </property>
</Properties>
</file>