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ED" w14:textId="77777777" w:rsidR="00425835" w:rsidRDefault="00425835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3ADD53A1" w14:textId="77777777" w:rsidR="00D761BE" w:rsidRDefault="00D761BE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57DE1BDB" w14:textId="77777777" w:rsidR="00592F89" w:rsidRDefault="00592F89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0F06A371" w14:textId="77777777" w:rsidR="00D761BE" w:rsidRPr="00425835" w:rsidRDefault="00D761BE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0CB8E658" w14:textId="10E528AE" w:rsidR="00D761BE" w:rsidRPr="00475EA3" w:rsidRDefault="00D761BE" w:rsidP="00D761BE">
      <w:pPr>
        <w:spacing w:after="60" w:line="270" w:lineRule="exact"/>
        <w:rPr>
          <w:rFonts w:ascii="Arial" w:eastAsia="Cambria" w:hAnsi="Arial" w:cs="Arial"/>
          <w:sz w:val="26"/>
          <w:szCs w:val="26"/>
        </w:rPr>
      </w:pPr>
      <w:r w:rsidRPr="00475EA3">
        <w:rPr>
          <w:rFonts w:ascii="Arial" w:eastAsia="Cambria" w:hAnsi="Arial" w:cs="Arial"/>
          <w:sz w:val="26"/>
          <w:szCs w:val="26"/>
        </w:rPr>
        <w:t>Ormiston Academies Trust</w:t>
      </w:r>
    </w:p>
    <w:p w14:paraId="2C696B9A" w14:textId="6C0B218B" w:rsidR="00D761BE" w:rsidRPr="00475EA3" w:rsidRDefault="00D761BE" w:rsidP="00D761BE">
      <w:pPr>
        <w:tabs>
          <w:tab w:val="left" w:pos="284"/>
        </w:tabs>
        <w:spacing w:before="200" w:line="480" w:lineRule="exact"/>
        <w:rPr>
          <w:rFonts w:ascii="Arial" w:eastAsia="MS Gothic" w:hAnsi="Arial" w:cs="Arial"/>
          <w:color w:val="00B0F0"/>
          <w:kern w:val="28"/>
          <w:sz w:val="42"/>
          <w:szCs w:val="56"/>
        </w:rPr>
      </w:pPr>
      <w:r w:rsidRPr="00475EA3">
        <w:rPr>
          <w:rFonts w:ascii="Arial" w:eastAsia="MS Gothic" w:hAnsi="Arial" w:cs="Arial"/>
          <w:color w:val="00B0F0"/>
          <w:kern w:val="28"/>
          <w:sz w:val="42"/>
          <w:szCs w:val="56"/>
        </w:rPr>
        <w:br/>
      </w:r>
      <w:r w:rsidR="00450050">
        <w:rPr>
          <w:rFonts w:ascii="Arial" w:eastAsia="MS Gothic" w:hAnsi="Arial" w:cs="Arial"/>
          <w:color w:val="00B0F0"/>
          <w:kern w:val="28"/>
          <w:sz w:val="42"/>
          <w:szCs w:val="56"/>
        </w:rPr>
        <w:t>Treasury and in</w:t>
      </w:r>
      <w:r w:rsidR="0001426F">
        <w:rPr>
          <w:rFonts w:ascii="Arial" w:eastAsia="MS Gothic" w:hAnsi="Arial" w:cs="Arial"/>
          <w:color w:val="00B0F0"/>
          <w:kern w:val="28"/>
          <w:sz w:val="42"/>
          <w:szCs w:val="56"/>
        </w:rPr>
        <w:t>vestment policy</w:t>
      </w:r>
      <w:r w:rsidR="0001426F">
        <w:rPr>
          <w:rFonts w:ascii="Arial" w:eastAsia="MS Gothic" w:hAnsi="Arial" w:cs="Arial"/>
          <w:color w:val="00B0F0"/>
          <w:kern w:val="28"/>
          <w:sz w:val="42"/>
          <w:szCs w:val="56"/>
        </w:rPr>
        <w:tab/>
      </w:r>
    </w:p>
    <w:p w14:paraId="6351BE2C" w14:textId="77777777" w:rsidR="00D761BE" w:rsidRPr="00D761BE" w:rsidRDefault="00D761BE" w:rsidP="00D761BE">
      <w:pPr>
        <w:tabs>
          <w:tab w:val="left" w:pos="284"/>
        </w:tabs>
        <w:spacing w:before="200" w:line="480" w:lineRule="exact"/>
        <w:rPr>
          <w:rFonts w:ascii="Gill Sans MT" w:eastAsia="MS Gothic" w:hAnsi="Gill Sans MT" w:cs="Times New Roman (Headings CS)"/>
          <w:color w:val="00B0F0"/>
          <w:kern w:val="28"/>
          <w:sz w:val="20"/>
          <w:szCs w:val="20"/>
        </w:rPr>
      </w:pPr>
    </w:p>
    <w:p w14:paraId="51F985E9" w14:textId="77777777" w:rsidR="00D761BE" w:rsidRDefault="00D761BE" w:rsidP="00D761BE">
      <w:pPr>
        <w:pStyle w:val="Titlepgcustom1"/>
        <w:rPr>
          <w:rFonts w:eastAsia="Cambria"/>
          <w:color w:val="00B0F0"/>
        </w:rPr>
      </w:pPr>
      <w:r w:rsidRPr="00425835">
        <w:rPr>
          <w:rFonts w:eastAsia="Cambria"/>
          <w:color w:val="00B0F0"/>
        </w:rPr>
        <w:t xml:space="preserve">Policy version control </w:t>
      </w:r>
    </w:p>
    <w:p w14:paraId="6C931302" w14:textId="77777777" w:rsidR="00D761BE" w:rsidRPr="00D761BE" w:rsidRDefault="00D761BE" w:rsidP="00D761BE">
      <w:pPr>
        <w:pStyle w:val="Titlepgcustom1"/>
        <w:rPr>
          <w:rFonts w:eastAsia="Cambria"/>
          <w:color w:val="00B0F0"/>
          <w:sz w:val="20"/>
          <w:szCs w:val="20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857"/>
        <w:gridCol w:w="6246"/>
      </w:tblGrid>
      <w:tr w:rsidR="00D761BE" w14:paraId="76361033" w14:textId="77777777" w:rsidTr="00CE3ADF">
        <w:trPr>
          <w:trHeight w:val="305"/>
        </w:trPr>
        <w:tc>
          <w:tcPr>
            <w:tcW w:w="2857" w:type="dxa"/>
            <w:tcMar>
              <w:top w:w="113" w:type="dxa"/>
            </w:tcMar>
          </w:tcPr>
          <w:p w14:paraId="614D2BFC" w14:textId="77777777" w:rsidR="00D761BE" w:rsidRPr="00475EA3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Policy type</w:t>
            </w:r>
          </w:p>
        </w:tc>
        <w:tc>
          <w:tcPr>
            <w:tcW w:w="6246" w:type="dxa"/>
            <w:tcMar>
              <w:top w:w="113" w:type="dxa"/>
            </w:tcMar>
          </w:tcPr>
          <w:p w14:paraId="689D50EA" w14:textId="4D97CB18" w:rsidR="00D761BE" w:rsidRPr="00475EA3" w:rsidRDefault="0065459D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Mandatory</w:t>
            </w:r>
          </w:p>
        </w:tc>
      </w:tr>
      <w:tr w:rsidR="00D761BE" w14:paraId="494996EA" w14:textId="77777777" w:rsidTr="00CE3ADF">
        <w:tc>
          <w:tcPr>
            <w:tcW w:w="2857" w:type="dxa"/>
            <w:tcMar>
              <w:top w:w="113" w:type="dxa"/>
            </w:tcMar>
          </w:tcPr>
          <w:p w14:paraId="29B3992B" w14:textId="0D70913A" w:rsidR="00D761BE" w:rsidRPr="00475EA3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Author</w:t>
            </w:r>
          </w:p>
        </w:tc>
        <w:tc>
          <w:tcPr>
            <w:tcW w:w="6246" w:type="dxa"/>
            <w:tcMar>
              <w:top w:w="113" w:type="dxa"/>
            </w:tcMar>
          </w:tcPr>
          <w:p w14:paraId="6A07D37F" w14:textId="1EC8679C" w:rsidR="00D761BE" w:rsidRPr="00475EA3" w:rsidRDefault="0001426F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Sarah Vout</w:t>
            </w:r>
            <w:r w:rsidR="0065459D" w:rsidRPr="00052B02">
              <w:rPr>
                <w:rFonts w:ascii="Arial" w:hAnsi="Arial" w:cs="Arial"/>
                <w:sz w:val="20"/>
                <w:szCs w:val="20"/>
              </w:rPr>
              <w:t>,</w:t>
            </w:r>
            <w:r w:rsidR="006D28C4">
              <w:rPr>
                <w:rFonts w:ascii="Arial" w:hAnsi="Arial" w:cs="Arial"/>
                <w:sz w:val="20"/>
                <w:szCs w:val="20"/>
              </w:rPr>
              <w:t xml:space="preserve"> Head of Finance</w:t>
            </w:r>
          </w:p>
        </w:tc>
      </w:tr>
      <w:tr w:rsidR="00D761BE" w14:paraId="3B207E33" w14:textId="77777777" w:rsidTr="00CE3ADF">
        <w:tc>
          <w:tcPr>
            <w:tcW w:w="2857" w:type="dxa"/>
            <w:tcMar>
              <w:top w:w="113" w:type="dxa"/>
            </w:tcMar>
          </w:tcPr>
          <w:p w14:paraId="272F5870" w14:textId="77777777" w:rsidR="00D761BE" w:rsidRPr="00475EA3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Approved by</w:t>
            </w:r>
          </w:p>
        </w:tc>
        <w:tc>
          <w:tcPr>
            <w:tcW w:w="6246" w:type="dxa"/>
            <w:tcMar>
              <w:top w:w="113" w:type="dxa"/>
            </w:tcMar>
          </w:tcPr>
          <w:p w14:paraId="5E609AD3" w14:textId="2BE0580F" w:rsidR="00D761BE" w:rsidRPr="00475EA3" w:rsidRDefault="0065459D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Joanne Dawson</w:t>
            </w:r>
            <w:r w:rsidR="00D62CDD">
              <w:rPr>
                <w:rFonts w:ascii="Arial" w:eastAsia="MS Mincho" w:hAnsi="Arial" w:cs="Arial"/>
                <w:sz w:val="20"/>
                <w:szCs w:val="20"/>
              </w:rPr>
              <w:t>,</w:t>
            </w:r>
            <w:r>
              <w:rPr>
                <w:rFonts w:ascii="Arial" w:eastAsia="MS Mincho" w:hAnsi="Arial" w:cs="Arial"/>
                <w:sz w:val="20"/>
                <w:szCs w:val="20"/>
              </w:rPr>
              <w:t xml:space="preserve"> National Director of Finance and Strategy</w:t>
            </w:r>
            <w:r w:rsidR="00632D56">
              <w:rPr>
                <w:rFonts w:ascii="Arial" w:eastAsia="MS Mincho" w:hAnsi="Arial" w:cs="Arial"/>
                <w:sz w:val="20"/>
                <w:szCs w:val="20"/>
              </w:rPr>
              <w:t>, June 2023</w:t>
            </w:r>
          </w:p>
        </w:tc>
      </w:tr>
      <w:tr w:rsidR="00632D56" w14:paraId="744FF427" w14:textId="77777777" w:rsidTr="00CE3ADF">
        <w:tc>
          <w:tcPr>
            <w:tcW w:w="2857" w:type="dxa"/>
            <w:tcMar>
              <w:top w:w="113" w:type="dxa"/>
            </w:tcMar>
          </w:tcPr>
          <w:p w14:paraId="2BCC6F85" w14:textId="3EAB07F8" w:rsidR="00632D56" w:rsidRPr="00632D56" w:rsidRDefault="00632D56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632D56">
              <w:rPr>
                <w:rFonts w:ascii="Arial" w:eastAsia="MS Mincho" w:hAnsi="Arial" w:cs="Arial"/>
                <w:sz w:val="20"/>
                <w:szCs w:val="20"/>
              </w:rPr>
              <w:t xml:space="preserve">Approved by </w:t>
            </w:r>
          </w:p>
        </w:tc>
        <w:tc>
          <w:tcPr>
            <w:tcW w:w="6246" w:type="dxa"/>
            <w:tcMar>
              <w:top w:w="113" w:type="dxa"/>
            </w:tcMar>
          </w:tcPr>
          <w:p w14:paraId="5CDF0F04" w14:textId="45DD14DE" w:rsidR="00632D56" w:rsidRPr="00632D56" w:rsidRDefault="00632D56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632D56">
              <w:rPr>
                <w:rFonts w:ascii="Arial" w:hAnsi="Arial" w:cs="Arial"/>
                <w:sz w:val="20"/>
                <w:szCs w:val="20"/>
              </w:rPr>
              <w:t>F&amp;C Committee, June 2023</w:t>
            </w:r>
          </w:p>
        </w:tc>
      </w:tr>
      <w:tr w:rsidR="00D761BE" w14:paraId="62422563" w14:textId="77777777" w:rsidTr="00CE3ADF">
        <w:tc>
          <w:tcPr>
            <w:tcW w:w="2857" w:type="dxa"/>
            <w:tcMar>
              <w:top w:w="113" w:type="dxa"/>
            </w:tcMar>
          </w:tcPr>
          <w:p w14:paraId="6896336E" w14:textId="77777777" w:rsidR="00D761BE" w:rsidRPr="00475EA3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Release date</w:t>
            </w:r>
          </w:p>
        </w:tc>
        <w:tc>
          <w:tcPr>
            <w:tcW w:w="6246" w:type="dxa"/>
            <w:tcMar>
              <w:top w:w="113" w:type="dxa"/>
            </w:tcMar>
          </w:tcPr>
          <w:p w14:paraId="653FF90C" w14:textId="3A54557E" w:rsidR="00D761BE" w:rsidRPr="00475EA3" w:rsidRDefault="00632D56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July 2023</w:t>
            </w:r>
          </w:p>
        </w:tc>
      </w:tr>
      <w:tr w:rsidR="00D761BE" w14:paraId="764B372B" w14:textId="77777777" w:rsidTr="00CE3ADF">
        <w:trPr>
          <w:trHeight w:val="243"/>
        </w:trPr>
        <w:tc>
          <w:tcPr>
            <w:tcW w:w="2857" w:type="dxa"/>
            <w:tcMar>
              <w:top w:w="113" w:type="dxa"/>
            </w:tcMar>
          </w:tcPr>
          <w:p w14:paraId="1EA1339D" w14:textId="77777777" w:rsidR="00D761BE" w:rsidRPr="00475EA3" w:rsidRDefault="00AE06BB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Review</w:t>
            </w:r>
          </w:p>
        </w:tc>
        <w:tc>
          <w:tcPr>
            <w:tcW w:w="6246" w:type="dxa"/>
            <w:tcMar>
              <w:top w:w="113" w:type="dxa"/>
            </w:tcMar>
          </w:tcPr>
          <w:p w14:paraId="2945D00C" w14:textId="29B18296" w:rsidR="00D761BE" w:rsidRPr="00285EDC" w:rsidRDefault="00285EDC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285ED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Policies will be reviewed in line with OAT's internal policy schedule and/or updated when new legislation comes into force</w:t>
            </w:r>
          </w:p>
        </w:tc>
      </w:tr>
      <w:tr w:rsidR="00D761BE" w14:paraId="22E9151B" w14:textId="77777777" w:rsidTr="00CE3ADF">
        <w:trPr>
          <w:trHeight w:val="243"/>
        </w:trPr>
        <w:tc>
          <w:tcPr>
            <w:tcW w:w="2857" w:type="dxa"/>
            <w:tcMar>
              <w:top w:w="113" w:type="dxa"/>
            </w:tcMar>
          </w:tcPr>
          <w:p w14:paraId="3E907285" w14:textId="77777777" w:rsidR="00D761BE" w:rsidRPr="00475EA3" w:rsidRDefault="00D761BE" w:rsidP="00CE3ADF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Description of changes</w:t>
            </w:r>
          </w:p>
        </w:tc>
        <w:tc>
          <w:tcPr>
            <w:tcW w:w="6246" w:type="dxa"/>
            <w:tcMar>
              <w:top w:w="113" w:type="dxa"/>
            </w:tcMar>
          </w:tcPr>
          <w:p w14:paraId="46862292" w14:textId="2FA69A06" w:rsidR="00D761BE" w:rsidRPr="00475EA3" w:rsidRDefault="0001426F" w:rsidP="006D28C4">
            <w:pPr>
              <w:pStyle w:val="OATliststyle"/>
            </w:pPr>
            <w:r>
              <w:t>New policy</w:t>
            </w:r>
          </w:p>
        </w:tc>
      </w:tr>
    </w:tbl>
    <w:p w14:paraId="62DB6D05" w14:textId="77777777" w:rsidR="00425835" w:rsidRPr="002E24BB" w:rsidRDefault="00425835" w:rsidP="002E24BB">
      <w:pPr>
        <w:pStyle w:val="OATbodystyle"/>
        <w:spacing w:line="276" w:lineRule="auto"/>
        <w:rPr>
          <w:color w:val="00B0F0"/>
          <w:sz w:val="40"/>
          <w:szCs w:val="40"/>
        </w:rPr>
      </w:pPr>
      <w:r w:rsidRPr="002E24BB">
        <w:rPr>
          <w:color w:val="00B0F0"/>
          <w:sz w:val="40"/>
          <w:szCs w:val="40"/>
        </w:rPr>
        <w:br w:type="page"/>
      </w:r>
    </w:p>
    <w:p w14:paraId="16F24C35" w14:textId="77777777" w:rsidR="0094253D" w:rsidRPr="00C622FE" w:rsidRDefault="002E24BB" w:rsidP="002E24BB">
      <w:pPr>
        <w:pStyle w:val="OATbodystyle"/>
        <w:spacing w:line="276" w:lineRule="auto"/>
        <w:rPr>
          <w:color w:val="00B0F0"/>
          <w:sz w:val="42"/>
          <w:szCs w:val="42"/>
        </w:rPr>
      </w:pPr>
      <w:r w:rsidRPr="00C622FE">
        <w:rPr>
          <w:color w:val="00B0F0"/>
          <w:sz w:val="42"/>
          <w:szCs w:val="42"/>
        </w:rPr>
        <w:lastRenderedPageBreak/>
        <w:t>Contents</w:t>
      </w:r>
    </w:p>
    <w:sdt>
      <w:sdtPr>
        <w:rPr>
          <w:rFonts w:asciiTheme="minorHAnsi" w:hAnsiTheme="minorHAnsi"/>
          <w:bCs/>
        </w:rPr>
        <w:id w:val="-1202788278"/>
        <w:docPartObj>
          <w:docPartGallery w:val="Table of Contents"/>
          <w:docPartUnique/>
        </w:docPartObj>
      </w:sdtPr>
      <w:sdtEndPr>
        <w:rPr>
          <w:rFonts w:ascii="Arial" w:hAnsi="Arial"/>
          <w:b/>
          <w:bCs w:val="0"/>
          <w:noProof/>
        </w:rPr>
      </w:sdtEndPr>
      <w:sdtContent>
        <w:p w14:paraId="0DF01793" w14:textId="5C9552BF" w:rsidR="00191D8E" w:rsidRDefault="00F2632A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rPr>
              <w:rFonts w:ascii="Gill Sans MT" w:hAnsi="Gill Sans MT"/>
              <w:b/>
              <w:bCs/>
              <w:noProof/>
            </w:rPr>
            <w:fldChar w:fldCharType="begin"/>
          </w:r>
          <w:r>
            <w:rPr>
              <w:rFonts w:ascii="Gill Sans MT" w:hAnsi="Gill Sans MT"/>
              <w:b/>
              <w:bCs/>
              <w:noProof/>
            </w:rPr>
            <w:instrText xml:space="preserve"> TOC \o "1-3" \h \z \u </w:instrText>
          </w:r>
          <w:r>
            <w:rPr>
              <w:rFonts w:ascii="Gill Sans MT" w:hAnsi="Gill Sans MT"/>
              <w:b/>
              <w:bCs/>
              <w:noProof/>
            </w:rPr>
            <w:fldChar w:fldCharType="separate"/>
          </w:r>
          <w:hyperlink w:anchor="_Toc139627598" w:history="1">
            <w:r w:rsidR="00191D8E" w:rsidRPr="006C06B7">
              <w:rPr>
                <w:rStyle w:val="Hyperlink"/>
                <w:rFonts w:eastAsia="MS Mincho"/>
                <w:noProof/>
              </w:rPr>
              <w:t>1.</w:t>
            </w:r>
            <w:r w:rsidR="00191D8E"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191D8E" w:rsidRPr="006C06B7">
              <w:rPr>
                <w:rStyle w:val="Hyperlink"/>
                <w:rFonts w:eastAsia="MS Mincho"/>
                <w:noProof/>
              </w:rPr>
              <w:t>Policy statement and principles</w:t>
            </w:r>
            <w:r w:rsidR="00191D8E">
              <w:rPr>
                <w:noProof/>
                <w:webHidden/>
              </w:rPr>
              <w:tab/>
            </w:r>
            <w:r w:rsidR="00191D8E">
              <w:rPr>
                <w:noProof/>
                <w:webHidden/>
              </w:rPr>
              <w:fldChar w:fldCharType="begin"/>
            </w:r>
            <w:r w:rsidR="00191D8E">
              <w:rPr>
                <w:noProof/>
                <w:webHidden/>
              </w:rPr>
              <w:instrText xml:space="preserve"> PAGEREF _Toc139627598 \h </w:instrText>
            </w:r>
            <w:r w:rsidR="00191D8E">
              <w:rPr>
                <w:noProof/>
                <w:webHidden/>
              </w:rPr>
            </w:r>
            <w:r w:rsidR="00191D8E">
              <w:rPr>
                <w:noProof/>
                <w:webHidden/>
              </w:rPr>
              <w:fldChar w:fldCharType="separate"/>
            </w:r>
            <w:r w:rsidR="00191D8E">
              <w:rPr>
                <w:noProof/>
                <w:webHidden/>
              </w:rPr>
              <w:t>3</w:t>
            </w:r>
            <w:r w:rsidR="00191D8E">
              <w:rPr>
                <w:noProof/>
                <w:webHidden/>
              </w:rPr>
              <w:fldChar w:fldCharType="end"/>
            </w:r>
          </w:hyperlink>
        </w:p>
        <w:p w14:paraId="4EC51C79" w14:textId="5CC2E62C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599" w:history="1">
            <w:r w:rsidRPr="006C06B7">
              <w:rPr>
                <w:rStyle w:val="Hyperlink"/>
                <w:rFonts w:eastAsia="MS Minch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Treasury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1F07" w14:textId="07D83D43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600" w:history="1">
            <w:r w:rsidRPr="006C06B7">
              <w:rPr>
                <w:rStyle w:val="Hyperlink"/>
                <w:rFonts w:eastAsia="MS Mincho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Investment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3DE9" w14:textId="7E7CDE70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601" w:history="1">
            <w:r w:rsidRPr="006C06B7">
              <w:rPr>
                <w:rStyle w:val="Hyperlink"/>
                <w:rFonts w:eastAsia="MS Mincho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Permitted investments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02EB" w14:textId="562888EC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602" w:history="1">
            <w:r w:rsidRPr="006C06B7">
              <w:rPr>
                <w:rStyle w:val="Hyperlink"/>
                <w:rFonts w:eastAsia="MS Mincho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Management of investment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9ABB" w14:textId="71BFFE24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603" w:history="1">
            <w:r w:rsidRPr="006C06B7">
              <w:rPr>
                <w:rStyle w:val="Hyperlink"/>
                <w:rFonts w:eastAsia="MS Mincho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Availability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DBF6" w14:textId="76CE4525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604" w:history="1">
            <w:r w:rsidRPr="006C06B7">
              <w:rPr>
                <w:rStyle w:val="Hyperlink"/>
                <w:rFonts w:eastAsia="MS Mincho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Investment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5903" w14:textId="288FD694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605" w:history="1">
            <w:r w:rsidRPr="006C06B7">
              <w:rPr>
                <w:rStyle w:val="Hyperlink"/>
                <w:rFonts w:eastAsia="MS Mincho"/>
                <w:noProof/>
              </w:rPr>
              <w:t>8.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Management of investments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B076" w14:textId="603C86AA" w:rsidR="00191D8E" w:rsidRDefault="00191D8E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627606" w:history="1">
            <w:r w:rsidRPr="006C06B7">
              <w:rPr>
                <w:rStyle w:val="Hyperlink"/>
                <w:rFonts w:eastAsia="MS Mincho"/>
                <w:noProof/>
              </w:rPr>
              <w:t>9.</w:t>
            </w:r>
            <w:r>
              <w:rPr>
                <w:rFonts w:asciiTheme="minorHAnsi" w:hAnsiTheme="minorHAns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6C06B7">
              <w:rPr>
                <w:rStyle w:val="Hyperlink"/>
                <w:rFonts w:eastAsia="MS Mincho"/>
                <w:noProof/>
              </w:rPr>
              <w:t>Reporting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841E" w14:textId="4501A01E" w:rsidR="00D761BE" w:rsidRDefault="00F2632A" w:rsidP="00F2632A">
          <w:pPr>
            <w:pStyle w:val="TOC1"/>
            <w:tabs>
              <w:tab w:val="left" w:pos="440"/>
              <w:tab w:val="right" w:leader="dot" w:pos="9054"/>
            </w:tabs>
          </w:pPr>
          <w:r>
            <w:rPr>
              <w:rFonts w:ascii="Gill Sans MT" w:hAnsi="Gill Sans MT"/>
              <w:b/>
              <w:bCs/>
              <w:noProof/>
            </w:rPr>
            <w:fldChar w:fldCharType="end"/>
          </w:r>
        </w:p>
      </w:sdtContent>
    </w:sdt>
    <w:p w14:paraId="1F4638E2" w14:textId="0BE7BFC1" w:rsidR="00D761BE" w:rsidRDefault="00D761BE">
      <w:pPr>
        <w:rPr>
          <w:rFonts w:ascii="Gill Sans MT" w:eastAsia="MS Mincho" w:hAnsi="Gill Sans MT" w:cs="Times New Roman"/>
          <w:color w:val="00AFF0"/>
          <w:sz w:val="40"/>
          <w:szCs w:val="40"/>
        </w:rPr>
      </w:pPr>
      <w:r>
        <w:rPr>
          <w:rFonts w:ascii="Gill Sans MT" w:eastAsia="MS Mincho" w:hAnsi="Gill Sans MT" w:cs="Times New Roman"/>
          <w:color w:val="00AFF0"/>
          <w:sz w:val="40"/>
          <w:szCs w:val="40"/>
        </w:rPr>
        <w:br w:type="page"/>
      </w:r>
    </w:p>
    <w:p w14:paraId="6401029A" w14:textId="19F26B30" w:rsidR="00425835" w:rsidRDefault="00C8484C" w:rsidP="00D761BE">
      <w:pPr>
        <w:pStyle w:val="OATheader"/>
        <w:numPr>
          <w:ilvl w:val="0"/>
          <w:numId w:val="7"/>
        </w:numPr>
        <w:rPr>
          <w:rFonts w:eastAsia="MS Mincho"/>
        </w:rPr>
      </w:pPr>
      <w:r>
        <w:rPr>
          <w:rFonts w:eastAsia="MS Mincho"/>
        </w:rPr>
        <w:lastRenderedPageBreak/>
        <w:t xml:space="preserve"> </w:t>
      </w:r>
      <w:bookmarkStart w:id="0" w:name="_Toc139627598"/>
      <w:r w:rsidR="0065459D">
        <w:rPr>
          <w:rFonts w:eastAsia="MS Mincho"/>
        </w:rPr>
        <w:t>Policy statement and princip</w:t>
      </w:r>
      <w:r w:rsidR="002F5332">
        <w:rPr>
          <w:rFonts w:eastAsia="MS Mincho"/>
        </w:rPr>
        <w:t>le</w:t>
      </w:r>
      <w:r w:rsidR="0065459D">
        <w:rPr>
          <w:rFonts w:eastAsia="MS Mincho"/>
        </w:rPr>
        <w:t>s</w:t>
      </w:r>
      <w:bookmarkEnd w:id="0"/>
    </w:p>
    <w:p w14:paraId="6E940D77" w14:textId="3A17B6EE" w:rsidR="0065459D" w:rsidRDefault="0065459D" w:rsidP="00F42382">
      <w:pPr>
        <w:pStyle w:val="OATbodystyle"/>
        <w:numPr>
          <w:ilvl w:val="1"/>
          <w:numId w:val="12"/>
        </w:numPr>
        <w:tabs>
          <w:tab w:val="clear" w:pos="284"/>
        </w:tabs>
        <w:ind w:left="426" w:hanging="426"/>
      </w:pPr>
      <w:r w:rsidRPr="007F15C1">
        <w:t xml:space="preserve">Ormiston Academies Trust (OAT) </w:t>
      </w:r>
      <w:r w:rsidR="007C4221">
        <w:t>holds significant levels of cash</w:t>
      </w:r>
      <w:r w:rsidR="00273CB9">
        <w:t xml:space="preserve">.  The Academies Trust Handbook and the trust’s Articles of Association allow </w:t>
      </w:r>
      <w:r w:rsidR="00860FCF">
        <w:t>funds to be invested to further to trust’s charitable aims provided investment risk is properly managed.</w:t>
      </w:r>
    </w:p>
    <w:p w14:paraId="46888DB2" w14:textId="784DF995" w:rsidR="00DA2DF8" w:rsidRDefault="00DA2DF8" w:rsidP="00F42382">
      <w:pPr>
        <w:pStyle w:val="OATbodystyle"/>
        <w:numPr>
          <w:ilvl w:val="1"/>
          <w:numId w:val="12"/>
        </w:numPr>
        <w:tabs>
          <w:tab w:val="clear" w:pos="284"/>
        </w:tabs>
        <w:ind w:left="426" w:hanging="426"/>
      </w:pPr>
      <w:r w:rsidRPr="00B659B5">
        <w:t>Th</w:t>
      </w:r>
      <w:r w:rsidR="00960797">
        <w:t xml:space="preserve">is </w:t>
      </w:r>
      <w:r w:rsidRPr="00B659B5">
        <w:t>polic</w:t>
      </w:r>
      <w:r w:rsidR="00960797">
        <w:t>y</w:t>
      </w:r>
      <w:r w:rsidRPr="00B659B5">
        <w:t xml:space="preserve"> appl</w:t>
      </w:r>
      <w:r w:rsidR="00960797">
        <w:t>ies</w:t>
      </w:r>
      <w:r w:rsidRPr="00B659B5">
        <w:t xml:space="preserve"> to all employees of OAT whether at head office or in the academies</w:t>
      </w:r>
      <w:r w:rsidR="00860FCF">
        <w:t>.</w:t>
      </w:r>
    </w:p>
    <w:p w14:paraId="19800DD4" w14:textId="77777777" w:rsidR="00F42382" w:rsidRDefault="0065459D" w:rsidP="00F42382">
      <w:pPr>
        <w:pStyle w:val="OATbodystyle"/>
        <w:numPr>
          <w:ilvl w:val="1"/>
          <w:numId w:val="12"/>
        </w:numPr>
        <w:tabs>
          <w:tab w:val="clear" w:pos="284"/>
        </w:tabs>
        <w:ind w:left="426" w:hanging="426"/>
      </w:pPr>
      <w:r w:rsidRPr="00EC277E">
        <w:t xml:space="preserve">The purpose of this OAT policy is:  </w:t>
      </w:r>
    </w:p>
    <w:p w14:paraId="2AA3D199" w14:textId="72D96837" w:rsidR="0065459D" w:rsidRPr="00F42382" w:rsidRDefault="0065459D" w:rsidP="00F42382">
      <w:pPr>
        <w:pStyle w:val="OATliststyle"/>
      </w:pPr>
      <w:r w:rsidRPr="00F42382">
        <w:t xml:space="preserve">To ensure that all </w:t>
      </w:r>
      <w:r w:rsidR="00C8484C" w:rsidRPr="00F42382">
        <w:t>investments made by the trust are</w:t>
      </w:r>
      <w:r w:rsidR="003B5D08" w:rsidRPr="00F42382">
        <w:t xml:space="preserve"> in accordance with the trust’s Articles of Association</w:t>
      </w:r>
    </w:p>
    <w:p w14:paraId="4B371295" w14:textId="25930CDA" w:rsidR="00215B65" w:rsidRDefault="0065459D" w:rsidP="00215B65">
      <w:pPr>
        <w:pStyle w:val="NoSpacing"/>
        <w:rPr>
          <w:sz w:val="20"/>
          <w:szCs w:val="20"/>
        </w:rPr>
      </w:pPr>
      <w:r w:rsidRPr="00215B65">
        <w:rPr>
          <w:sz w:val="20"/>
          <w:szCs w:val="20"/>
        </w:rPr>
        <w:t xml:space="preserve">To ensure that the controls around </w:t>
      </w:r>
      <w:r w:rsidR="00C8484C" w:rsidRPr="00215B65">
        <w:rPr>
          <w:sz w:val="20"/>
          <w:szCs w:val="20"/>
        </w:rPr>
        <w:t>making and accounting for investments</w:t>
      </w:r>
      <w:r w:rsidRPr="00215B65">
        <w:rPr>
          <w:sz w:val="20"/>
          <w:szCs w:val="20"/>
        </w:rPr>
        <w:t xml:space="preserve"> are accurate and comply with the financial regulations. </w:t>
      </w:r>
    </w:p>
    <w:p w14:paraId="08AFDA82" w14:textId="77777777" w:rsidR="00F42382" w:rsidRPr="00F42382" w:rsidRDefault="00F42382" w:rsidP="00F42382"/>
    <w:p w14:paraId="68208FC5" w14:textId="61AA7C80" w:rsidR="00215B65" w:rsidRPr="00F42382" w:rsidRDefault="00215B65" w:rsidP="00F42382">
      <w:pPr>
        <w:pStyle w:val="OATbodystyle"/>
        <w:numPr>
          <w:ilvl w:val="1"/>
          <w:numId w:val="12"/>
        </w:numPr>
        <w:tabs>
          <w:tab w:val="clear" w:pos="284"/>
        </w:tabs>
        <w:ind w:left="426" w:hanging="426"/>
      </w:pPr>
      <w:r w:rsidRPr="00F42382">
        <w:t>By complying with this policy, all investment decisions should be exercised with care and skill and consequently be in the best interests of the Academy, commanding broad public support.</w:t>
      </w:r>
    </w:p>
    <w:p w14:paraId="0CA8CB4A" w14:textId="2AB15741" w:rsidR="00425835" w:rsidRDefault="00DA2DF8" w:rsidP="00C8484C">
      <w:pPr>
        <w:pStyle w:val="OATheader"/>
        <w:numPr>
          <w:ilvl w:val="0"/>
          <w:numId w:val="7"/>
        </w:numPr>
        <w:rPr>
          <w:rFonts w:eastAsia="MS Mincho"/>
        </w:rPr>
      </w:pPr>
      <w:bookmarkStart w:id="1" w:name="_Toc139627599"/>
      <w:r>
        <w:rPr>
          <w:rFonts w:eastAsia="MS Mincho"/>
        </w:rPr>
        <w:t>Treasury structure</w:t>
      </w:r>
      <w:bookmarkEnd w:id="1"/>
    </w:p>
    <w:p w14:paraId="4962A149" w14:textId="77777777" w:rsidR="00843B16" w:rsidRPr="00843B16" w:rsidRDefault="00843B16" w:rsidP="00843B16">
      <w:pPr>
        <w:pStyle w:val="ListParagraph"/>
        <w:numPr>
          <w:ilvl w:val="0"/>
          <w:numId w:val="12"/>
        </w:numPr>
        <w:spacing w:after="250" w:line="250" w:lineRule="exact"/>
        <w:contextualSpacing w:val="0"/>
        <w:rPr>
          <w:rFonts w:ascii="Arial" w:eastAsiaTheme="minorEastAsia" w:hAnsi="Arial" w:cstheme="minorBidi"/>
          <w:vanish/>
          <w:sz w:val="20"/>
          <w:szCs w:val="20"/>
        </w:rPr>
      </w:pPr>
    </w:p>
    <w:p w14:paraId="120C6F49" w14:textId="05BD473D" w:rsidR="00DA2DF8" w:rsidRDefault="00D21797" w:rsidP="00843B16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>Cash which is required to meet the short-term needs of the trust</w:t>
      </w:r>
      <w:r w:rsidR="00265DA1">
        <w:t xml:space="preserve"> is held in</w:t>
      </w:r>
      <w:r w:rsidR="00CE1815">
        <w:t xml:space="preserve"> instant access</w:t>
      </w:r>
      <w:r w:rsidR="00265DA1">
        <w:t xml:space="preserve"> accounts with the trust’s bankers.</w:t>
      </w:r>
      <w:r w:rsidR="00494DB3">
        <w:t xml:space="preserve">  Current accounts are held for the following purposes:</w:t>
      </w:r>
    </w:p>
    <w:p w14:paraId="72B377B0" w14:textId="7BE26E2D" w:rsidR="00C40FF2" w:rsidRDefault="00494DB3" w:rsidP="0002615B">
      <w:pPr>
        <w:pStyle w:val="OATbodystyle"/>
        <w:numPr>
          <w:ilvl w:val="2"/>
          <w:numId w:val="7"/>
        </w:numPr>
      </w:pPr>
      <w:r>
        <w:t>Central current accounts</w:t>
      </w:r>
    </w:p>
    <w:p w14:paraId="38A99E2E" w14:textId="3B005BF4" w:rsidR="00C40FF2" w:rsidRDefault="00C40FF2" w:rsidP="002669EB">
      <w:pPr>
        <w:pStyle w:val="OATliststyle"/>
        <w:numPr>
          <w:ilvl w:val="1"/>
          <w:numId w:val="11"/>
        </w:numPr>
      </w:pPr>
      <w:r>
        <w:t>Head Office account</w:t>
      </w:r>
      <w:r w:rsidR="00116A39">
        <w:t xml:space="preserve"> </w:t>
      </w:r>
      <w:r w:rsidR="00D54D23">
        <w:t>–</w:t>
      </w:r>
      <w:r w:rsidR="00116A39">
        <w:t xml:space="preserve"> </w:t>
      </w:r>
      <w:r w:rsidR="00D54D23">
        <w:t xml:space="preserve">used to make purchase ledger </w:t>
      </w:r>
      <w:proofErr w:type="gramStart"/>
      <w:r w:rsidR="00D54D23">
        <w:t>payments</w:t>
      </w:r>
      <w:proofErr w:type="gramEnd"/>
    </w:p>
    <w:p w14:paraId="622D2C77" w14:textId="4D817A20" w:rsidR="00C40FF2" w:rsidRDefault="00116A39" w:rsidP="002669EB">
      <w:pPr>
        <w:pStyle w:val="OATliststyle"/>
        <w:numPr>
          <w:ilvl w:val="1"/>
          <w:numId w:val="11"/>
        </w:numPr>
      </w:pPr>
      <w:r>
        <w:t>Academies Funding account</w:t>
      </w:r>
      <w:r w:rsidR="00D54D23">
        <w:t xml:space="preserve"> – used to receive ESFA funding and to make payroll </w:t>
      </w:r>
      <w:proofErr w:type="gramStart"/>
      <w:r w:rsidR="00D54D23">
        <w:t>payments</w:t>
      </w:r>
      <w:proofErr w:type="gramEnd"/>
    </w:p>
    <w:p w14:paraId="6DD60FA7" w14:textId="3EAD3E5A" w:rsidR="00116A39" w:rsidRDefault="00116A39" w:rsidP="002669EB">
      <w:pPr>
        <w:pStyle w:val="OATliststyle"/>
        <w:numPr>
          <w:ilvl w:val="1"/>
          <w:numId w:val="11"/>
        </w:numPr>
      </w:pPr>
      <w:r>
        <w:t xml:space="preserve">Other accounts – other accounts may be used where required </w:t>
      </w:r>
      <w:proofErr w:type="gramStart"/>
      <w:r>
        <w:t>e.g.</w:t>
      </w:r>
      <w:proofErr w:type="gramEnd"/>
      <w:r>
        <w:t xml:space="preserve"> to hold ringfenced funds separately from other balances</w:t>
      </w:r>
    </w:p>
    <w:p w14:paraId="616AEEB9" w14:textId="3EFBD87B" w:rsidR="0065459D" w:rsidRDefault="00494DB3" w:rsidP="0002615B">
      <w:pPr>
        <w:pStyle w:val="OATbodystyle"/>
        <w:numPr>
          <w:ilvl w:val="2"/>
          <w:numId w:val="7"/>
        </w:numPr>
      </w:pPr>
      <w:r>
        <w:t>Academy current accounts</w:t>
      </w:r>
      <w:r w:rsidR="000202E1">
        <w:br/>
        <w:t>Each academy has a current account which is used to receive local income (</w:t>
      </w:r>
      <w:proofErr w:type="gramStart"/>
      <w:r w:rsidR="000202E1">
        <w:t>e.g.</w:t>
      </w:r>
      <w:proofErr w:type="gramEnd"/>
      <w:r w:rsidR="000202E1">
        <w:t xml:space="preserve"> trips, catering, LA funding) and to make payments to students and parents as required (e.g. bursaries and refunds).</w:t>
      </w:r>
    </w:p>
    <w:p w14:paraId="5EACBE59" w14:textId="38E624F4" w:rsidR="00A56661" w:rsidRDefault="00A56661" w:rsidP="0002615B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 xml:space="preserve">The cash levels held locally by academies will be monitored by the central finance team and excess cash will be swept to centrally held accounts periodically during the year.  </w:t>
      </w:r>
      <w:r w:rsidR="006B12B6">
        <w:t>The central finance team will also monitor cash balances within the central current accounts and make transfers as required.</w:t>
      </w:r>
    </w:p>
    <w:p w14:paraId="07B61D95" w14:textId="3AAA6708" w:rsidR="006B12B6" w:rsidRDefault="00CE1815" w:rsidP="0002615B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 w:rsidRPr="00B659B5">
        <w:t xml:space="preserve">The </w:t>
      </w:r>
      <w:r>
        <w:t>trust may</w:t>
      </w:r>
      <w:r w:rsidR="00FD3EA9">
        <w:t xml:space="preserve"> also </w:t>
      </w:r>
      <w:r w:rsidR="00742E6D">
        <w:t>invest</w:t>
      </w:r>
      <w:r w:rsidR="00D21797">
        <w:t xml:space="preserve"> surplus</w:t>
      </w:r>
      <w:r w:rsidR="00742E6D">
        <w:t xml:space="preserve"> funds</w:t>
      </w:r>
      <w:r w:rsidR="00FD3EA9">
        <w:t xml:space="preserve"> in accordance with the terms of this policy.</w:t>
      </w:r>
    </w:p>
    <w:p w14:paraId="363F6F94" w14:textId="77777777" w:rsidR="006B12B6" w:rsidRDefault="006B12B6">
      <w:pPr>
        <w:rPr>
          <w:rFonts w:ascii="Arial" w:hAnsi="Arial"/>
          <w:sz w:val="20"/>
          <w:szCs w:val="20"/>
          <w:lang w:val="en-US"/>
        </w:rPr>
      </w:pPr>
      <w:r>
        <w:br w:type="page"/>
      </w:r>
    </w:p>
    <w:p w14:paraId="21D49735" w14:textId="6A1EF4A9" w:rsidR="00CB2460" w:rsidRDefault="00CB2460" w:rsidP="00CB2460">
      <w:pPr>
        <w:pStyle w:val="OATheader"/>
        <w:numPr>
          <w:ilvl w:val="0"/>
          <w:numId w:val="7"/>
        </w:numPr>
        <w:rPr>
          <w:rFonts w:eastAsia="MS Mincho"/>
        </w:rPr>
      </w:pPr>
      <w:bookmarkStart w:id="2" w:name="_Toc139627600"/>
      <w:r>
        <w:rPr>
          <w:rFonts w:eastAsia="MS Mincho"/>
        </w:rPr>
        <w:lastRenderedPageBreak/>
        <w:t xml:space="preserve">Investment </w:t>
      </w:r>
      <w:r w:rsidR="00A97C22">
        <w:rPr>
          <w:rFonts w:eastAsia="MS Mincho"/>
        </w:rPr>
        <w:t>objectives</w:t>
      </w:r>
      <w:bookmarkEnd w:id="2"/>
    </w:p>
    <w:p w14:paraId="48BB09C4" w14:textId="77777777" w:rsidR="002A1E81" w:rsidRPr="002A1E81" w:rsidRDefault="002A1E81" w:rsidP="002A1E81">
      <w:pPr>
        <w:pStyle w:val="ListParagraph"/>
        <w:numPr>
          <w:ilvl w:val="0"/>
          <w:numId w:val="12"/>
        </w:numPr>
        <w:spacing w:after="250" w:line="250" w:lineRule="exact"/>
        <w:contextualSpacing w:val="0"/>
        <w:rPr>
          <w:rFonts w:ascii="Arial" w:eastAsiaTheme="minorEastAsia" w:hAnsi="Arial" w:cstheme="minorBidi"/>
          <w:vanish/>
          <w:sz w:val="20"/>
          <w:szCs w:val="20"/>
        </w:rPr>
      </w:pPr>
    </w:p>
    <w:p w14:paraId="73B9869F" w14:textId="7114DEFA" w:rsidR="00CB2460" w:rsidRDefault="00CB2460" w:rsidP="002A1E81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 xml:space="preserve">The </w:t>
      </w:r>
      <w:r w:rsidR="00A97C22">
        <w:t>trust’s investment objectives are:</w:t>
      </w:r>
    </w:p>
    <w:p w14:paraId="1BF7FFFA" w14:textId="633FFB33" w:rsidR="00A97C22" w:rsidRDefault="00A97C22" w:rsidP="00191D8E">
      <w:pPr>
        <w:pStyle w:val="OATbodystyle"/>
        <w:numPr>
          <w:ilvl w:val="2"/>
          <w:numId w:val="7"/>
        </w:numPr>
      </w:pPr>
      <w:r>
        <w:t>To ensure that sufficient cash balances are held in instant access current accounts to meet day-to-day working capital requirements</w:t>
      </w:r>
      <w:r w:rsidR="0083045E">
        <w:t>.</w:t>
      </w:r>
    </w:p>
    <w:p w14:paraId="7C0983B9" w14:textId="053515D0" w:rsidR="00D91411" w:rsidRDefault="00D91411" w:rsidP="00191D8E">
      <w:pPr>
        <w:pStyle w:val="OATbodystyle"/>
        <w:numPr>
          <w:ilvl w:val="2"/>
          <w:numId w:val="7"/>
        </w:numPr>
      </w:pPr>
      <w:r>
        <w:t xml:space="preserve">To invest funds which are surplus to short-term operational needs </w:t>
      </w:r>
      <w:r w:rsidR="0083045E">
        <w:t xml:space="preserve">to </w:t>
      </w:r>
      <w:r w:rsidR="009026BB">
        <w:t>generate an acceptable rate of return without undue risk</w:t>
      </w:r>
      <w:r w:rsidR="00534C70">
        <w:t>, ensuring that the security of funds takes precedence over revenue maximisation.</w:t>
      </w:r>
    </w:p>
    <w:p w14:paraId="7A22BDB4" w14:textId="0121F813" w:rsidR="00CB2460" w:rsidRDefault="0083045E" w:rsidP="00191D8E">
      <w:pPr>
        <w:pStyle w:val="OATbodystyle"/>
        <w:numPr>
          <w:ilvl w:val="2"/>
          <w:numId w:val="7"/>
        </w:numPr>
      </w:pPr>
      <w:r>
        <w:t>To ensure that there is no risk of loss in the capital value of any cash funds invested.</w:t>
      </w:r>
    </w:p>
    <w:p w14:paraId="0F36916D" w14:textId="3C3ABBFA" w:rsidR="00FE2D46" w:rsidRPr="00A04144" w:rsidRDefault="00FE2D46" w:rsidP="00191D8E">
      <w:pPr>
        <w:pStyle w:val="OATbodystyle"/>
        <w:numPr>
          <w:ilvl w:val="2"/>
          <w:numId w:val="7"/>
        </w:numPr>
      </w:pPr>
      <w:r>
        <w:t xml:space="preserve">Where appropriate, to </w:t>
      </w:r>
      <w:r w:rsidR="0085205D">
        <w:t>spread investments between differing institutions to reduce risk.</w:t>
      </w:r>
    </w:p>
    <w:p w14:paraId="0A72979F" w14:textId="77685F73" w:rsidR="00E34F61" w:rsidRDefault="00E34F61" w:rsidP="00E34F61">
      <w:pPr>
        <w:pStyle w:val="OATheader"/>
        <w:numPr>
          <w:ilvl w:val="0"/>
          <w:numId w:val="7"/>
        </w:numPr>
        <w:rPr>
          <w:rFonts w:eastAsia="MS Mincho"/>
        </w:rPr>
      </w:pPr>
      <w:bookmarkStart w:id="3" w:name="_Toc139627601"/>
      <w:r>
        <w:rPr>
          <w:rFonts w:eastAsia="MS Mincho"/>
        </w:rPr>
        <w:t xml:space="preserve">Permitted </w:t>
      </w:r>
      <w:proofErr w:type="gramStart"/>
      <w:r>
        <w:rPr>
          <w:rFonts w:eastAsia="MS Mincho"/>
        </w:rPr>
        <w:t>investments</w:t>
      </w:r>
      <w:bookmarkEnd w:id="3"/>
      <w:proofErr w:type="gramEnd"/>
    </w:p>
    <w:p w14:paraId="731DD9E9" w14:textId="77777777" w:rsidR="00191D8E" w:rsidRPr="00191D8E" w:rsidRDefault="00191D8E" w:rsidP="00191D8E">
      <w:pPr>
        <w:pStyle w:val="ListParagraph"/>
        <w:numPr>
          <w:ilvl w:val="0"/>
          <w:numId w:val="12"/>
        </w:numPr>
        <w:spacing w:after="250" w:line="250" w:lineRule="exact"/>
        <w:contextualSpacing w:val="0"/>
        <w:rPr>
          <w:rFonts w:ascii="Arial" w:eastAsiaTheme="minorEastAsia" w:hAnsi="Arial" w:cstheme="minorBidi"/>
          <w:vanish/>
          <w:sz w:val="20"/>
          <w:szCs w:val="20"/>
        </w:rPr>
      </w:pPr>
    </w:p>
    <w:p w14:paraId="08123FC3" w14:textId="25456AC5" w:rsidR="000B40C2" w:rsidRDefault="009D5806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 xml:space="preserve">This policy permits </w:t>
      </w:r>
      <w:r w:rsidR="000B6F84">
        <w:t xml:space="preserve">surplus </w:t>
      </w:r>
      <w:r>
        <w:t>funds to be invested in treasury and deposit accounts</w:t>
      </w:r>
      <w:r w:rsidR="00957B02">
        <w:t>, denominated in Sterling.</w:t>
      </w:r>
      <w:r w:rsidR="00A704E5">
        <w:t xml:space="preserve">  </w:t>
      </w:r>
    </w:p>
    <w:p w14:paraId="0258A7DF" w14:textId="44022E77" w:rsidR="00C23BF5" w:rsidRPr="00113615" w:rsidRDefault="00C23BF5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 w:rsidRPr="00113615">
        <w:t xml:space="preserve">Funds may be placed on deposit with permitted institutions either directly, or via </w:t>
      </w:r>
      <w:r w:rsidR="00113615">
        <w:t>an investment fund manager which is approved by the trust’s bankers.</w:t>
      </w:r>
    </w:p>
    <w:p w14:paraId="378142EB" w14:textId="36309F36" w:rsidR="0005071F" w:rsidRPr="00B659B5" w:rsidRDefault="00027250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>Prior approval is required from the Education &amp; Skills Funding Agency for investment transactions that are novel or contentious.  Nov</w:t>
      </w:r>
      <w:r w:rsidR="000B40C2">
        <w:t>e</w:t>
      </w:r>
      <w:r>
        <w:t>l transactions</w:t>
      </w:r>
      <w:r w:rsidR="000B40C2">
        <w:t xml:space="preserve"> </w:t>
      </w:r>
      <w:r w:rsidR="000B40C2" w:rsidRPr="000B40C2">
        <w:t xml:space="preserve">are those of which the academy trust has no </w:t>
      </w:r>
      <w:proofErr w:type="gramStart"/>
      <w:r w:rsidR="000B40C2" w:rsidRPr="000B40C2">
        <w:t>experience, or</w:t>
      </w:r>
      <w:proofErr w:type="gramEnd"/>
      <w:r w:rsidR="000B40C2" w:rsidRPr="000B40C2">
        <w:t xml:space="preserve"> are outside the range of normal business activity for the trust.</w:t>
      </w:r>
      <w:r w:rsidR="000B40C2" w:rsidRPr="00191D8E">
        <w:t xml:space="preserve"> </w:t>
      </w:r>
      <w:r w:rsidR="000B40C2" w:rsidRPr="000B40C2">
        <w:t>Contentious transactions are those which might give rise to criticism of the trust by Parliament, the public, and the media.</w:t>
      </w:r>
      <w:r w:rsidR="000B40C2">
        <w:t xml:space="preserve">  The investments which are permitted in accordance with this policy are not considered to be novel or contentious.  Any investments which may </w:t>
      </w:r>
      <w:proofErr w:type="gramStart"/>
      <w:r w:rsidR="000B40C2">
        <w:t>be considered to be</w:t>
      </w:r>
      <w:proofErr w:type="gramEnd"/>
      <w:r w:rsidR="000B40C2">
        <w:t xml:space="preserve"> novel or contentious must not be entered into</w:t>
      </w:r>
      <w:r w:rsidR="00B3271E">
        <w:t>.</w:t>
      </w:r>
    </w:p>
    <w:p w14:paraId="083DC9FD" w14:textId="77777777" w:rsidR="00E34F61" w:rsidRDefault="00E34F61" w:rsidP="00E34F61">
      <w:pPr>
        <w:pStyle w:val="OATheader"/>
        <w:numPr>
          <w:ilvl w:val="0"/>
          <w:numId w:val="7"/>
        </w:numPr>
        <w:rPr>
          <w:rFonts w:eastAsia="MS Mincho"/>
        </w:rPr>
      </w:pPr>
      <w:bookmarkStart w:id="4" w:name="_Toc139627602"/>
      <w:r>
        <w:rPr>
          <w:rFonts w:eastAsia="MS Mincho"/>
        </w:rPr>
        <w:t>Management of investment risk</w:t>
      </w:r>
      <w:bookmarkEnd w:id="4"/>
    </w:p>
    <w:p w14:paraId="4C5DD149" w14:textId="77777777" w:rsidR="00191D8E" w:rsidRPr="00191D8E" w:rsidRDefault="00191D8E" w:rsidP="00191D8E">
      <w:pPr>
        <w:pStyle w:val="ListParagraph"/>
        <w:numPr>
          <w:ilvl w:val="0"/>
          <w:numId w:val="12"/>
        </w:numPr>
        <w:spacing w:after="250" w:line="250" w:lineRule="exact"/>
        <w:contextualSpacing w:val="0"/>
        <w:rPr>
          <w:rFonts w:ascii="Arial" w:eastAsiaTheme="minorEastAsia" w:hAnsi="Arial" w:cstheme="minorBidi"/>
          <w:vanish/>
          <w:sz w:val="20"/>
          <w:szCs w:val="20"/>
        </w:rPr>
      </w:pPr>
    </w:p>
    <w:p w14:paraId="569C2836" w14:textId="487BB1B9" w:rsidR="00BD0231" w:rsidRPr="00113615" w:rsidRDefault="00C059E7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 w:rsidRPr="00BD0231">
        <w:t xml:space="preserve">To manage the risk of default, </w:t>
      </w:r>
      <w:r w:rsidR="00BD0231" w:rsidRPr="00BD0231">
        <w:t>funds may only</w:t>
      </w:r>
      <w:r w:rsidRPr="00BD0231">
        <w:t xml:space="preserve"> </w:t>
      </w:r>
      <w:r w:rsidR="00BD0231" w:rsidRPr="00BD0231">
        <w:t>be placed on deposit only with banking institutions that are regulated by the Financial Conduct</w:t>
      </w:r>
      <w:r w:rsidR="00BD0231" w:rsidRPr="00113615">
        <w:t xml:space="preserve"> </w:t>
      </w:r>
      <w:proofErr w:type="gramStart"/>
      <w:r w:rsidR="00BD0231" w:rsidRPr="00113615">
        <w:t>Authority</w:t>
      </w:r>
      <w:proofErr w:type="gramEnd"/>
      <w:r w:rsidR="00BD0231">
        <w:t xml:space="preserve"> and</w:t>
      </w:r>
      <w:r w:rsidR="00BD0231" w:rsidRPr="00113615">
        <w:t xml:space="preserve"> which have</w:t>
      </w:r>
      <w:r w:rsidR="00BD0231">
        <w:t xml:space="preserve"> a</w:t>
      </w:r>
      <w:r w:rsidR="00BD0231" w:rsidRPr="00113615">
        <w:t xml:space="preserve"> minimum </w:t>
      </w:r>
      <w:r w:rsidR="00BD0231">
        <w:t xml:space="preserve">Standard &amp; Poor’s </w:t>
      </w:r>
      <w:r w:rsidR="00BD0231" w:rsidRPr="00113615">
        <w:t xml:space="preserve">rating of A+ </w:t>
      </w:r>
      <w:r w:rsidR="00BD0231">
        <w:t>w</w:t>
      </w:r>
      <w:r w:rsidR="00BD0231" w:rsidRPr="00113615">
        <w:t xml:space="preserve">ith a </w:t>
      </w:r>
      <w:r w:rsidR="00BD0231">
        <w:t>s</w:t>
      </w:r>
      <w:r w:rsidR="00BD0231" w:rsidRPr="00113615">
        <w:t>table outlook.</w:t>
      </w:r>
    </w:p>
    <w:p w14:paraId="0F2F50D0" w14:textId="690DB392" w:rsidR="00C8484C" w:rsidRDefault="00A40BDD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>Investments which involve capital risk are not permitted.</w:t>
      </w:r>
    </w:p>
    <w:p w14:paraId="17245942" w14:textId="0BAB1BDA" w:rsidR="00197BB7" w:rsidRDefault="00197BB7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 xml:space="preserve">The protection </w:t>
      </w:r>
      <w:r w:rsidR="00501767">
        <w:t xml:space="preserve">against institutional failure which is </w:t>
      </w:r>
      <w:r>
        <w:t xml:space="preserve">provided by the Financial Services Compensation Scheme is limited to £85,000 per banking license, which is significantly lower than deposit account values are anticipated to be.  </w:t>
      </w:r>
      <w:r w:rsidR="00634809">
        <w:t xml:space="preserve">As investments are limited to cash deposit accounts only, with UK institutions with a high credit rating and stable outlook, it is permissible for </w:t>
      </w:r>
      <w:r w:rsidR="00501767">
        <w:t>deposits to be held with a single institution as this does not expose the trust to any additional risk above the historic position of holding cash within current accounts at a single institution.</w:t>
      </w:r>
    </w:p>
    <w:p w14:paraId="4DAEE3F8" w14:textId="77777777" w:rsidR="00197BB7" w:rsidRPr="00C23BF5" w:rsidRDefault="00197BB7" w:rsidP="00197BB7">
      <w:pPr>
        <w:pStyle w:val="OATbodystyle"/>
        <w:spacing w:before="240" w:after="0"/>
        <w:ind w:left="432"/>
        <w:jc w:val="both"/>
      </w:pPr>
    </w:p>
    <w:p w14:paraId="22A330F4" w14:textId="78D0F339" w:rsidR="00C8484C" w:rsidRDefault="00C8484C" w:rsidP="00C8484C">
      <w:pPr>
        <w:pStyle w:val="OATheader"/>
        <w:numPr>
          <w:ilvl w:val="0"/>
          <w:numId w:val="7"/>
        </w:numPr>
        <w:rPr>
          <w:rFonts w:eastAsia="MS Mincho"/>
        </w:rPr>
      </w:pPr>
      <w:r>
        <w:rPr>
          <w:rFonts w:eastAsia="MS Mincho"/>
        </w:rPr>
        <w:lastRenderedPageBreak/>
        <w:t xml:space="preserve"> </w:t>
      </w:r>
      <w:bookmarkStart w:id="5" w:name="_Toc139627603"/>
      <w:r>
        <w:rPr>
          <w:rFonts w:eastAsia="MS Mincho"/>
        </w:rPr>
        <w:t>Availability of funds</w:t>
      </w:r>
      <w:bookmarkEnd w:id="5"/>
    </w:p>
    <w:p w14:paraId="24D0B401" w14:textId="77777777" w:rsidR="00191D8E" w:rsidRPr="00191D8E" w:rsidRDefault="00191D8E" w:rsidP="00191D8E">
      <w:pPr>
        <w:pStyle w:val="ListParagraph"/>
        <w:numPr>
          <w:ilvl w:val="0"/>
          <w:numId w:val="12"/>
        </w:numPr>
        <w:spacing w:after="250" w:line="250" w:lineRule="exact"/>
        <w:contextualSpacing w:val="0"/>
        <w:rPr>
          <w:rFonts w:ascii="Arial" w:eastAsiaTheme="minorEastAsia" w:hAnsi="Arial" w:cstheme="minorBidi"/>
          <w:vanish/>
          <w:sz w:val="20"/>
          <w:szCs w:val="20"/>
        </w:rPr>
      </w:pPr>
    </w:p>
    <w:p w14:paraId="0D0F2773" w14:textId="6512FF15" w:rsidR="00FE2A1A" w:rsidRDefault="00A47D20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>The level of funds which may be placed on deposit will be determined by reference to the trust’s cash flow forecasts</w:t>
      </w:r>
      <w:r w:rsidR="00FE0DDD">
        <w:t xml:space="preserve">.  </w:t>
      </w:r>
    </w:p>
    <w:p w14:paraId="28E6C776" w14:textId="0721E21C" w:rsidR="00FE0DDD" w:rsidRPr="00B659B5" w:rsidRDefault="00FE0DDD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>Sufficient cash must be held within the trust’s current accounts to ensure that the trust’s financial commitments can be met as they fall due</w:t>
      </w:r>
      <w:r w:rsidR="00EF6BDB">
        <w:t>.  As a minimum, instant access funds equivalent to one month of payroll payments and one month of supplier payments must be maintained.</w:t>
      </w:r>
    </w:p>
    <w:p w14:paraId="1B5B6631" w14:textId="0A374CE2" w:rsidR="00C8484C" w:rsidRPr="00E34F61" w:rsidRDefault="00C8484C" w:rsidP="00C8484C">
      <w:pPr>
        <w:pStyle w:val="OATheader"/>
        <w:numPr>
          <w:ilvl w:val="0"/>
          <w:numId w:val="7"/>
        </w:numPr>
        <w:rPr>
          <w:rFonts w:eastAsia="MS Mincho"/>
        </w:rPr>
      </w:pPr>
      <w:r w:rsidRPr="00E34F61">
        <w:rPr>
          <w:rFonts w:eastAsia="MS Mincho"/>
        </w:rPr>
        <w:t xml:space="preserve"> </w:t>
      </w:r>
      <w:bookmarkStart w:id="6" w:name="_Toc139627604"/>
      <w:r w:rsidRPr="00E34F61">
        <w:rPr>
          <w:rFonts w:eastAsia="MS Mincho"/>
        </w:rPr>
        <w:t>Investment decisions</w:t>
      </w:r>
      <w:bookmarkEnd w:id="6"/>
    </w:p>
    <w:p w14:paraId="542F625B" w14:textId="77777777" w:rsidR="00191D8E" w:rsidRPr="00191D8E" w:rsidRDefault="00191D8E" w:rsidP="00191D8E">
      <w:pPr>
        <w:pStyle w:val="ListParagraph"/>
        <w:numPr>
          <w:ilvl w:val="0"/>
          <w:numId w:val="12"/>
        </w:numPr>
        <w:spacing w:after="250" w:line="250" w:lineRule="exact"/>
        <w:contextualSpacing w:val="0"/>
        <w:rPr>
          <w:rFonts w:ascii="Arial" w:eastAsiaTheme="minorEastAsia" w:hAnsi="Arial" w:cstheme="minorBidi"/>
          <w:vanish/>
          <w:sz w:val="20"/>
          <w:szCs w:val="20"/>
        </w:rPr>
      </w:pPr>
    </w:p>
    <w:p w14:paraId="1C6C25B8" w14:textId="0EAE6A44" w:rsidR="00C8484C" w:rsidRDefault="00331047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>The Head of Finance will propose investments and provide supporting cashflow analysis to the National Director of Finance &amp; Strategy</w:t>
      </w:r>
      <w:r w:rsidR="000A3C7F">
        <w:t xml:space="preserve"> (NDFS).</w:t>
      </w:r>
    </w:p>
    <w:p w14:paraId="7800ED5A" w14:textId="6D988118" w:rsidR="0065459D" w:rsidRDefault="000A3C7F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 xml:space="preserve">The NDFS </w:t>
      </w:r>
      <w:r w:rsidR="00F5331E">
        <w:t>may</w:t>
      </w:r>
      <w:r>
        <w:t xml:space="preserve"> approve the placement of funds in deposit accounts in accordance with this policy</w:t>
      </w:r>
      <w:r w:rsidR="00590FA5">
        <w:t>, in accounts which have a maximum term of 12 weeks.</w:t>
      </w:r>
    </w:p>
    <w:p w14:paraId="72F83525" w14:textId="05735FD8" w:rsidR="00C8484C" w:rsidRPr="00C23BF5" w:rsidRDefault="00590FA5" w:rsidP="00191D8E">
      <w:pPr>
        <w:pStyle w:val="OATbodystyle"/>
        <w:numPr>
          <w:ilvl w:val="1"/>
          <w:numId w:val="12"/>
        </w:numPr>
        <w:tabs>
          <w:tab w:val="clear" w:pos="284"/>
        </w:tabs>
        <w:ind w:left="432"/>
      </w:pPr>
      <w:r>
        <w:t>Any proposals to place funds on deposit for a term exceeding 12 weeks require the prior approval of the Finance &amp; Capital Committee.</w:t>
      </w:r>
    </w:p>
    <w:p w14:paraId="401F2C58" w14:textId="01AF52F2" w:rsidR="00C8484C" w:rsidRPr="00DD18F6" w:rsidRDefault="00C8484C" w:rsidP="00DD18F6">
      <w:pPr>
        <w:pStyle w:val="OATheader"/>
        <w:numPr>
          <w:ilvl w:val="0"/>
          <w:numId w:val="7"/>
        </w:numPr>
        <w:rPr>
          <w:rFonts w:eastAsia="MS Mincho"/>
        </w:rPr>
      </w:pPr>
      <w:bookmarkStart w:id="7" w:name="_Toc139627605"/>
      <w:r>
        <w:rPr>
          <w:rFonts w:eastAsia="MS Mincho"/>
        </w:rPr>
        <w:t>Management of investments</w:t>
      </w:r>
      <w:bookmarkEnd w:id="7"/>
    </w:p>
    <w:p w14:paraId="6C2E28A7" w14:textId="75460EF6" w:rsidR="00BE5E65" w:rsidRDefault="001A7872" w:rsidP="003D3354">
      <w:pPr>
        <w:pStyle w:val="OATbodystyle"/>
        <w:numPr>
          <w:ilvl w:val="1"/>
          <w:numId w:val="7"/>
        </w:numPr>
        <w:spacing w:before="240" w:after="0"/>
        <w:ind w:left="432"/>
      </w:pPr>
      <w:r>
        <w:t xml:space="preserve">The Head of Finance will </w:t>
      </w:r>
      <w:r w:rsidR="00EF5D4C">
        <w:t>maintain a cash flow forecast</w:t>
      </w:r>
      <w:r w:rsidR="00C16FE5">
        <w:t xml:space="preserve"> which must cover at least the current and next financial year</w:t>
      </w:r>
      <w:r w:rsidR="00660FAC">
        <w:t>.  The forecast will be based on the latest budgets and forecasts and updated for risks and opportunities. The forecast will be updated each month.</w:t>
      </w:r>
    </w:p>
    <w:p w14:paraId="59AEA1D6" w14:textId="355204FC" w:rsidR="00DD18F6" w:rsidRDefault="00E74567" w:rsidP="003D3354">
      <w:pPr>
        <w:pStyle w:val="OATbodystyle"/>
        <w:numPr>
          <w:ilvl w:val="1"/>
          <w:numId w:val="7"/>
        </w:numPr>
        <w:spacing w:before="240" w:after="0"/>
        <w:ind w:left="432"/>
      </w:pPr>
      <w:r>
        <w:t>Investment decisions will be proposed by the HF for approval by NDF</w:t>
      </w:r>
      <w:r w:rsidR="007B4228">
        <w:t>S</w:t>
      </w:r>
      <w:r>
        <w:t>.  Deposit requests</w:t>
      </w:r>
      <w:r w:rsidR="006B2E2C">
        <w:t xml:space="preserve"> must be</w:t>
      </w:r>
      <w:r>
        <w:t xml:space="preserve"> made in accordance with </w:t>
      </w:r>
      <w:r w:rsidR="006B2E2C">
        <w:t>the bank mandate</w:t>
      </w:r>
      <w:r>
        <w:t>.</w:t>
      </w:r>
    </w:p>
    <w:p w14:paraId="30C7EDD2" w14:textId="1FD64E1C" w:rsidR="005E02E2" w:rsidRDefault="005E02E2" w:rsidP="003D3354">
      <w:pPr>
        <w:pStyle w:val="OATbodystyle"/>
        <w:numPr>
          <w:ilvl w:val="1"/>
          <w:numId w:val="7"/>
        </w:numPr>
        <w:spacing w:before="240" w:after="0"/>
        <w:ind w:left="432"/>
      </w:pPr>
      <w:r>
        <w:t>Investment income will be recorded centrally</w:t>
      </w:r>
      <w:r w:rsidR="00ED154E">
        <w:t xml:space="preserve"> within unrestricted funds.</w:t>
      </w:r>
    </w:p>
    <w:p w14:paraId="702267E2" w14:textId="13CA9122" w:rsidR="00C8484C" w:rsidRPr="00191D8E" w:rsidRDefault="00883934" w:rsidP="0065459D">
      <w:pPr>
        <w:pStyle w:val="OATbodystyle"/>
        <w:numPr>
          <w:ilvl w:val="1"/>
          <w:numId w:val="7"/>
        </w:numPr>
        <w:spacing w:before="240" w:after="0"/>
        <w:ind w:left="432"/>
      </w:pPr>
      <w:r>
        <w:t xml:space="preserve">The use of external treasury advisors is not considered necessary for the investment of surplus cash funds in accordance with this policy.  </w:t>
      </w:r>
    </w:p>
    <w:p w14:paraId="6D7FA45E" w14:textId="0B0EB98D" w:rsidR="00C8484C" w:rsidRDefault="00C8484C" w:rsidP="00C8484C">
      <w:pPr>
        <w:pStyle w:val="OATheader"/>
        <w:numPr>
          <w:ilvl w:val="0"/>
          <w:numId w:val="7"/>
        </w:numPr>
        <w:rPr>
          <w:rFonts w:eastAsia="MS Mincho"/>
        </w:rPr>
      </w:pPr>
      <w:bookmarkStart w:id="8" w:name="_Toc139627606"/>
      <w:r>
        <w:rPr>
          <w:rFonts w:eastAsia="MS Mincho"/>
        </w:rPr>
        <w:t>Reporting requirements</w:t>
      </w:r>
      <w:bookmarkEnd w:id="8"/>
    </w:p>
    <w:p w14:paraId="54D19AFD" w14:textId="0C52613F" w:rsidR="00C8484C" w:rsidRDefault="004E2E07" w:rsidP="00191D8E">
      <w:pPr>
        <w:pStyle w:val="OATbodystyle"/>
        <w:numPr>
          <w:ilvl w:val="1"/>
          <w:numId w:val="7"/>
        </w:numPr>
        <w:spacing w:before="240" w:after="0"/>
        <w:ind w:left="432"/>
      </w:pPr>
      <w:r>
        <w:t xml:space="preserve">The Head of Finance will update the trust’s cash flow forecast each month as part of the monthly reporting process and will provide a copy to the </w:t>
      </w:r>
      <w:r w:rsidR="007B4228">
        <w:t>NDFS</w:t>
      </w:r>
      <w:r>
        <w:t xml:space="preserve"> for review.</w:t>
      </w:r>
      <w:r w:rsidR="00EC1CB7">
        <w:t xml:space="preserve">  </w:t>
      </w:r>
    </w:p>
    <w:p w14:paraId="57DECDBC" w14:textId="30C418C1" w:rsidR="002E061D" w:rsidRDefault="002E061D" w:rsidP="00191D8E">
      <w:pPr>
        <w:pStyle w:val="OATbodystyle"/>
        <w:numPr>
          <w:ilvl w:val="1"/>
          <w:numId w:val="7"/>
        </w:numPr>
        <w:spacing w:before="240" w:after="0"/>
        <w:ind w:left="432"/>
      </w:pPr>
      <w:r>
        <w:t xml:space="preserve">The Head of Finance will maintain an analysis of all deposit funds held and will provide a summary of the amounts held on deposit, applicable interest rates and notice periods to the </w:t>
      </w:r>
      <w:r w:rsidR="007B4228">
        <w:t>NDFS</w:t>
      </w:r>
      <w:r>
        <w:t xml:space="preserve"> each month.</w:t>
      </w:r>
    </w:p>
    <w:p w14:paraId="0798BEF3" w14:textId="050AB54C" w:rsidR="00EC1CB7" w:rsidRDefault="00F21EC6" w:rsidP="00191D8E">
      <w:pPr>
        <w:pStyle w:val="OATbodystyle"/>
        <w:numPr>
          <w:ilvl w:val="1"/>
          <w:numId w:val="7"/>
        </w:numPr>
        <w:spacing w:before="240" w:after="0"/>
        <w:ind w:left="432"/>
      </w:pPr>
      <w:r>
        <w:t>A bridge analysis of forecast and actual cash flows</w:t>
      </w:r>
      <w:r w:rsidR="00B75F4D">
        <w:t xml:space="preserve"> will</w:t>
      </w:r>
      <w:r>
        <w:t xml:space="preserve"> be prepared by the </w:t>
      </w:r>
      <w:r w:rsidR="007B4228">
        <w:t>Head of Finance</w:t>
      </w:r>
      <w:r>
        <w:t xml:space="preserve"> for review by the</w:t>
      </w:r>
      <w:r w:rsidR="007B4228">
        <w:t xml:space="preserve"> NDFS </w:t>
      </w:r>
      <w:r>
        <w:t xml:space="preserve">each month and significant variances </w:t>
      </w:r>
      <w:r w:rsidR="00B75F4D">
        <w:t>must</w:t>
      </w:r>
      <w:r>
        <w:t xml:space="preserve"> be explained.</w:t>
      </w:r>
    </w:p>
    <w:p w14:paraId="4B361038" w14:textId="0339A900" w:rsidR="004E2E07" w:rsidRDefault="004E2E07" w:rsidP="00191D8E">
      <w:pPr>
        <w:pStyle w:val="OATbodystyle"/>
        <w:numPr>
          <w:ilvl w:val="1"/>
          <w:numId w:val="7"/>
        </w:numPr>
        <w:spacing w:before="240" w:after="0"/>
        <w:ind w:left="432"/>
      </w:pPr>
      <w:r>
        <w:lastRenderedPageBreak/>
        <w:t xml:space="preserve">Extracts from the trust’s cash flow forecast will be </w:t>
      </w:r>
      <w:r w:rsidR="00DF1894">
        <w:t>included in</w:t>
      </w:r>
      <w:r w:rsidR="00B75F4D">
        <w:t xml:space="preserve"> monthly reporting packs provided to trustees, together with a review of investment income compared to expectations and a </w:t>
      </w:r>
      <w:r w:rsidR="00ED154E">
        <w:t>comparison of actual and forecast cash balances to enable monitoring of the accuracy of the cash flow forecasting process.</w:t>
      </w:r>
      <w:r w:rsidR="00EC1CB7">
        <w:t xml:space="preserve"> </w:t>
      </w:r>
    </w:p>
    <w:p w14:paraId="19CA4E42" w14:textId="0E647346" w:rsidR="0065459D" w:rsidRDefault="0065459D" w:rsidP="0065459D">
      <w:pPr>
        <w:rPr>
          <w:lang w:val="en-US"/>
        </w:rPr>
      </w:pPr>
    </w:p>
    <w:sectPr w:rsidR="0065459D" w:rsidSect="002F53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6512" w14:textId="77777777" w:rsidR="00A2248E" w:rsidRDefault="00A2248E" w:rsidP="00DE543D">
      <w:r>
        <w:separator/>
      </w:r>
    </w:p>
  </w:endnote>
  <w:endnote w:type="continuationSeparator" w:id="0">
    <w:p w14:paraId="78FEE860" w14:textId="77777777" w:rsidR="00A2248E" w:rsidRDefault="00A2248E" w:rsidP="00DE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C3D8" w14:textId="77777777" w:rsidR="00785D45" w:rsidRDefault="00785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084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727AD" w14:textId="76127402" w:rsidR="00D4303D" w:rsidRPr="0076286B" w:rsidRDefault="006D28C4" w:rsidP="00034B55">
        <w:pPr>
          <w:pStyle w:val="OATbodystyle"/>
          <w:tabs>
            <w:tab w:val="right" w:pos="9072"/>
          </w:tabs>
        </w:pPr>
        <w:r>
          <w:t xml:space="preserve">Treasury and </w:t>
        </w:r>
        <w:r>
          <w:rPr>
            <w:rFonts w:eastAsia="MS Mincho" w:cs="Times New Roman"/>
          </w:rPr>
          <w:t>i</w:t>
        </w:r>
        <w:r w:rsidR="002F5332">
          <w:rPr>
            <w:rFonts w:eastAsia="MS Mincho" w:cs="Times New Roman"/>
          </w:rPr>
          <w:t>nvestment policy</w:t>
        </w:r>
        <w:r w:rsidR="00277A21">
          <w:rPr>
            <w:rFonts w:eastAsia="MS Mincho" w:cs="Times New Roman"/>
          </w:rPr>
          <w:tab/>
        </w:r>
        <w:r w:rsidR="00D4303D" w:rsidRPr="0076286B">
          <w:fldChar w:fldCharType="begin"/>
        </w:r>
        <w:r w:rsidR="00D4303D" w:rsidRPr="0076286B">
          <w:instrText xml:space="preserve"> PAGE   \* MERGEFORMAT </w:instrText>
        </w:r>
        <w:r w:rsidR="00D4303D" w:rsidRPr="0076286B">
          <w:fldChar w:fldCharType="separate"/>
        </w:r>
        <w:r w:rsidR="00D4303D" w:rsidRPr="0076286B">
          <w:rPr>
            <w:noProof/>
          </w:rPr>
          <w:t>2</w:t>
        </w:r>
        <w:r w:rsidR="00D4303D" w:rsidRPr="0076286B">
          <w:rPr>
            <w:noProof/>
          </w:rPr>
          <w:fldChar w:fldCharType="end"/>
        </w:r>
      </w:p>
    </w:sdtContent>
  </w:sdt>
  <w:p w14:paraId="44C9B9B7" w14:textId="77777777" w:rsidR="00C77148" w:rsidRPr="00DF28C7" w:rsidRDefault="00C77148" w:rsidP="00C843FE">
    <w:pPr>
      <w:pStyle w:val="Footer"/>
      <w:tabs>
        <w:tab w:val="right" w:pos="9072"/>
      </w:tabs>
      <w:jc w:val="right"/>
      <w:rPr>
        <w:rFonts w:ascii="Gill Sans MT" w:hAnsi="Gill Sans M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5FE2" w14:textId="134D5E2F" w:rsidR="00785D45" w:rsidRPr="00785D45" w:rsidRDefault="00785D45">
    <w:pPr>
      <w:pStyle w:val="Footer"/>
      <w:rPr>
        <w:rFonts w:ascii="Arial" w:hAnsi="Arial" w:cs="Arial"/>
        <w:sz w:val="20"/>
        <w:szCs w:val="20"/>
      </w:rPr>
    </w:pPr>
    <w:r w:rsidRPr="00785D45">
      <w:rPr>
        <w:rFonts w:ascii="Arial" w:hAnsi="Arial" w:cs="Arial"/>
        <w:sz w:val="20"/>
        <w:szCs w:val="20"/>
      </w:rPr>
      <w:t xml:space="preserve">Treasury and </w:t>
    </w:r>
    <w:r w:rsidRPr="00785D45">
      <w:rPr>
        <w:rFonts w:ascii="Arial" w:eastAsia="MS Mincho" w:hAnsi="Arial" w:cs="Arial"/>
        <w:sz w:val="20"/>
        <w:szCs w:val="20"/>
      </w:rPr>
      <w:t>investment policy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364E" w14:textId="77777777" w:rsidR="00A2248E" w:rsidRDefault="00A2248E" w:rsidP="00DE543D">
      <w:r>
        <w:separator/>
      </w:r>
    </w:p>
  </w:footnote>
  <w:footnote w:type="continuationSeparator" w:id="0">
    <w:p w14:paraId="5F7819F9" w14:textId="77777777" w:rsidR="00A2248E" w:rsidRDefault="00A2248E" w:rsidP="00DE5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07243" w14:textId="77777777" w:rsidR="00785D45" w:rsidRDefault="00785D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B3E3" w14:textId="77777777" w:rsidR="00337969" w:rsidRDefault="00764250" w:rsidP="00475EF7">
    <w:pPr>
      <w:pStyle w:val="OATbodystyle"/>
    </w:pPr>
    <w:r>
      <w:rPr>
        <w:noProof/>
      </w:rPr>
      <w:drawing>
        <wp:anchor distT="0" distB="360045" distL="114300" distR="114300" simplePos="0" relativeHeight="251666432" behindDoc="0" locked="0" layoutInCell="1" allowOverlap="1" wp14:anchorId="1E0DC932" wp14:editId="11EC40AF">
          <wp:simplePos x="0" y="0"/>
          <wp:positionH relativeFrom="column">
            <wp:posOffset>-3959</wp:posOffset>
          </wp:positionH>
          <wp:positionV relativeFrom="page">
            <wp:posOffset>448235</wp:posOffset>
          </wp:positionV>
          <wp:extent cx="1368000" cy="651600"/>
          <wp:effectExtent l="0" t="0" r="3810" b="0"/>
          <wp:wrapTopAndBottom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65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521F" w14:textId="77777777" w:rsidR="00337969" w:rsidRDefault="002661BC" w:rsidP="00475EF7">
    <w:pPr>
      <w:pStyle w:val="OATbodystyle"/>
    </w:pPr>
    <w:r>
      <w:rPr>
        <w:noProof/>
      </w:rPr>
      <w:drawing>
        <wp:anchor distT="0" distB="360045" distL="114300" distR="114300" simplePos="0" relativeHeight="251657216" behindDoc="0" locked="0" layoutInCell="1" allowOverlap="1" wp14:anchorId="2F7A31EC" wp14:editId="7DD9F4FC">
          <wp:simplePos x="0" y="0"/>
          <wp:positionH relativeFrom="column">
            <wp:posOffset>0</wp:posOffset>
          </wp:positionH>
          <wp:positionV relativeFrom="page">
            <wp:posOffset>450215</wp:posOffset>
          </wp:positionV>
          <wp:extent cx="1368000" cy="648000"/>
          <wp:effectExtent l="0" t="0" r="3810" b="0"/>
          <wp:wrapTopAndBottom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y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2FC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C22B9E"/>
    <w:multiLevelType w:val="hybridMultilevel"/>
    <w:tmpl w:val="18BE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65B4"/>
    <w:multiLevelType w:val="multilevel"/>
    <w:tmpl w:val="047088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9C4E3B"/>
    <w:multiLevelType w:val="multilevel"/>
    <w:tmpl w:val="A6661084"/>
    <w:lvl w:ilvl="0">
      <w:start w:val="1"/>
      <w:numFmt w:val="decimal"/>
      <w:lvlText w:val="%1."/>
      <w:lvlJc w:val="left"/>
      <w:pPr>
        <w:ind w:left="1070" w:hanging="360"/>
      </w:pPr>
      <w:rPr>
        <w:color w:val="00B0F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296ED4"/>
    <w:multiLevelType w:val="multilevel"/>
    <w:tmpl w:val="24BE17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B026DB"/>
    <w:multiLevelType w:val="hybridMultilevel"/>
    <w:tmpl w:val="B624012A"/>
    <w:lvl w:ilvl="0" w:tplc="E4A06A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2006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095BAA"/>
    <w:multiLevelType w:val="multilevel"/>
    <w:tmpl w:val="6F8CD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C433E"/>
    <w:multiLevelType w:val="multilevel"/>
    <w:tmpl w:val="D17AB7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33BF51EB"/>
    <w:multiLevelType w:val="hybridMultilevel"/>
    <w:tmpl w:val="B6DA5DFA"/>
    <w:lvl w:ilvl="0" w:tplc="C2C81F68">
      <w:start w:val="1"/>
      <w:numFmt w:val="lowerRoman"/>
      <w:pStyle w:val="Bulleti"/>
      <w:lvlText w:val="%1"/>
      <w:lvlJc w:val="left"/>
      <w:pPr>
        <w:tabs>
          <w:tab w:val="num" w:pos="720"/>
        </w:tabs>
        <w:ind w:left="454" w:hanging="45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806552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DA7A81"/>
    <w:multiLevelType w:val="hybridMultilevel"/>
    <w:tmpl w:val="0C9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1AE0"/>
    <w:multiLevelType w:val="multilevel"/>
    <w:tmpl w:val="553A1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23595D"/>
    <w:multiLevelType w:val="multilevel"/>
    <w:tmpl w:val="6136E31A"/>
    <w:lvl w:ilvl="0">
      <w:start w:val="1"/>
      <w:numFmt w:val="bullet"/>
      <w:pStyle w:val="OATliststyle"/>
      <w:lvlText w:val=""/>
      <w:lvlJc w:val="left"/>
      <w:pPr>
        <w:ind w:left="284" w:hanging="284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044060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9B05D91"/>
    <w:multiLevelType w:val="multilevel"/>
    <w:tmpl w:val="934074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6" w15:restartNumberingAfterBreak="0">
    <w:nsid w:val="72D41255"/>
    <w:multiLevelType w:val="multilevel"/>
    <w:tmpl w:val="B038DD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9E22DD9"/>
    <w:multiLevelType w:val="hybridMultilevel"/>
    <w:tmpl w:val="370C4842"/>
    <w:lvl w:ilvl="0" w:tplc="073285D0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5644">
    <w:abstractNumId w:val="0"/>
  </w:num>
  <w:num w:numId="2" w16cid:durableId="1493714875">
    <w:abstractNumId w:val="16"/>
  </w:num>
  <w:num w:numId="3" w16cid:durableId="1965306706">
    <w:abstractNumId w:val="1"/>
  </w:num>
  <w:num w:numId="4" w16cid:durableId="1009598303">
    <w:abstractNumId w:val="11"/>
  </w:num>
  <w:num w:numId="5" w16cid:durableId="146090555">
    <w:abstractNumId w:val="10"/>
  </w:num>
  <w:num w:numId="6" w16cid:durableId="1839927214">
    <w:abstractNumId w:val="9"/>
  </w:num>
  <w:num w:numId="7" w16cid:durableId="1762410321">
    <w:abstractNumId w:val="12"/>
  </w:num>
  <w:num w:numId="8" w16cid:durableId="1470436930">
    <w:abstractNumId w:val="5"/>
  </w:num>
  <w:num w:numId="9" w16cid:durableId="1029374759">
    <w:abstractNumId w:val="6"/>
  </w:num>
  <w:num w:numId="10" w16cid:durableId="1558009326">
    <w:abstractNumId w:val="14"/>
  </w:num>
  <w:num w:numId="11" w16cid:durableId="446121727">
    <w:abstractNumId w:val="13"/>
  </w:num>
  <w:num w:numId="12" w16cid:durableId="29033803">
    <w:abstractNumId w:val="3"/>
  </w:num>
  <w:num w:numId="13" w16cid:durableId="1308895031">
    <w:abstractNumId w:val="17"/>
  </w:num>
  <w:num w:numId="14" w16cid:durableId="907417026">
    <w:abstractNumId w:val="7"/>
  </w:num>
  <w:num w:numId="15" w16cid:durableId="1312636780">
    <w:abstractNumId w:val="15"/>
  </w:num>
  <w:num w:numId="16" w16cid:durableId="54858594">
    <w:abstractNumId w:val="4"/>
  </w:num>
  <w:num w:numId="17" w16cid:durableId="1143230172">
    <w:abstractNumId w:val="2"/>
  </w:num>
  <w:num w:numId="18" w16cid:durableId="583078130">
    <w:abstractNumId w:val="8"/>
  </w:num>
  <w:num w:numId="19" w16cid:durableId="13868307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0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DC"/>
    <w:rsid w:val="0001426F"/>
    <w:rsid w:val="000202E1"/>
    <w:rsid w:val="0002615B"/>
    <w:rsid w:val="000262F4"/>
    <w:rsid w:val="00027250"/>
    <w:rsid w:val="00032278"/>
    <w:rsid w:val="00034B55"/>
    <w:rsid w:val="00040B0C"/>
    <w:rsid w:val="0005071F"/>
    <w:rsid w:val="000615BA"/>
    <w:rsid w:val="00071872"/>
    <w:rsid w:val="000957D2"/>
    <w:rsid w:val="000A2D81"/>
    <w:rsid w:val="000A3C7F"/>
    <w:rsid w:val="000B31D7"/>
    <w:rsid w:val="000B40C2"/>
    <w:rsid w:val="000B6F84"/>
    <w:rsid w:val="000D6054"/>
    <w:rsid w:val="00113615"/>
    <w:rsid w:val="00116A39"/>
    <w:rsid w:val="00121422"/>
    <w:rsid w:val="001653A2"/>
    <w:rsid w:val="00171C62"/>
    <w:rsid w:val="00191D8E"/>
    <w:rsid w:val="0019618C"/>
    <w:rsid w:val="00197BB7"/>
    <w:rsid w:val="001A7872"/>
    <w:rsid w:val="001B3B2E"/>
    <w:rsid w:val="001B4A54"/>
    <w:rsid w:val="001C5A67"/>
    <w:rsid w:val="001D3E60"/>
    <w:rsid w:val="001E4407"/>
    <w:rsid w:val="001F15D6"/>
    <w:rsid w:val="00214B0B"/>
    <w:rsid w:val="00215B65"/>
    <w:rsid w:val="00221921"/>
    <w:rsid w:val="0024339A"/>
    <w:rsid w:val="00246A28"/>
    <w:rsid w:val="00265DA1"/>
    <w:rsid w:val="002661BC"/>
    <w:rsid w:val="002669EB"/>
    <w:rsid w:val="00273CB9"/>
    <w:rsid w:val="00277A21"/>
    <w:rsid w:val="00285EDC"/>
    <w:rsid w:val="00291DFF"/>
    <w:rsid w:val="002A1E81"/>
    <w:rsid w:val="002B2908"/>
    <w:rsid w:val="002B3C47"/>
    <w:rsid w:val="002B7B8E"/>
    <w:rsid w:val="002D1C60"/>
    <w:rsid w:val="002E061D"/>
    <w:rsid w:val="002E24BB"/>
    <w:rsid w:val="002F5332"/>
    <w:rsid w:val="003170D5"/>
    <w:rsid w:val="00331047"/>
    <w:rsid w:val="00337969"/>
    <w:rsid w:val="003412B8"/>
    <w:rsid w:val="00356607"/>
    <w:rsid w:val="003576DB"/>
    <w:rsid w:val="003645CB"/>
    <w:rsid w:val="00367514"/>
    <w:rsid w:val="00393913"/>
    <w:rsid w:val="003B1CA9"/>
    <w:rsid w:val="003B35C4"/>
    <w:rsid w:val="003B5D08"/>
    <w:rsid w:val="003B66C7"/>
    <w:rsid w:val="003D3354"/>
    <w:rsid w:val="003F3CEE"/>
    <w:rsid w:val="004247B8"/>
    <w:rsid w:val="00425835"/>
    <w:rsid w:val="0043035B"/>
    <w:rsid w:val="00450050"/>
    <w:rsid w:val="00470F21"/>
    <w:rsid w:val="00475EA3"/>
    <w:rsid w:val="00475EF7"/>
    <w:rsid w:val="00494DB3"/>
    <w:rsid w:val="004D0EC5"/>
    <w:rsid w:val="004E2E07"/>
    <w:rsid w:val="004E45B6"/>
    <w:rsid w:val="004E59BE"/>
    <w:rsid w:val="004F3950"/>
    <w:rsid w:val="004F5DE4"/>
    <w:rsid w:val="00501767"/>
    <w:rsid w:val="005044B3"/>
    <w:rsid w:val="005240D2"/>
    <w:rsid w:val="00534C70"/>
    <w:rsid w:val="00552B36"/>
    <w:rsid w:val="00566B99"/>
    <w:rsid w:val="00572F4D"/>
    <w:rsid w:val="00585454"/>
    <w:rsid w:val="00590FA5"/>
    <w:rsid w:val="00592F89"/>
    <w:rsid w:val="005B1FE6"/>
    <w:rsid w:val="005C6BD3"/>
    <w:rsid w:val="005D3308"/>
    <w:rsid w:val="005E02E2"/>
    <w:rsid w:val="00620DC0"/>
    <w:rsid w:val="00632D56"/>
    <w:rsid w:val="00634809"/>
    <w:rsid w:val="00637610"/>
    <w:rsid w:val="00653E89"/>
    <w:rsid w:val="0065459D"/>
    <w:rsid w:val="006577D4"/>
    <w:rsid w:val="00660FAC"/>
    <w:rsid w:val="006667ED"/>
    <w:rsid w:val="006760B3"/>
    <w:rsid w:val="006A31C3"/>
    <w:rsid w:val="006B12B6"/>
    <w:rsid w:val="006B2E2C"/>
    <w:rsid w:val="006B75FD"/>
    <w:rsid w:val="006C203C"/>
    <w:rsid w:val="006C40C6"/>
    <w:rsid w:val="006C4244"/>
    <w:rsid w:val="006D28C4"/>
    <w:rsid w:val="006F10CE"/>
    <w:rsid w:val="00742E6D"/>
    <w:rsid w:val="0076286B"/>
    <w:rsid w:val="00764250"/>
    <w:rsid w:val="007671B8"/>
    <w:rsid w:val="00777693"/>
    <w:rsid w:val="00781C1C"/>
    <w:rsid w:val="00785D45"/>
    <w:rsid w:val="007A0339"/>
    <w:rsid w:val="007B167D"/>
    <w:rsid w:val="007B4228"/>
    <w:rsid w:val="007C4221"/>
    <w:rsid w:val="007F0A69"/>
    <w:rsid w:val="0083045E"/>
    <w:rsid w:val="00843B16"/>
    <w:rsid w:val="008455EA"/>
    <w:rsid w:val="008510BC"/>
    <w:rsid w:val="0085205D"/>
    <w:rsid w:val="00860FCF"/>
    <w:rsid w:val="008625FF"/>
    <w:rsid w:val="008626C9"/>
    <w:rsid w:val="00883934"/>
    <w:rsid w:val="008A249F"/>
    <w:rsid w:val="008A746C"/>
    <w:rsid w:val="008D1069"/>
    <w:rsid w:val="008E1665"/>
    <w:rsid w:val="008E2BD5"/>
    <w:rsid w:val="009026BB"/>
    <w:rsid w:val="0094253D"/>
    <w:rsid w:val="009528BE"/>
    <w:rsid w:val="00957B02"/>
    <w:rsid w:val="00960797"/>
    <w:rsid w:val="00983389"/>
    <w:rsid w:val="00985C39"/>
    <w:rsid w:val="009D0777"/>
    <w:rsid w:val="009D5806"/>
    <w:rsid w:val="009D7399"/>
    <w:rsid w:val="00A04144"/>
    <w:rsid w:val="00A2248E"/>
    <w:rsid w:val="00A40BDD"/>
    <w:rsid w:val="00A47D20"/>
    <w:rsid w:val="00A56661"/>
    <w:rsid w:val="00A704E5"/>
    <w:rsid w:val="00A81E6B"/>
    <w:rsid w:val="00A97C22"/>
    <w:rsid w:val="00AE06BB"/>
    <w:rsid w:val="00B00D1A"/>
    <w:rsid w:val="00B12E93"/>
    <w:rsid w:val="00B261A6"/>
    <w:rsid w:val="00B3271E"/>
    <w:rsid w:val="00B42598"/>
    <w:rsid w:val="00B4533C"/>
    <w:rsid w:val="00B60711"/>
    <w:rsid w:val="00B74B30"/>
    <w:rsid w:val="00B75F4D"/>
    <w:rsid w:val="00BD0231"/>
    <w:rsid w:val="00BE5E65"/>
    <w:rsid w:val="00BF0D92"/>
    <w:rsid w:val="00C059E7"/>
    <w:rsid w:val="00C11C73"/>
    <w:rsid w:val="00C16FE5"/>
    <w:rsid w:val="00C23BF5"/>
    <w:rsid w:val="00C24F1A"/>
    <w:rsid w:val="00C30056"/>
    <w:rsid w:val="00C37F3F"/>
    <w:rsid w:val="00C40FF2"/>
    <w:rsid w:val="00C622FE"/>
    <w:rsid w:val="00C77148"/>
    <w:rsid w:val="00C80D9F"/>
    <w:rsid w:val="00C843FE"/>
    <w:rsid w:val="00C8484C"/>
    <w:rsid w:val="00CB2460"/>
    <w:rsid w:val="00CB371C"/>
    <w:rsid w:val="00CE1815"/>
    <w:rsid w:val="00CE57BF"/>
    <w:rsid w:val="00CE5E9B"/>
    <w:rsid w:val="00D160C0"/>
    <w:rsid w:val="00D21797"/>
    <w:rsid w:val="00D353D6"/>
    <w:rsid w:val="00D3544E"/>
    <w:rsid w:val="00D35ABA"/>
    <w:rsid w:val="00D4303D"/>
    <w:rsid w:val="00D54D23"/>
    <w:rsid w:val="00D62CDD"/>
    <w:rsid w:val="00D64FFB"/>
    <w:rsid w:val="00D7239E"/>
    <w:rsid w:val="00D761BE"/>
    <w:rsid w:val="00D91411"/>
    <w:rsid w:val="00D97E67"/>
    <w:rsid w:val="00DA2DF8"/>
    <w:rsid w:val="00DD18E3"/>
    <w:rsid w:val="00DD18F6"/>
    <w:rsid w:val="00DD2C04"/>
    <w:rsid w:val="00DE543D"/>
    <w:rsid w:val="00DF03F9"/>
    <w:rsid w:val="00DF1894"/>
    <w:rsid w:val="00DF28C7"/>
    <w:rsid w:val="00E0325D"/>
    <w:rsid w:val="00E11F8F"/>
    <w:rsid w:val="00E142A0"/>
    <w:rsid w:val="00E32A55"/>
    <w:rsid w:val="00E34F61"/>
    <w:rsid w:val="00E4591A"/>
    <w:rsid w:val="00E74567"/>
    <w:rsid w:val="00E90485"/>
    <w:rsid w:val="00E91B01"/>
    <w:rsid w:val="00EB430E"/>
    <w:rsid w:val="00EC1CB7"/>
    <w:rsid w:val="00ED154E"/>
    <w:rsid w:val="00EF417B"/>
    <w:rsid w:val="00EF5D4C"/>
    <w:rsid w:val="00EF6BDB"/>
    <w:rsid w:val="00F00F4C"/>
    <w:rsid w:val="00F14213"/>
    <w:rsid w:val="00F15A19"/>
    <w:rsid w:val="00F21EC6"/>
    <w:rsid w:val="00F2632A"/>
    <w:rsid w:val="00F40543"/>
    <w:rsid w:val="00F42382"/>
    <w:rsid w:val="00F43C39"/>
    <w:rsid w:val="00F5331E"/>
    <w:rsid w:val="00F62F96"/>
    <w:rsid w:val="00F76B9A"/>
    <w:rsid w:val="00F84E47"/>
    <w:rsid w:val="00F9091B"/>
    <w:rsid w:val="00FA13BB"/>
    <w:rsid w:val="00FD3EA9"/>
    <w:rsid w:val="00FE0DDD"/>
    <w:rsid w:val="00FE2A1A"/>
    <w:rsid w:val="00FE2D46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D9A22F"/>
  <w14:defaultImageDpi w14:val="300"/>
  <w15:docId w15:val="{FA0D03CC-F274-4545-B3B3-9F7212D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rsid w:val="00121422"/>
    <w:pPr>
      <w:keepNext/>
      <w:spacing w:line="260" w:lineRule="atLeast"/>
      <w:outlineLvl w:val="0"/>
    </w:pPr>
    <w:rPr>
      <w:rFonts w:ascii="Arial Black" w:eastAsia="Times New Roman" w:hAnsi="Arial Black" w:cs="Arial"/>
      <w:bCs/>
      <w:color w:val="4F2D7F"/>
      <w:kern w:val="32"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3D"/>
  </w:style>
  <w:style w:type="paragraph" w:styleId="Footer">
    <w:name w:val="footer"/>
    <w:basedOn w:val="Normal"/>
    <w:link w:val="FooterChar"/>
    <w:uiPriority w:val="99"/>
    <w:unhideWhenUsed/>
    <w:rsid w:val="00DE5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43D"/>
  </w:style>
  <w:style w:type="paragraph" w:styleId="BalloonText">
    <w:name w:val="Balloon Text"/>
    <w:basedOn w:val="Normal"/>
    <w:link w:val="BalloonTextChar"/>
    <w:uiPriority w:val="99"/>
    <w:semiHidden/>
    <w:unhideWhenUsed/>
    <w:rsid w:val="00DE5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3D"/>
    <w:rPr>
      <w:rFonts w:ascii="Lucida Grande" w:hAnsi="Lucida Grande" w:cs="Lucida Grande"/>
      <w:sz w:val="18"/>
      <w:szCs w:val="18"/>
    </w:rPr>
  </w:style>
  <w:style w:type="paragraph" w:customStyle="1" w:styleId="OATbodystyle">
    <w:name w:val="OAT body style"/>
    <w:basedOn w:val="Normal"/>
    <w:qFormat/>
    <w:rsid w:val="00620DC0"/>
    <w:pPr>
      <w:tabs>
        <w:tab w:val="left" w:pos="284"/>
      </w:tabs>
      <w:spacing w:after="250" w:line="250" w:lineRule="exact"/>
    </w:pPr>
    <w:rPr>
      <w:rFonts w:ascii="Arial" w:hAnsi="Arial"/>
      <w:sz w:val="20"/>
      <w:szCs w:val="20"/>
      <w:lang w:val="en-US"/>
    </w:rPr>
  </w:style>
  <w:style w:type="paragraph" w:customStyle="1" w:styleId="OATheader">
    <w:name w:val="OAT header"/>
    <w:basedOn w:val="Heading1"/>
    <w:qFormat/>
    <w:rsid w:val="00592F89"/>
    <w:pPr>
      <w:spacing w:before="480" w:after="120" w:line="400" w:lineRule="exact"/>
    </w:pPr>
    <w:rPr>
      <w:rFonts w:ascii="Arial" w:hAnsi="Arial"/>
      <w:color w:val="00AFF0"/>
      <w:sz w:val="42"/>
      <w:szCs w:val="40"/>
    </w:rPr>
  </w:style>
  <w:style w:type="paragraph" w:customStyle="1" w:styleId="OATliststyle">
    <w:name w:val="OAT list style"/>
    <w:basedOn w:val="OATbodystyle"/>
    <w:qFormat/>
    <w:rsid w:val="00277A21"/>
    <w:pPr>
      <w:numPr>
        <w:numId w:val="11"/>
      </w:numPr>
      <w:spacing w:line="280" w:lineRule="exact"/>
      <w:contextualSpacing/>
    </w:pPr>
  </w:style>
  <w:style w:type="paragraph" w:customStyle="1" w:styleId="OATsubheader1">
    <w:name w:val="OAT sub header 1"/>
    <w:basedOn w:val="Heading2"/>
    <w:qFormat/>
    <w:rsid w:val="00620DC0"/>
    <w:pPr>
      <w:tabs>
        <w:tab w:val="left" w:pos="2800"/>
      </w:tabs>
      <w:spacing w:after="60" w:line="270" w:lineRule="exact"/>
    </w:pPr>
    <w:rPr>
      <w:rFonts w:ascii="Arial" w:hAnsi="Arial" w:cs="Gill Sans"/>
      <w:color w:val="00AFF0"/>
      <w:lang w:val="en-US"/>
    </w:rPr>
  </w:style>
  <w:style w:type="paragraph" w:customStyle="1" w:styleId="OATsubheader2">
    <w:name w:val="OAT sub header 2"/>
    <w:basedOn w:val="Heading3"/>
    <w:qFormat/>
    <w:rsid w:val="00D64FFB"/>
    <w:rPr>
      <w:rFonts w:ascii="Arial" w:hAnsi="Arial"/>
      <w:i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21422"/>
    <w:rPr>
      <w:rFonts w:ascii="Arial Black" w:eastAsia="Times New Roman" w:hAnsi="Arial Black" w:cs="Arial"/>
      <w:bCs/>
      <w:color w:val="4F2D7F"/>
      <w:kern w:val="32"/>
      <w:sz w:val="19"/>
      <w:lang w:val="en-US"/>
    </w:rPr>
  </w:style>
  <w:style w:type="paragraph" w:customStyle="1" w:styleId="Bulleti">
    <w:name w:val="Bullet i"/>
    <w:basedOn w:val="Normal"/>
    <w:link w:val="BulletiChar"/>
    <w:rsid w:val="00121422"/>
    <w:pPr>
      <w:numPr>
        <w:numId w:val="6"/>
      </w:numPr>
      <w:tabs>
        <w:tab w:val="left" w:pos="454"/>
      </w:tabs>
    </w:pPr>
    <w:rPr>
      <w:rFonts w:ascii="Garamond" w:eastAsia="Times New Roman" w:hAnsi="Garamond" w:cs="Times New Roman"/>
      <w:lang w:val="en-US"/>
    </w:rPr>
  </w:style>
  <w:style w:type="paragraph" w:customStyle="1" w:styleId="Bullet2">
    <w:name w:val="Bullet 2"/>
    <w:basedOn w:val="Normal"/>
    <w:link w:val="Bullet2Char"/>
    <w:rsid w:val="00121422"/>
    <w:pPr>
      <w:tabs>
        <w:tab w:val="left" w:pos="680"/>
        <w:tab w:val="num" w:pos="814"/>
      </w:tabs>
      <w:ind w:left="680" w:hanging="226"/>
    </w:pPr>
    <w:rPr>
      <w:rFonts w:ascii="Garamond" w:eastAsia="Times New Roman" w:hAnsi="Garamond" w:cs="Times New Roman"/>
      <w:lang w:val="en-US"/>
    </w:rPr>
  </w:style>
  <w:style w:type="character" w:customStyle="1" w:styleId="BulletiChar">
    <w:name w:val="Bullet i Char"/>
    <w:link w:val="Bulleti"/>
    <w:rsid w:val="00121422"/>
    <w:rPr>
      <w:rFonts w:ascii="Garamond" w:eastAsia="Times New Roman" w:hAnsi="Garamond" w:cs="Times New Roman"/>
      <w:lang w:val="en-US"/>
    </w:rPr>
  </w:style>
  <w:style w:type="character" w:customStyle="1" w:styleId="Bullet2Char">
    <w:name w:val="Bullet 2 Char"/>
    <w:link w:val="Bullet2"/>
    <w:locked/>
    <w:rsid w:val="00121422"/>
    <w:rPr>
      <w:rFonts w:ascii="Garamond" w:eastAsia="Times New Roman" w:hAnsi="Garamond" w:cs="Times New Roman"/>
      <w:lang w:val="en-US"/>
    </w:rPr>
  </w:style>
  <w:style w:type="paragraph" w:styleId="ListParagraph">
    <w:name w:val="List Paragraph"/>
    <w:basedOn w:val="Normal"/>
    <w:uiPriority w:val="34"/>
    <w:rsid w:val="00121422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Titlepgcustom1">
    <w:name w:val="Title pg custom 1"/>
    <w:basedOn w:val="Normal"/>
    <w:qFormat/>
    <w:rsid w:val="00D64FFB"/>
    <w:pPr>
      <w:spacing w:after="60" w:line="270" w:lineRule="exact"/>
    </w:pPr>
    <w:rPr>
      <w:rFonts w:ascii="Arial" w:eastAsia="Calibri" w:hAnsi="Arial"/>
      <w:sz w:val="26"/>
      <w:szCs w:val="26"/>
    </w:rPr>
  </w:style>
  <w:style w:type="table" w:customStyle="1" w:styleId="TableGrid2">
    <w:name w:val="Table Grid2"/>
    <w:basedOn w:val="TableNormal"/>
    <w:next w:val="TableGrid"/>
    <w:uiPriority w:val="59"/>
    <w:rsid w:val="0042583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25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048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77D4"/>
    <w:pPr>
      <w:spacing w:after="10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9048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632A"/>
    <w:pPr>
      <w:spacing w:after="100"/>
      <w:ind w:left="240"/>
    </w:pPr>
    <w:rPr>
      <w:rFonts w:ascii="Arial" w:hAnsi="Arial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6577D4"/>
    <w:pPr>
      <w:spacing w:after="100" w:line="259" w:lineRule="auto"/>
      <w:ind w:left="440"/>
    </w:pPr>
    <w:rPr>
      <w:rFonts w:ascii="Arial" w:hAnsi="Arial" w:cs="Times New Roman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aliases w:val="OAT bullets"/>
    <w:next w:val="Normal"/>
    <w:uiPriority w:val="1"/>
    <w:qFormat/>
    <w:rsid w:val="0065459D"/>
    <w:pPr>
      <w:numPr>
        <w:numId w:val="13"/>
      </w:numPr>
      <w:ind w:left="357" w:hanging="357"/>
    </w:pPr>
    <w:rPr>
      <w:rFonts w:ascii="Arial" w:eastAsiaTheme="minorHAnsi" w:hAnsi="Arial"/>
      <w:sz w:val="18"/>
      <w:szCs w:val="22"/>
    </w:rPr>
  </w:style>
  <w:style w:type="paragraph" w:customStyle="1" w:styleId="Default">
    <w:name w:val="Default"/>
    <w:rsid w:val="000B40C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Sheedy\OneDrive%20-%20Ormiston%20Academies%20Trust\Documents\Policies\OAT%202020%20Policy%20revis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c471172-6ec0-410f-9f6e-10acaa34c523" xsi:nil="true"/>
    <InitiateFlow xmlns="dc471172-6ec0-410f-9f6e-10acaa34c523" xsi:nil="true"/>
    <Department xmlns="dc471172-6ec0-410f-9f6e-10acaa34c523">Finance</Department>
    <Lead xmlns="dc471172-6ec0-410f-9f6e-10acaa34c523">Finance</Lead>
    <Template xmlns="dc471172-6ec0-410f-9f6e-10acaa34c523">Yes</Template>
    <Links xmlns="dc471172-6ec0-410f-9f6e-10acaa34c523">
      <Url xsi:nil="true"/>
      <Description xsi:nil="true"/>
    </Links>
    <Status xmlns="dc471172-6ec0-410f-9f6e-10acaa34c523">Live</Status>
    <FlowComplete xmlns="dc471172-6ec0-410f-9f6e-10acaa34c523" xsi:nil="true"/>
    <Frequency xmlns="dc471172-6ec0-410f-9f6e-10acaa34c523" xsi:nil="true"/>
    <Category xmlns="dc471172-6ec0-410f-9f6e-10acaa34c523">Mandatory</Category>
    <Requirement xmlns="dc471172-6ec0-410f-9f6e-10acaa34c523">Mandatory OAT Policy</Requirement>
    <Method xmlns="dc471172-6ec0-410f-9f6e-10acaa34c523">​Governing Body to note</Method>
    <Document xmlns="dc471172-6ec0-410f-9f6e-10acaa34c523">Treasury and Investment</Document>
    <Website xmlns="dc471172-6ec0-410f-9f6e-10acaa34c523">No</Websi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DDD8072CA0D459CBA80CAE4AD9C46" ma:contentTypeVersion="26" ma:contentTypeDescription="Create a new document." ma:contentTypeScope="" ma:versionID="49d988d611030ae634dd4f82af1c1c35">
  <xsd:schema xmlns:xsd="http://www.w3.org/2001/XMLSchema" xmlns:xs="http://www.w3.org/2001/XMLSchema" xmlns:p="http://schemas.microsoft.com/office/2006/metadata/properties" xmlns:ns2="dc471172-6ec0-410f-9f6e-10acaa34c523" xmlns:ns3="c58a8f15-8d43-4634-ab14-72b7dfb92f46" targetNamespace="http://schemas.microsoft.com/office/2006/metadata/properties" ma:root="true" ma:fieldsID="97f0a7038f5ab9522a354d0528f99c3a" ns2:_="" ns3:_="">
    <xsd:import namespace="dc471172-6ec0-410f-9f6e-10acaa34c523"/>
    <xsd:import namespace="c58a8f15-8d43-4634-ab14-72b7dfb92f46"/>
    <xsd:element name="properties">
      <xsd:complexType>
        <xsd:sequence>
          <xsd:element name="documentManagement">
            <xsd:complexType>
              <xsd:all>
                <xsd:element ref="ns2:Document" minOccurs="0"/>
                <xsd:element ref="ns2:Department" minOccurs="0"/>
                <xsd:element ref="ns2:Category" minOccurs="0"/>
                <xsd:element ref="ns2:Requirement" minOccurs="0"/>
                <xsd:element ref="ns2:Status" minOccurs="0"/>
                <xsd:element ref="ns2:Lead" minOccurs="0"/>
                <xsd:element ref="ns2:Template" minOccurs="0"/>
                <xsd:element ref="ns2:Website" minOccurs="0"/>
                <xsd:element ref="ns2:Frequency" minOccurs="0"/>
                <xsd:element ref="ns2:Method" minOccurs="0"/>
                <xsd:element ref="ns2:Description0" minOccurs="0"/>
                <xsd:element ref="ns2:Links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Metadata" minOccurs="0"/>
                <xsd:element ref="ns3:SharedWithUsers" minOccurs="0"/>
                <xsd:element ref="ns3:SharedWithDetails" minOccurs="0"/>
                <xsd:element ref="ns2:InitiateFlow" minOccurs="0"/>
                <xsd:element ref="ns2:FlowComple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71172-6ec0-410f-9f6e-10acaa34c523" elementFormDefault="qualified">
    <xsd:import namespace="http://schemas.microsoft.com/office/2006/documentManagement/types"/>
    <xsd:import namespace="http://schemas.microsoft.com/office/infopath/2007/PartnerControls"/>
    <xsd:element name="Document" ma:index="2" nillable="true" ma:displayName="Document Name" ma:internalName="Document" ma:readOnly="false">
      <xsd:simpleType>
        <xsd:restriction base="dms:Text">
          <xsd:maxLength value="255"/>
        </xsd:restriction>
      </xsd:simpleType>
    </xsd:element>
    <xsd:element name="Department" ma:index="3" nillable="true" ma:displayName="Department" ma:format="Dropdown" ma:internalName="Department">
      <xsd:simpleType>
        <xsd:restriction base="dms:Choice">
          <xsd:enumeration value="Archive"/>
          <xsd:enumeration value="Estates"/>
          <xsd:enumeration value="Finance"/>
          <xsd:enumeration value="GDPR"/>
          <xsd:enumeration value="Governance"/>
          <xsd:enumeration value="Health &amp; Safety"/>
          <xsd:enumeration value="Human Resources"/>
          <xsd:enumeration value="Marketing"/>
          <xsd:enumeration value="Safeguarding"/>
          <xsd:enumeration value="Teaching &amp; Learning"/>
          <xsd:enumeration value="School Improvement"/>
          <xsd:enumeration value="ICT"/>
        </xsd:restriction>
      </xsd:simpleType>
    </xsd:element>
    <xsd:element name="Category" ma:index="4" nillable="true" ma:displayName="Category" ma:format="Dropdown" ma:internalName="Category" ma:readOnly="false">
      <xsd:simpleType>
        <xsd:restriction base="dms:Choice">
          <xsd:enumeration value="Statutory Requirement"/>
          <xsd:enumeration value="Mandatory"/>
          <xsd:enumeration value="OAT Recommended"/>
        </xsd:restriction>
      </xsd:simpleType>
    </xsd:element>
    <xsd:element name="Requirement" ma:index="5" nillable="true" ma:displayName="Requirement" ma:format="Dropdown" ma:internalName="Requirement">
      <xsd:simpleType>
        <xsd:restriction base="dms:Choice">
          <xsd:enumeration value="Mandatory OAT Policy"/>
          <xsd:enumeration value="OAT Template Recommended"/>
          <xsd:enumeration value="Trust Document"/>
          <xsd:enumeration value="Academies To Produce Their Own"/>
        </xsd:restriction>
      </xsd:simpleType>
    </xsd:element>
    <xsd:element name="Status" ma:index="6" nillable="true" ma:displayName="Status" ma:format="Dropdown" ma:internalName="Status">
      <xsd:simpleType>
        <xsd:restriction base="dms:Choice">
          <xsd:enumeration value="Live"/>
          <xsd:enumeration value="Archive"/>
        </xsd:restriction>
      </xsd:simpleType>
    </xsd:element>
    <xsd:element name="Lead" ma:index="7" nillable="true" ma:displayName="OAT Department Lead" ma:format="Dropdown" ma:internalName="Lead" ma:readOnly="false">
      <xsd:simpleType>
        <xsd:restriction base="dms:Choice">
          <xsd:enumeration value="Academies to produce own"/>
          <xsd:enumeration value="DPO"/>
          <xsd:enumeration value="Estates"/>
          <xsd:enumeration value="Finance"/>
          <xsd:enumeration value="Governance"/>
          <xsd:enumeration value="Governance / HR"/>
          <xsd:enumeration value="Head Office"/>
          <xsd:enumeration value="HR"/>
          <xsd:enumeration value="ICT"/>
          <xsd:enumeration value="Marketing"/>
          <xsd:enumeration value="Safeguarding"/>
          <xsd:enumeration value="School Improvement"/>
        </xsd:restriction>
      </xsd:simpleType>
    </xsd:element>
    <xsd:element name="Template" ma:index="8" nillable="true" ma:displayName="Template Available" ma:format="Dropdown" ma:internalName="Template" ma:readOnly="false">
      <xsd:simpleType>
        <xsd:restriction base="dms:Choice">
          <xsd:enumeration value="Yes"/>
          <xsd:enumeration value="​Yes - Within OAT Financial Regulations Manual"/>
          <xsd:enumeration value="No"/>
          <xsd:enumeration value="In development"/>
        </xsd:restriction>
      </xsd:simpleType>
    </xsd:element>
    <xsd:element name="Website" ma:index="9" nillable="true" ma:displayName="Required On Academy Website" ma:format="Dropdown" ma:internalName="Website">
      <xsd:simpleType>
        <xsd:restriction base="dms:Choice">
          <xsd:enumeration value="Yes"/>
          <xsd:enumeration value="​Yes - DfE Requirement"/>
          <xsd:enumeration value="​Yes - OAT Desirable Requirement"/>
          <xsd:enumeration value="Yes - OAT Essential Requirement"/>
          <xsd:enumeration value="No"/>
        </xsd:restriction>
      </xsd:simpleType>
    </xsd:element>
    <xsd:element name="Frequency" ma:index="10" nillable="true" ma:displayName="Review Frequency" ma:format="Dropdown" ma:internalName="Frequency" ma:readOnly="false">
      <xsd:simpleType>
        <xsd:restriction base="dms:Choice">
          <xsd:enumeration value="6 months"/>
          <xsd:enumeration value="Annual"/>
          <xsd:enumeration value="2 years"/>
          <xsd:enumeration value="3 years"/>
          <xsd:enumeration value="- - - - - -"/>
        </xsd:restriction>
      </xsd:simpleType>
    </xsd:element>
    <xsd:element name="Method" ma:index="11" nillable="true" ma:displayName="Academy Approval Method" ma:format="Dropdown" ma:internalName="Method">
      <xsd:simpleType>
        <xsd:restriction base="dms:Choice">
          <xsd:enumeration value="​Academy must adopt (legal requirement)​"/>
          <xsd:enumeration value="Governing body free to delegate review​"/>
          <xsd:enumeration value="​Governing Body to note"/>
          <xsd:enumeration value="Governing body to approve"/>
          <xsd:enumeration value="N/A"/>
        </xsd:restriction>
      </xsd:simpleType>
    </xsd:element>
    <xsd:element name="Description0" ma:index="12" nillable="true" ma:displayName="Description0" ma:internalName="Description0" ma:readOnly="false">
      <xsd:simpleType>
        <xsd:restriction base="dms:Text">
          <xsd:maxLength value="255"/>
        </xsd:restriction>
      </xsd:simpleType>
    </xsd:element>
    <xsd:element name="Links" ma:index="13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InitiateFlow" ma:index="27" nillable="true" ma:displayName="Initiate Flow" ma:format="Dropdown" ma:hidden="true" ma:internalName="InitiateFlow" ma:readOnly="false">
      <xsd:simpleType>
        <xsd:restriction base="dms:Choice">
          <xsd:enumeration value="No"/>
          <xsd:enumeration value="Yes"/>
        </xsd:restriction>
      </xsd:simpleType>
    </xsd:element>
    <xsd:element name="FlowComplete" ma:index="28" nillable="true" ma:displayName="Flow Complete" ma:format="Dropdown" ma:hidden="true" ma:internalName="FlowComplete" ma:readOnly="false">
      <xsd:simpleType>
        <xsd:restriction base="dms:Text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a8f15-8d43-4634-ab14-72b7dfb92f46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CDB17-12F8-4D5C-96EE-1559713C22A8}">
  <ds:schemaRefs>
    <ds:schemaRef ds:uri="http://schemas.microsoft.com/office/2006/metadata/properties"/>
    <ds:schemaRef ds:uri="http://schemas.microsoft.com/office/infopath/2007/PartnerControls"/>
    <ds:schemaRef ds:uri="4d8f2c4e-9ca8-43f7-a270-4bdbeba4cb1c"/>
    <ds:schemaRef ds:uri="efe7914c-b35c-4c7b-b363-264b7be7e320"/>
  </ds:schemaRefs>
</ds:datastoreItem>
</file>

<file path=customXml/itemProps2.xml><?xml version="1.0" encoding="utf-8"?>
<ds:datastoreItem xmlns:ds="http://schemas.openxmlformats.org/officeDocument/2006/customXml" ds:itemID="{4EA4CD08-25CF-457B-A4DB-0EC668B363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5FCDFD-C4BB-44E4-9F13-B44BE216C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C2B213-5699-441E-B046-B8785E044A1C}"/>
</file>

<file path=docProps/app.xml><?xml version="1.0" encoding="utf-8"?>
<Properties xmlns="http://schemas.openxmlformats.org/officeDocument/2006/extended-properties" xmlns:vt="http://schemas.openxmlformats.org/officeDocument/2006/docPropsVTypes">
  <Template>OAT 2020 Policy revised template</Template>
  <TotalTime>267</TotalTime>
  <Pages>6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Academies Trust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Sheedy</dc:creator>
  <cp:keywords/>
  <dc:description/>
  <cp:lastModifiedBy>Emma Sheedy</cp:lastModifiedBy>
  <cp:revision>144</cp:revision>
  <cp:lastPrinted>2015-12-01T15:17:00Z</cp:lastPrinted>
  <dcterms:created xsi:type="dcterms:W3CDTF">2023-03-15T12:12:00Z</dcterms:created>
  <dcterms:modified xsi:type="dcterms:W3CDTF">2023-07-07T12:07:00Z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0x010100FF8DDD8072CA0D459CBA80CAE4AD9C46</vt:lpwstr>
  </property>
  <property fmtid="{D5CDD505-2E9C-101B-9397-08002B2CF9AE}" pid="3" name="Order">
    <vt:r8>8000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