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  <w:sz w:val="48"/>
        </w:rPr>
        <w:t>Project Proposal: FraudLens Gateway</w:t>
      </w:r>
    </w:p>
    <w:p>
      <w:r>
        <w:rPr>
          <w:i/>
          <w:sz w:val="24"/>
        </w:rPr>
        <w:t>A Hybrid Real-time Machine Learning and Rule-Based Fraud Detection Gateway with Explainable AI</w:t>
      </w:r>
    </w:p>
    <w:p>
      <w:r>
        <w:t/>
      </w:r>
    </w:p>
    <w:p>
      <w:r>
        <w:rPr>
          <w:b/>
          <w:sz w:val="28"/>
        </w:rPr>
        <w:t>1. Executive Summary</w:t>
      </w:r>
    </w:p>
    <w:p>
      <w:r>
        <w:t>FraudLens Gateway provides a low-latency, modular transaction protection architecture designed to intercept fraudulent transactions, provide real-time SHAP-based explainability, and maintain an audit log for financial compliance.</w:t>
      </w:r>
    </w:p>
    <w:p>
      <w:r>
        <w:rPr>
          <w:b/>
          <w:sz w:val="28"/>
        </w:rPr>
        <w:t>2. Key Objectives</w:t>
      </w:r>
    </w:p>
    <w:p>
      <w:r>
        <w:t>- Hybrid Decisioning: Sub-100ms rule evaluation combined with XGBoost inference.</w:t>
      </w:r>
    </w:p>
    <w:p>
      <w:r>
        <w:t>- Explainability (XAI): On-the-fly local SHAP attributions explaining model decisions.</w:t>
      </w:r>
    </w:p>
    <w:p>
      <w:r>
        <w:t>- Stability Verification: Quantifying SHAP explanation robustness across top-k feature rankings.</w:t>
      </w:r>
    </w:p>
    <w:p>
      <w:r>
        <w:t>- Analyst Portal: Interactive React dashboard for operations and dispute resolution.</w:t>
      </w:r>
    </w:p>
  </w:body>
</w:document>
</file>

<file path=word/_rels/document.xml.rels><?xml version="1.0" encoding="UTF-8" standalone="yes"?>
<Relationships xmlns="http://schemas.openxmlformats.org/package/2006/relationships"/>
</file>