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2026-09-08 13:52</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08 de septiembre de 2026</w:t>
      </w:r>
    </w:p>
    <w:p>
      <w:r>
        <w:rPr>
          <w:rFonts w:ascii="Arial" w:hAnsi="Arial"/>
          <w:b/>
          <w:color w:val="1F4E79"/>
          <w:sz w:val="24"/>
        </w:rPr>
        <w:t>SÍNTESIS GENERAL</w:t>
      </w:r>
    </w:p>
    <w:p>
      <w:r>
        <w:rPr>
          <w:rFonts w:ascii="Arial" w:hAnsi="Arial"/>
          <w:sz w:val="19"/>
        </w:rPr>
        <w:t>Al corte de las 13:52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Samaria +0.12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12.50 m, con variación de 24 h -0.05 m. En la cuenca alta de Guatemala, El Tigre reporta 5.54 m y 917.3 m³/s; El Porvenir/La Pasión 1.92 m y 197.3 m³/s. La secuencia de vigilancia se mantiene Guatemala → Lacantún → Boca del Cerro/Tenosique → Balancán → Emiliano Zapata → Jonuta → Centla. Pronóstico SMN para Usumacinta: 0-24 h: 25 a 50 mm; 24-48 h: 25 a 50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5.54 m; 917.3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7.2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12.50 m; Δ24 h -0.05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33.93 m, Tapijulapa 15.78 m, Teapa 33.69 m y Puyacatengo 25.02 m. Deben vigilarse primero lluvia horaria y estaciones aguas arriba antes de esperar una respuesta en el Grijalva de Villahermosa. Pronóstico SMN Bajo Grijalva–Ríos de la Sierra: 0-24 h: 50 a 75 mm; 24-48 h: 50 a 75 mm; 48-72 h: 25 a 50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2.16 m; Macuspana 1.13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517.13</w:t>
            </w:r>
          </w:p>
        </w:tc>
        <w:tc>
          <w:tcPr>
            <w:tcW w:type="dxa" w:w="1752"/>
          </w:tcPr>
          <w:p>
            <w:r>
              <w:rPr>
                <w:rFonts w:ascii="Arial" w:hAnsi="Arial"/>
                <w:b w:val="0"/>
                <w:sz w:val="16"/>
              </w:rPr>
              <w:t>48.78</w:t>
            </w:r>
          </w:p>
        </w:tc>
        <w:tc>
          <w:tcPr>
            <w:tcW w:type="dxa" w:w="1752"/>
          </w:tcPr>
          <w:p>
            <w:r>
              <w:rPr>
                <w:rFonts w:ascii="Arial" w:hAnsi="Arial"/>
                <w:b w:val="0"/>
                <w:sz w:val="16"/>
              </w:rPr>
              <w:t>266.07</w:t>
            </w:r>
          </w:p>
        </w:tc>
        <w:tc>
          <w:tcPr>
            <w:tcW w:type="dxa" w:w="1752"/>
          </w:tcPr>
          <w:p>
            <w:r>
              <w:rPr>
                <w:rFonts w:ascii="Arial" w:hAnsi="Arial"/>
                <w:b w:val="0"/>
                <w:sz w:val="16"/>
              </w:rPr>
              <w:t>0.0</w:t>
            </w:r>
          </w:p>
        </w:tc>
        <w:tc>
          <w:tcPr>
            <w:tcW w:type="dxa" w:w="1752"/>
          </w:tcPr>
          <w:p>
            <w:r>
              <w:rPr>
                <w:rFonts w:ascii="Arial" w:hAnsi="Arial"/>
                <w:b w:val="0"/>
                <w:sz w:val="16"/>
              </w:rPr>
              <w:t>-0.05</w:t>
            </w:r>
          </w:p>
        </w:tc>
      </w:tr>
      <w:tr>
        <w:tc>
          <w:tcPr>
            <w:tcW w:type="dxa" w:w="1752"/>
          </w:tcPr>
          <w:p>
            <w:r>
              <w:rPr>
                <w:rFonts w:ascii="Arial" w:hAnsi="Arial"/>
                <w:b w:val="0"/>
                <w:sz w:val="16"/>
              </w:rPr>
              <w:t>Chicoasén</w:t>
            </w:r>
          </w:p>
        </w:tc>
        <w:tc>
          <w:tcPr>
            <w:tcW w:type="dxa" w:w="1752"/>
          </w:tcPr>
          <w:p>
            <w:r>
              <w:rPr>
                <w:rFonts w:ascii="Arial" w:hAnsi="Arial"/>
                <w:b w:val="0"/>
                <w:sz w:val="16"/>
              </w:rPr>
              <w:t>391.36</w:t>
            </w:r>
          </w:p>
        </w:tc>
        <w:tc>
          <w:tcPr>
            <w:tcW w:type="dxa" w:w="1752"/>
          </w:tcPr>
          <w:p>
            <w:r>
              <w:rPr>
                <w:rFonts w:ascii="Arial" w:hAnsi="Arial"/>
                <w:b w:val="0"/>
                <w:sz w:val="16"/>
              </w:rPr>
              <w:t>97.95</w:t>
            </w:r>
          </w:p>
        </w:tc>
        <w:tc>
          <w:tcPr>
            <w:tcW w:type="dxa" w:w="1752"/>
          </w:tcPr>
          <w:p>
            <w:r>
              <w:rPr>
                <w:rFonts w:ascii="Arial" w:hAnsi="Arial"/>
                <w:b w:val="0"/>
                <w:sz w:val="16"/>
              </w:rPr>
              <w:t>220.50</w:t>
            </w:r>
          </w:p>
        </w:tc>
        <w:tc>
          <w:tcPr>
            <w:tcW w:type="dxa" w:w="1752"/>
          </w:tcPr>
          <w:p>
            <w:r>
              <w:rPr>
                <w:rFonts w:ascii="Arial" w:hAnsi="Arial"/>
                <w:b w:val="0"/>
                <w:sz w:val="16"/>
              </w:rPr>
              <w:t>0.0</w:t>
            </w:r>
          </w:p>
        </w:tc>
        <w:tc>
          <w:tcPr>
            <w:tcW w:type="dxa" w:w="1752"/>
          </w:tcPr>
          <w:p>
            <w:r>
              <w:rPr>
                <w:rFonts w:ascii="Arial" w:hAnsi="Arial"/>
                <w:b w:val="0"/>
                <w:sz w:val="16"/>
              </w:rPr>
              <w:t>-0.08</w:t>
            </w:r>
          </w:p>
        </w:tc>
      </w:tr>
      <w:tr>
        <w:tc>
          <w:tcPr>
            <w:tcW w:type="dxa" w:w="1752"/>
          </w:tcPr>
          <w:p>
            <w:r>
              <w:rPr>
                <w:rFonts w:ascii="Arial" w:hAnsi="Arial"/>
                <w:b w:val="0"/>
                <w:sz w:val="16"/>
              </w:rPr>
              <w:t>Malpaso</w:t>
            </w:r>
          </w:p>
        </w:tc>
        <w:tc>
          <w:tcPr>
            <w:tcW w:type="dxa" w:w="1752"/>
          </w:tcPr>
          <w:p>
            <w:r>
              <w:rPr>
                <w:rFonts w:ascii="Arial" w:hAnsi="Arial"/>
                <w:b w:val="0"/>
                <w:sz w:val="16"/>
              </w:rPr>
              <w:t>163.22</w:t>
            </w:r>
          </w:p>
        </w:tc>
        <w:tc>
          <w:tcPr>
            <w:tcW w:type="dxa" w:w="1752"/>
          </w:tcPr>
          <w:p>
            <w:r>
              <w:rPr>
                <w:rFonts w:ascii="Arial" w:hAnsi="Arial"/>
                <w:b w:val="0"/>
                <w:sz w:val="16"/>
              </w:rPr>
              <w:t>57.66</w:t>
            </w:r>
          </w:p>
        </w:tc>
        <w:tc>
          <w:tcPr>
            <w:tcW w:type="dxa" w:w="1752"/>
          </w:tcPr>
          <w:p>
            <w:r>
              <w:rPr>
                <w:rFonts w:ascii="Arial" w:hAnsi="Arial"/>
                <w:b w:val="0"/>
                <w:sz w:val="16"/>
              </w:rPr>
              <w:t>484.63</w:t>
            </w:r>
          </w:p>
        </w:tc>
        <w:tc>
          <w:tcPr>
            <w:tcW w:type="dxa" w:w="1752"/>
          </w:tcPr>
          <w:p>
            <w:r>
              <w:rPr>
                <w:rFonts w:ascii="Arial" w:hAnsi="Arial"/>
                <w:b w:val="0"/>
                <w:sz w:val="16"/>
              </w:rPr>
              <w:t>0.0</w:t>
            </w:r>
          </w:p>
        </w:tc>
        <w:tc>
          <w:tcPr>
            <w:tcW w:type="dxa" w:w="1752"/>
          </w:tcPr>
          <w:p>
            <w:r>
              <w:rPr>
                <w:rFonts w:ascii="Arial" w:hAnsi="Arial"/>
                <w:b w:val="0"/>
                <w:sz w:val="16"/>
              </w:rPr>
              <w:t>-0.07</w:t>
            </w:r>
          </w:p>
        </w:tc>
      </w:tr>
      <w:tr>
        <w:tc>
          <w:tcPr>
            <w:tcW w:type="dxa" w:w="1752"/>
          </w:tcPr>
          <w:p>
            <w:r>
              <w:rPr>
                <w:rFonts w:ascii="Arial" w:hAnsi="Arial"/>
                <w:b w:val="0"/>
                <w:sz w:val="16"/>
              </w:rPr>
              <w:t>Peñitas</w:t>
            </w:r>
          </w:p>
        </w:tc>
        <w:tc>
          <w:tcPr>
            <w:tcW w:type="dxa" w:w="1752"/>
          </w:tcPr>
          <w:p>
            <w:r>
              <w:rPr>
                <w:rFonts w:ascii="Arial" w:hAnsi="Arial"/>
                <w:b w:val="0"/>
                <w:sz w:val="16"/>
              </w:rPr>
              <w:t>86.09</w:t>
            </w:r>
          </w:p>
        </w:tc>
        <w:tc>
          <w:tcPr>
            <w:tcW w:type="dxa" w:w="1752"/>
          </w:tcPr>
          <w:p>
            <w:r>
              <w:rPr>
                <w:rFonts w:ascii="Arial" w:hAnsi="Arial"/>
                <w:b w:val="0"/>
                <w:sz w:val="16"/>
              </w:rPr>
              <w:t>85.16</w:t>
            </w:r>
          </w:p>
        </w:tc>
        <w:tc>
          <w:tcPr>
            <w:tcW w:type="dxa" w:w="1752"/>
          </w:tcPr>
          <w:p>
            <w:r>
              <w:rPr>
                <w:rFonts w:ascii="Arial" w:hAnsi="Arial"/>
                <w:b w:val="0"/>
                <w:sz w:val="16"/>
              </w:rPr>
              <w:t>484.63</w:t>
            </w:r>
          </w:p>
        </w:tc>
        <w:tc>
          <w:tcPr>
            <w:tcW w:type="dxa" w:w="1752"/>
          </w:tcPr>
          <w:p>
            <w:r>
              <w:rPr>
                <w:rFonts w:ascii="Arial" w:hAnsi="Arial"/>
                <w:b w:val="0"/>
                <w:sz w:val="16"/>
              </w:rPr>
              <w:t>0.0</w:t>
            </w:r>
          </w:p>
        </w:tc>
        <w:tc>
          <w:tcPr>
            <w:tcW w:type="dxa" w:w="1752"/>
          </w:tcPr>
          <w:p>
            <w:r>
              <w:rPr>
                <w:rFonts w:ascii="Arial" w:hAnsi="Arial"/>
                <w:b w:val="0"/>
                <w:sz w:val="16"/>
              </w:rPr>
              <w:t>+0.15</w:t>
            </w:r>
          </w:p>
        </w:tc>
      </w:tr>
    </w:tbl>
    <w:p>
      <w:r>
        <w:rPr>
          <w:rFonts w:ascii="Arial" w:hAnsi="Arial"/>
          <w:b/>
          <w:color w:val="1F4E79"/>
          <w:sz w:val="24"/>
        </w:rPr>
        <w:t>5. Samaria, Carrizal y Mezcalapa</w:t>
      </w:r>
    </w:p>
    <w:p>
      <w:r>
        <w:rPr>
          <w:rFonts w:ascii="Arial" w:hAnsi="Arial"/>
          <w:sz w:val="19"/>
        </w:rPr>
        <w:t>Samaria registra 11.56 m y González/Carrizal 3.40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11.56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3.40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13:52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IXHUATAN PCIVILCHIAPAS 2.0 mm/24 h</w:t>
      </w:r>
    </w:p>
    <w:p>
      <w:pPr>
        <w:pStyle w:val="ListBullet"/>
      </w:pPr>
      <w:r>
        <w:rPr>
          <w:rFonts w:ascii="Arial" w:hAnsi="Arial"/>
          <w:sz w:val="19"/>
        </w:rPr>
        <w:t>WeatherLink: Sinai 0.3 mm/24 h</w:t>
      </w:r>
    </w:p>
    <w:p>
      <w:pPr>
        <w:pStyle w:val="ListBullet"/>
      </w:pPr>
      <w:r>
        <w:rPr>
          <w:rFonts w:ascii="Arial" w:hAnsi="Arial"/>
          <w:sz w:val="19"/>
        </w:rPr>
        <w:t>WeatherLink: AMATÁN PCIVILCHIAPAS 0.3 mm/24 h</w:t>
      </w:r>
    </w:p>
    <w:p>
      <w:pPr>
        <w:pStyle w:val="ListBullet"/>
      </w:pPr>
      <w:r>
        <w:rPr>
          <w:rFonts w:ascii="Arial" w:hAnsi="Arial"/>
          <w:sz w:val="19"/>
        </w:rPr>
        <w:t>WeatherLink: Yaxhá - INSIVUMEH PETEN 0.0 mm/24 h</w:t>
      </w:r>
    </w:p>
    <w:p>
      <w:pPr>
        <w:pStyle w:val="ListBullet"/>
      </w:pPr>
      <w:r>
        <w:rPr>
          <w:rFonts w:ascii="Arial" w:hAnsi="Arial"/>
          <w:sz w:val="19"/>
        </w:rPr>
        <w:t>WeatherLink: Urrutia 0.0 mm/24 h</w:t>
      </w:r>
    </w:p>
    <w:p>
      <w:pPr>
        <w:pStyle w:val="ListBullet"/>
      </w:pPr>
      <w:r>
        <w:rPr>
          <w:rFonts w:ascii="Arial" w:hAnsi="Arial"/>
          <w:sz w:val="19"/>
        </w:rPr>
        <w:t>CONAGUA: TAPIJULAPA 6.5 mm/24 h</w:t>
      </w:r>
    </w:p>
    <w:p>
      <w:pPr>
        <w:pStyle w:val="ListBullet"/>
      </w:pPr>
      <w:r>
        <w:rPr>
          <w:rFonts w:ascii="Arial" w:hAnsi="Arial"/>
          <w:sz w:val="19"/>
        </w:rPr>
        <w:t>CONAGUA: OXOLOTÁN 5.5 mm/24 h</w:t>
      </w:r>
    </w:p>
    <w:p>
      <w:pPr>
        <w:pStyle w:val="ListBullet"/>
      </w:pPr>
      <w:r>
        <w:rPr>
          <w:rFonts w:ascii="Arial" w:hAnsi="Arial"/>
          <w:sz w:val="19"/>
        </w:rPr>
        <w:t>CONAGUA: EMILIANO ZAPATA (CHABLE) 5.0 mm/24 h</w:t>
      </w:r>
    </w:p>
    <w:p>
      <w:pPr>
        <w:pStyle w:val="ListBullet"/>
      </w:pPr>
      <w:r>
        <w:rPr>
          <w:rFonts w:ascii="Arial" w:hAnsi="Arial"/>
          <w:sz w:val="19"/>
        </w:rPr>
        <w:t>CONAGUA: JONUTA 2 (PUENTE) 1.0 mm/24 h</w:t>
      </w:r>
    </w:p>
    <w:p>
      <w:pPr>
        <w:pStyle w:val="ListBullet"/>
      </w:pPr>
      <w:r>
        <w:rPr>
          <w:rFonts w:ascii="Arial" w:hAnsi="Arial"/>
          <w:sz w:val="19"/>
        </w:rPr>
        <w:t>CONAGUA: PTE. SOLIDARIDAD 0.2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2026-09-08T08:35:27-06:00</w:t>
            </w:r>
          </w:p>
        </w:tc>
        <w:tc>
          <w:tcPr>
            <w:tcW w:type="dxa" w:w="2628"/>
          </w:tcPr>
          <w:p>
            <w:r>
              <w:rPr>
                <w:rFonts w:ascii="Arial" w:hAnsi="Arial"/>
                <w:b w:val="0"/>
                <w:sz w:val="16"/>
              </w:rPr>
              <w:t>2026-09-08T13:34:32.162971-06:00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2026-09-08T09:57:56-06:00</w:t>
            </w:r>
          </w:p>
        </w:tc>
        <w:tc>
          <w:tcPr>
            <w:tcW w:type="dxa" w:w="2628"/>
          </w:tcPr>
          <w:p>
            <w:r>
              <w:rPr>
                <w:rFonts w:ascii="Arial" w:hAnsi="Arial"/>
                <w:b w:val="0"/>
                <w:sz w:val="16"/>
              </w:rPr>
              <w:t>2026-09-08T13:34:32.162971-06:00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1.92 m · caudal 197.29 m³/s.</w:t>
      </w:r>
    </w:p>
    <w:p>
      <w:pPr>
        <w:pStyle w:val="ListBullet"/>
      </w:pPr>
      <w:r>
        <w:rPr>
          <w:rFonts w:ascii="Arial" w:hAnsi="Arial"/>
          <w:sz w:val="19"/>
        </w:rPr>
        <w:t>El Tigre–Usumacinta: nivel 5.54 m · caudal 917.30 m³/s.</w:t>
      </w:r>
    </w:p>
    <w:p>
      <w:pPr>
        <w:pStyle w:val="ListBullet"/>
      </w:pPr>
      <w:r>
        <w:rPr>
          <w:rFonts w:ascii="Arial" w:hAnsi="Arial"/>
          <w:sz w:val="19"/>
        </w:rPr>
        <w:t>Cadena de seguimiento en Tabasco: Boca del Cerro: 12.50 m · Δ24 h -0.05 m → Balancán: s/d → Emiliano Zapata: s/d → Jonuta: s/d → Centla/Tres Brazos: s/d.</w:t>
      </w:r>
    </w:p>
    <w:p>
      <w:pPr>
        <w:pStyle w:val="ListBullet"/>
      </w:pPr>
      <w:r>
        <w:rPr>
          <w:rFonts w:ascii="Arial" w:hAnsi="Arial"/>
          <w:sz w:val="19"/>
        </w:rPr>
        <w:t>Evolución El Tigre: sin tendencia comparable; se requieren al menos dos cortes válidos que publiquen la estación.</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