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06/09/2026 08:00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2026-09-06T08:00:00-06:00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2026-09-06T08:00:00-06:00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33.86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2026-09-06T08:00:00-06:00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15.81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15.82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2026-09-06T08:00:00-06:00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33.69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2026-09-06T08:00:00-06:00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2026-09-06T08:00:00-06:00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2026-09-06T08:00:00-06:00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6.03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2026-09-06T08:00:00-06:00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6.64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2026-09-06T08:00:00-06:00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2026-09-06T08:00:00-06:00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8.83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2026-09-06T08:00:00-06:00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1.13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2026-09-06T08:00:00-06:00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0.51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8.50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2026-09-06T08:00:00-06:00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6.59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12.81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2026-09-06T08:00:00-06:00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3.50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5.27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-13.28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2026-09-05T14:00:00-06:00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4.02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2026-09-05T14:00:00-06:00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3.32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6.03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6.64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8.83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8.70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0.51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6.59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-8.95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2026-09-05T18:00:00-06:00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