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08/10/2026 18:00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2026-10-08T18:00:00-06:00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2026-10-08T18:00:00-06:00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3.93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36.54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-0.94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con ascenso reciente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2026-10-08T18:00:00-06:00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18.46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6.17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+0.78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2026-10-08T14:00:00-06:00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2026-10-08T14:00:00-06:00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2026-10-08T18:00:00-06:00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20.81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2.31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2026-10-08T18:00:00-06:00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6.26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1.23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2026-10-08T18:00:00-06:00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2.29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4.71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+2.29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2026-10-08T18:00:00-06:00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+2.19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2026-10-08T18:00:00-06:00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2026-10-08T18:00:00-06:00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5.61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+0.83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2026-10-08T18:00:00-06:00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5.65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+0.42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2026-10-08T18:00:00-06:00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2026-10-08T18:00:00-06:00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17.44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16.97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+0.47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2026-10-08T18:00:00-06:00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2.74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3.93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-11.77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6.17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-9.69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3.56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2.31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+2.88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1.23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4.71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3.07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+1.94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5.61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+1.92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5.65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0.31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1.77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