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2026-10-05 17:08</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05 de October de 2026</w:t>
      </w:r>
    </w:p>
    <w:p>
      <w:r>
        <w:rPr>
          <w:rFonts w:ascii="Arial" w:hAnsi="Arial"/>
          <w:b/>
          <w:color w:val="1F4E79"/>
          <w:sz w:val="24"/>
        </w:rPr>
        <w:t>SÍNTESIS GENERAL</w:t>
      </w:r>
    </w:p>
    <w:p>
      <w:r>
        <w:rPr>
          <w:rFonts w:ascii="Arial" w:hAnsi="Arial"/>
          <w:sz w:val="19"/>
        </w:rPr>
        <w:t>Al corte de las 17:08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Joaquín +1.07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15.94 m, con variación de 24 h +0.91 m. En la cuenca alta de Guatemala, El Tigre reporta 9.44 m y 2613.0 m³/s; El Porvenir/La Pasión 4.16 m y 728.5 m³/s. La secuencia de vigilancia se mantiene Guatemala → Lacantún → Boca del Cerro/Tenosique → Balancán → Emiliano Zapata → Jonuta → Centla. Pronóstico SMN para Usumacinta: 0-24 h: 150 a 250 mm; 24-48 h: 150 a 250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9.44 m; 2613.0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139.33 m; 699.00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15.94 m; Δ24 h +0.91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34.56 m, Tapijulapa 17.24 m, Teapa 34.20 m y Puyacatengo 25.10 m. Deben vigilarse primero lluvia horaria y estaciones aguas arriba antes de esperar una respuesta en el Grijalva de Villahermosa. Pronóstico SMN Bajo Grijalva–Ríos de la Sierra: 0-24 h: 150 a 250 mm; 24-48 h: 150 a 250 mm; 48-72 h: 75 a 150 mm; 72-96 h: 150 a 250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2.88 m; Macuspana 2.28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516.61</w:t>
            </w:r>
          </w:p>
        </w:tc>
        <w:tc>
          <w:tcPr>
            <w:tcW w:type="dxa" w:w="1752"/>
          </w:tcPr>
          <w:p>
            <w:r>
              <w:rPr>
                <w:rFonts w:ascii="Arial" w:hAnsi="Arial"/>
                <w:b w:val="0"/>
                <w:sz w:val="16"/>
              </w:rPr>
              <w:t>47.40</w:t>
            </w:r>
          </w:p>
        </w:tc>
        <w:tc>
          <w:tcPr>
            <w:tcW w:type="dxa" w:w="1752"/>
          </w:tcPr>
          <w:p>
            <w:r>
              <w:rPr>
                <w:rFonts w:ascii="Arial" w:hAnsi="Arial"/>
                <w:b w:val="0"/>
                <w:sz w:val="16"/>
              </w:rPr>
              <w:t>45.18</w:t>
            </w:r>
          </w:p>
        </w:tc>
        <w:tc>
          <w:tcPr>
            <w:tcW w:type="dxa" w:w="1752"/>
          </w:tcPr>
          <w:p>
            <w:r>
              <w:rPr>
                <w:rFonts w:ascii="Arial" w:hAnsi="Arial"/>
                <w:b w:val="0"/>
                <w:sz w:val="16"/>
              </w:rPr>
              <w:t>0.1</w:t>
            </w:r>
          </w:p>
        </w:tc>
        <w:tc>
          <w:tcPr>
            <w:tcW w:type="dxa" w:w="1752"/>
          </w:tcPr>
          <w:p>
            <w:r>
              <w:rPr>
                <w:rFonts w:ascii="Arial" w:hAnsi="Arial"/>
                <w:b w:val="0"/>
                <w:sz w:val="16"/>
              </w:rPr>
              <w:t>+0.00</w:t>
            </w:r>
          </w:p>
        </w:tc>
      </w:tr>
      <w:tr>
        <w:tc>
          <w:tcPr>
            <w:tcW w:type="dxa" w:w="1752"/>
          </w:tcPr>
          <w:p>
            <w:r>
              <w:rPr>
                <w:rFonts w:ascii="Arial" w:hAnsi="Arial"/>
                <w:b w:val="0"/>
                <w:sz w:val="16"/>
              </w:rPr>
              <w:t>Chicoasén</w:t>
            </w:r>
          </w:p>
        </w:tc>
        <w:tc>
          <w:tcPr>
            <w:tcW w:type="dxa" w:w="1752"/>
          </w:tcPr>
          <w:p>
            <w:r>
              <w:rPr>
                <w:rFonts w:ascii="Arial" w:hAnsi="Arial"/>
                <w:b w:val="0"/>
                <w:sz w:val="16"/>
              </w:rPr>
              <w:t>390.98</w:t>
            </w:r>
          </w:p>
        </w:tc>
        <w:tc>
          <w:tcPr>
            <w:tcW w:type="dxa" w:w="1752"/>
          </w:tcPr>
          <w:p>
            <w:r>
              <w:rPr>
                <w:rFonts w:ascii="Arial" w:hAnsi="Arial"/>
                <w:b w:val="0"/>
                <w:sz w:val="16"/>
              </w:rPr>
              <w:t>97.58</w:t>
            </w:r>
          </w:p>
        </w:tc>
        <w:tc>
          <w:tcPr>
            <w:tcW w:type="dxa" w:w="1752"/>
          </w:tcPr>
          <w:p>
            <w:r>
              <w:rPr>
                <w:rFonts w:ascii="Arial" w:hAnsi="Arial"/>
                <w:b w:val="0"/>
                <w:sz w:val="16"/>
              </w:rPr>
              <w:t>141.24</w:t>
            </w:r>
          </w:p>
        </w:tc>
        <w:tc>
          <w:tcPr>
            <w:tcW w:type="dxa" w:w="1752"/>
          </w:tcPr>
          <w:p>
            <w:r>
              <w:rPr>
                <w:rFonts w:ascii="Arial" w:hAnsi="Arial"/>
                <w:b w:val="0"/>
                <w:sz w:val="16"/>
              </w:rPr>
              <w:t>0.2</w:t>
            </w:r>
          </w:p>
        </w:tc>
        <w:tc>
          <w:tcPr>
            <w:tcW w:type="dxa" w:w="1752"/>
          </w:tcPr>
          <w:p>
            <w:r>
              <w:rPr>
                <w:rFonts w:ascii="Arial" w:hAnsi="Arial"/>
                <w:b w:val="0"/>
                <w:sz w:val="16"/>
              </w:rPr>
              <w:t>-0.18</w:t>
            </w:r>
          </w:p>
        </w:tc>
      </w:tr>
      <w:tr>
        <w:tc>
          <w:tcPr>
            <w:tcW w:type="dxa" w:w="1752"/>
          </w:tcPr>
          <w:p>
            <w:r>
              <w:rPr>
                <w:rFonts w:ascii="Arial" w:hAnsi="Arial"/>
                <w:b w:val="0"/>
                <w:sz w:val="16"/>
              </w:rPr>
              <w:t>Malpaso</w:t>
            </w:r>
          </w:p>
        </w:tc>
        <w:tc>
          <w:tcPr>
            <w:tcW w:type="dxa" w:w="1752"/>
          </w:tcPr>
          <w:p>
            <w:r>
              <w:rPr>
                <w:rFonts w:ascii="Arial" w:hAnsi="Arial"/>
                <w:b w:val="0"/>
                <w:sz w:val="16"/>
              </w:rPr>
              <w:t>164.00</w:t>
            </w:r>
          </w:p>
        </w:tc>
        <w:tc>
          <w:tcPr>
            <w:tcW w:type="dxa" w:w="1752"/>
          </w:tcPr>
          <w:p>
            <w:r>
              <w:rPr>
                <w:rFonts w:ascii="Arial" w:hAnsi="Arial"/>
                <w:b w:val="0"/>
                <w:sz w:val="16"/>
              </w:rPr>
              <w:t>59.19</w:t>
            </w:r>
          </w:p>
        </w:tc>
        <w:tc>
          <w:tcPr>
            <w:tcW w:type="dxa" w:w="1752"/>
          </w:tcPr>
          <w:p>
            <w:r>
              <w:rPr>
                <w:rFonts w:ascii="Arial" w:hAnsi="Arial"/>
                <w:b w:val="0"/>
                <w:sz w:val="16"/>
              </w:rPr>
              <w:t>255.90</w:t>
            </w:r>
          </w:p>
        </w:tc>
        <w:tc>
          <w:tcPr>
            <w:tcW w:type="dxa" w:w="1752"/>
          </w:tcPr>
          <w:p>
            <w:r>
              <w:rPr>
                <w:rFonts w:ascii="Arial" w:hAnsi="Arial"/>
                <w:b w:val="0"/>
                <w:sz w:val="16"/>
              </w:rPr>
              <w:t>0.9</w:t>
            </w:r>
          </w:p>
        </w:tc>
        <w:tc>
          <w:tcPr>
            <w:tcW w:type="dxa" w:w="1752"/>
          </w:tcPr>
          <w:p>
            <w:r>
              <w:rPr>
                <w:rFonts w:ascii="Arial" w:hAnsi="Arial"/>
                <w:b w:val="0"/>
                <w:sz w:val="16"/>
              </w:rPr>
              <w:t>-0.02</w:t>
            </w:r>
          </w:p>
        </w:tc>
      </w:tr>
      <w:tr>
        <w:tc>
          <w:tcPr>
            <w:tcW w:type="dxa" w:w="1752"/>
          </w:tcPr>
          <w:p>
            <w:r>
              <w:rPr>
                <w:rFonts w:ascii="Arial" w:hAnsi="Arial"/>
                <w:b w:val="0"/>
                <w:sz w:val="16"/>
              </w:rPr>
              <w:t>Peñitas</w:t>
            </w:r>
          </w:p>
        </w:tc>
        <w:tc>
          <w:tcPr>
            <w:tcW w:type="dxa" w:w="1752"/>
          </w:tcPr>
          <w:p>
            <w:r>
              <w:rPr>
                <w:rFonts w:ascii="Arial" w:hAnsi="Arial"/>
                <w:b w:val="0"/>
                <w:sz w:val="16"/>
              </w:rPr>
              <w:t>85.84</w:t>
            </w:r>
          </w:p>
        </w:tc>
        <w:tc>
          <w:tcPr>
            <w:tcW w:type="dxa" w:w="1752"/>
          </w:tcPr>
          <w:p>
            <w:r>
              <w:rPr>
                <w:rFonts w:ascii="Arial" w:hAnsi="Arial"/>
                <w:b w:val="0"/>
                <w:sz w:val="16"/>
              </w:rPr>
              <w:t>82.77</w:t>
            </w:r>
          </w:p>
        </w:tc>
        <w:tc>
          <w:tcPr>
            <w:tcW w:type="dxa" w:w="1752"/>
          </w:tcPr>
          <w:p>
            <w:r>
              <w:rPr>
                <w:rFonts w:ascii="Arial" w:hAnsi="Arial"/>
                <w:b w:val="0"/>
                <w:sz w:val="16"/>
              </w:rPr>
              <w:t>330.00</w:t>
            </w:r>
          </w:p>
        </w:tc>
        <w:tc>
          <w:tcPr>
            <w:tcW w:type="dxa" w:w="1752"/>
          </w:tcPr>
          <w:p>
            <w:r>
              <w:rPr>
                <w:rFonts w:ascii="Arial" w:hAnsi="Arial"/>
                <w:b w:val="0"/>
                <w:sz w:val="16"/>
              </w:rPr>
              <w:t>13.0</w:t>
            </w:r>
          </w:p>
        </w:tc>
        <w:tc>
          <w:tcPr>
            <w:tcW w:type="dxa" w:w="1752"/>
          </w:tcPr>
          <w:p>
            <w:r>
              <w:rPr>
                <w:rFonts w:ascii="Arial" w:hAnsi="Arial"/>
                <w:b w:val="0"/>
                <w:sz w:val="16"/>
              </w:rPr>
              <w:t>-0.01</w:t>
            </w:r>
          </w:p>
        </w:tc>
      </w:tr>
    </w:tbl>
    <w:p>
      <w:r>
        <w:rPr>
          <w:rFonts w:ascii="Arial" w:hAnsi="Arial"/>
          <w:b/>
          <w:color w:val="1F4E79"/>
          <w:sz w:val="24"/>
        </w:rPr>
        <w:t>5. Samaria, Carrizal y Mezcalapa</w:t>
      </w:r>
    </w:p>
    <w:p>
      <w:r>
        <w:rPr>
          <w:rFonts w:ascii="Arial" w:hAnsi="Arial"/>
          <w:sz w:val="19"/>
        </w:rPr>
        <w:t>Samaria registra 11.60 m y González/Carrizal 3.30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17:08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JUÁREZ PCIVILCHIAPAS 76.0 mm/24 h</w:t>
      </w:r>
    </w:p>
    <w:p>
      <w:pPr>
        <w:pStyle w:val="ListBullet"/>
      </w:pPr>
      <w:r>
        <w:rPr>
          <w:rFonts w:ascii="Arial" w:hAnsi="Arial"/>
          <w:sz w:val="19"/>
        </w:rPr>
        <w:t>WeatherLink: CHAPULTENANGO PCIVILCHIAPAS 36.1 mm/24 h</w:t>
      </w:r>
    </w:p>
    <w:p>
      <w:pPr>
        <w:pStyle w:val="ListBullet"/>
      </w:pPr>
      <w:r>
        <w:rPr>
          <w:rFonts w:ascii="Arial" w:hAnsi="Arial"/>
          <w:sz w:val="19"/>
        </w:rPr>
        <w:t>WeatherLink: SAN CAYETANO CONSOLA 29.5 mm/24 h</w:t>
      </w:r>
    </w:p>
    <w:p>
      <w:pPr>
        <w:pStyle w:val="ListBullet"/>
      </w:pPr>
      <w:r>
        <w:rPr>
          <w:rFonts w:ascii="Arial" w:hAnsi="Arial"/>
          <w:sz w:val="19"/>
        </w:rPr>
        <w:t>WeatherLink: ASUR Villahermosa 28.0 mm/24 h</w:t>
      </w:r>
    </w:p>
    <w:p>
      <w:pPr>
        <w:pStyle w:val="ListBullet"/>
      </w:pPr>
      <w:r>
        <w:rPr>
          <w:rFonts w:ascii="Arial" w:hAnsi="Arial"/>
          <w:sz w:val="19"/>
        </w:rPr>
        <w:t>WeatherLink: REFORMA PCIVILCHIAPAS 24.4 mm/24 h</w:t>
      </w:r>
    </w:p>
    <w:p>
      <w:pPr>
        <w:pStyle w:val="ListBullet"/>
      </w:pPr>
      <w:r>
        <w:rPr>
          <w:rFonts w:ascii="Arial" w:hAnsi="Arial"/>
          <w:sz w:val="19"/>
        </w:rPr>
        <w:t>CONAGUA: SÁNCHEZ MAGALLANEZ 73.9 mm/24 h</w:t>
      </w:r>
    </w:p>
    <w:p>
      <w:pPr>
        <w:pStyle w:val="ListBullet"/>
      </w:pPr>
      <w:r>
        <w:rPr>
          <w:rFonts w:ascii="Arial" w:hAnsi="Arial"/>
          <w:sz w:val="19"/>
        </w:rPr>
        <w:t>CONAGUA: EMILIANO ZAPATA (CHABLE) 72.0 mm/24 h</w:t>
      </w:r>
    </w:p>
    <w:p>
      <w:pPr>
        <w:pStyle w:val="ListBullet"/>
      </w:pPr>
      <w:r>
        <w:rPr>
          <w:rFonts w:ascii="Arial" w:hAnsi="Arial"/>
          <w:sz w:val="19"/>
        </w:rPr>
        <w:t>CONAGUA: PUYACATENGO 67.7 mm/24 h</w:t>
      </w:r>
    </w:p>
    <w:p>
      <w:pPr>
        <w:pStyle w:val="ListBullet"/>
      </w:pPr>
      <w:r>
        <w:rPr>
          <w:rFonts w:ascii="Arial" w:hAnsi="Arial"/>
          <w:sz w:val="19"/>
        </w:rPr>
        <w:t>CONAGUA: SAN JOAQUÍN 65.9 mm/24 h</w:t>
      </w:r>
    </w:p>
    <w:p>
      <w:pPr>
        <w:pStyle w:val="ListBullet"/>
      </w:pPr>
      <w:r>
        <w:rPr>
          <w:rFonts w:ascii="Arial" w:hAnsi="Arial"/>
          <w:sz w:val="19"/>
        </w:rPr>
        <w:t>CONAGUA: TEAPA 61.0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2026-10-05T08:38:00-06:00</w:t>
            </w:r>
          </w:p>
        </w:tc>
        <w:tc>
          <w:tcPr>
            <w:tcW w:type="dxa" w:w="2628"/>
          </w:tcPr>
          <w:p>
            <w:r>
              <w:rPr>
                <w:rFonts w:ascii="Arial" w:hAnsi="Arial"/>
                <w:b w:val="0"/>
                <w:sz w:val="16"/>
              </w:rPr>
              <w:t>2026-10-05T16:55:46.428728-06:00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2026-10-05T10:44:29-06:00</w:t>
            </w:r>
          </w:p>
        </w:tc>
        <w:tc>
          <w:tcPr>
            <w:tcW w:type="dxa" w:w="2628"/>
          </w:tcPr>
          <w:p>
            <w:r>
              <w:rPr>
                <w:rFonts w:ascii="Arial" w:hAnsi="Arial"/>
                <w:b w:val="0"/>
                <w:sz w:val="16"/>
              </w:rPr>
              <w:t>2026-10-05T16:55:46.428728-06:00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4.16 m · caudal 728.52 m³/s.</w:t>
      </w:r>
    </w:p>
    <w:p>
      <w:pPr>
        <w:pStyle w:val="ListBullet"/>
      </w:pPr>
      <w:r>
        <w:rPr>
          <w:rFonts w:ascii="Arial" w:hAnsi="Arial"/>
          <w:sz w:val="19"/>
        </w:rPr>
        <w:t>El Tigre–Usumacinta: nivel 9.44 m · caudal 2612.96 m³/s.</w:t>
      </w:r>
    </w:p>
    <w:p>
      <w:pPr>
        <w:pStyle w:val="ListBullet"/>
      </w:pPr>
      <w:r>
        <w:rPr>
          <w:rFonts w:ascii="Arial" w:hAnsi="Arial"/>
          <w:sz w:val="19"/>
        </w:rPr>
        <w:t>Cadena de seguimiento en Tabasco: Boca del Cerro: 15.94 m · Δ24 h +0.91 m → Balancán: s/d → Emiliano Zapata: s/d → Jonuta: s/d → Centla/Tres Brazos: s/d.</w:t>
      </w:r>
    </w:p>
    <w:p>
      <w:pPr>
        <w:pStyle w:val="ListBullet"/>
      </w:pPr>
      <w:r>
        <w:rPr>
          <w:rFonts w:ascii="Arial" w:hAnsi="Arial"/>
          <w:sz w:val="19"/>
        </w:rPr>
        <w:t>Evolución El Tigre: Δ nivel +0.060 m en 18.0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