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26/09/2026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con ascenso reciente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