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2026-10-10 11:00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10 de October de 2026</w:t>
      </w:r>
    </w:p>
    <w:p>
      <w:r>
        <w:rPr>
          <w:rFonts w:ascii="Arial" w:hAnsi="Arial"/>
          <w:b/>
          <w:color w:val="1F4E79"/>
          <w:sz w:val="24"/>
        </w:rPr>
        <w:t>SÍNTESIS GENERAL</w:t>
      </w:r>
    </w:p>
    <w:p>
      <w:r>
        <w:rPr>
          <w:rFonts w:ascii="Arial" w:hAnsi="Arial"/>
          <w:sz w:val="19"/>
        </w:rPr>
        <w:t>Al corte de las 11:00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+0.97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18.48 m, con variación de 24 h +0.41 m. En la cuenca alta de Guatemala, El Tigre reporta 11.07 m y 3321.7 m³/s; El Porvenir/La Pasión 4.40 m y 813.1 m³/s. La secuencia de vigilancia se mantiene Guatemala → Lacantún → Boca del Cerro/Tenosique → Balancán → Emiliano Zapata → Jonuta → Centla. Pronóstico SMN para Usumacinta: 0-24 h: 75 a 150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11.07 m; 3321.7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141.74 m; 2684.70 m³/s; lluvia 24 h 10.0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18.48 m; Δ24 h +0.41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35.24 m, Tapijulapa 18.15 m, Teapa 34.52 m y Puyacatengo 25.48 m. Deben vigilarse primero lluvia horaria y estaciones aguas arriba antes de esperar una respuesta en el Grijalva de Villahermosa. Pronóstico SMN Bajo Grijalva–Ríos de la Sierra: 0-24 h: 50 a 75 mm; 24-48 h: 25 a 50 mm; 48-72 h: 5 a 25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4.87 m; Macuspana 3.88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516.80</w:t>
            </w:r>
          </w:p>
        </w:tc>
        <w:tc>
          <w:tcPr>
            <w:tcW w:type="dxa" w:w="1752"/>
          </w:tcPr>
          <w:p>
            <w:r>
              <w:rPr>
                <w:rFonts w:ascii="Arial" w:hAnsi="Arial"/>
                <w:b w:val="0"/>
                <w:sz w:val="16"/>
              </w:rPr>
              <w:t>47.88</w:t>
            </w:r>
          </w:p>
        </w:tc>
        <w:tc>
          <w:tcPr>
            <w:tcW w:type="dxa" w:w="1752"/>
          </w:tcPr>
          <w:p>
            <w:r>
              <w:rPr>
                <w:rFonts w:ascii="Arial" w:hAnsi="Arial"/>
                <w:b w:val="0"/>
                <w:sz w:val="16"/>
              </w:rPr>
              <w:t>259.91</w:t>
            </w:r>
          </w:p>
        </w:tc>
        <w:tc>
          <w:tcPr>
            <w:tcW w:type="dxa" w:w="1752"/>
          </w:tcPr>
          <w:p>
            <w:r>
              <w:rPr>
                <w:rFonts w:ascii="Arial" w:hAnsi="Arial"/>
                <w:b w:val="0"/>
                <w:sz w:val="16"/>
              </w:rPr>
              <w:t>0.0</w:t>
            </w:r>
          </w:p>
        </w:tc>
        <w:tc>
          <w:tcPr>
            <w:tcW w:type="dxa" w:w="1752"/>
          </w:tcPr>
          <w:p>
            <w:r>
              <w:rPr>
                <w:rFonts w:ascii="Arial" w:hAnsi="Arial"/>
                <w:b w:val="0"/>
                <w:sz w:val="16"/>
              </w:rPr>
              <w:t>+0.10</w:t>
            </w:r>
          </w:p>
        </w:tc>
      </w:tr>
      <w:tr>
        <w:tc>
          <w:tcPr>
            <w:tcW w:type="dxa" w:w="1752"/>
          </w:tcPr>
          <w:p>
            <w:r>
              <w:rPr>
                <w:rFonts w:ascii="Arial" w:hAnsi="Arial"/>
                <w:b w:val="0"/>
                <w:sz w:val="16"/>
              </w:rPr>
              <w:t>Chicoasén</w:t>
            </w:r>
          </w:p>
        </w:tc>
        <w:tc>
          <w:tcPr>
            <w:tcW w:type="dxa" w:w="1752"/>
          </w:tcPr>
          <w:p>
            <w:r>
              <w:rPr>
                <w:rFonts w:ascii="Arial" w:hAnsi="Arial"/>
                <w:b w:val="0"/>
                <w:sz w:val="16"/>
              </w:rPr>
              <w:t>391.70</w:t>
            </w:r>
          </w:p>
        </w:tc>
        <w:tc>
          <w:tcPr>
            <w:tcW w:type="dxa" w:w="1752"/>
          </w:tcPr>
          <w:p>
            <w:r>
              <w:rPr>
                <w:rFonts w:ascii="Arial" w:hAnsi="Arial"/>
                <w:b w:val="0"/>
                <w:sz w:val="16"/>
              </w:rPr>
              <w:t>98.80</w:t>
            </w:r>
          </w:p>
        </w:tc>
        <w:tc>
          <w:tcPr>
            <w:tcW w:type="dxa" w:w="1752"/>
          </w:tcPr>
          <w:p>
            <w:r>
              <w:rPr>
                <w:rFonts w:ascii="Arial" w:hAnsi="Arial"/>
                <w:b w:val="0"/>
                <w:sz w:val="16"/>
              </w:rPr>
              <w:t>365.29</w:t>
            </w:r>
          </w:p>
        </w:tc>
        <w:tc>
          <w:tcPr>
            <w:tcW w:type="dxa" w:w="1752"/>
          </w:tcPr>
          <w:p>
            <w:r>
              <w:rPr>
                <w:rFonts w:ascii="Arial" w:hAnsi="Arial"/>
                <w:b w:val="0"/>
                <w:sz w:val="16"/>
              </w:rPr>
              <w:t>0.1</w:t>
            </w:r>
          </w:p>
        </w:tc>
        <w:tc>
          <w:tcPr>
            <w:tcW w:type="dxa" w:w="1752"/>
          </w:tcPr>
          <w:p>
            <w:r>
              <w:rPr>
                <w:rFonts w:ascii="Arial" w:hAnsi="Arial"/>
                <w:b w:val="0"/>
                <w:sz w:val="16"/>
              </w:rPr>
              <w:t>+0.02</w:t>
            </w:r>
          </w:p>
        </w:tc>
      </w:tr>
      <w:tr>
        <w:tc>
          <w:tcPr>
            <w:tcW w:type="dxa" w:w="1752"/>
          </w:tcPr>
          <w:p>
            <w:r>
              <w:rPr>
                <w:rFonts w:ascii="Arial" w:hAnsi="Arial"/>
                <w:b w:val="0"/>
                <w:sz w:val="16"/>
              </w:rPr>
              <w:t>Malpaso</w:t>
            </w:r>
          </w:p>
        </w:tc>
        <w:tc>
          <w:tcPr>
            <w:tcW w:type="dxa" w:w="1752"/>
          </w:tcPr>
          <w:p>
            <w:r>
              <w:rPr>
                <w:rFonts w:ascii="Arial" w:hAnsi="Arial"/>
                <w:b w:val="0"/>
                <w:sz w:val="16"/>
              </w:rPr>
              <w:t>164.55</w:t>
            </w:r>
          </w:p>
        </w:tc>
        <w:tc>
          <w:tcPr>
            <w:tcW w:type="dxa" w:w="1752"/>
          </w:tcPr>
          <w:p>
            <w:r>
              <w:rPr>
                <w:rFonts w:ascii="Arial" w:hAnsi="Arial"/>
                <w:b w:val="0"/>
                <w:sz w:val="16"/>
              </w:rPr>
              <w:t>60.24</w:t>
            </w:r>
          </w:p>
        </w:tc>
        <w:tc>
          <w:tcPr>
            <w:tcW w:type="dxa" w:w="1752"/>
          </w:tcPr>
          <w:p>
            <w:r>
              <w:rPr>
                <w:rFonts w:ascii="Arial" w:hAnsi="Arial"/>
                <w:b w:val="0"/>
                <w:sz w:val="16"/>
              </w:rPr>
              <w:t>224.70</w:t>
            </w:r>
          </w:p>
        </w:tc>
        <w:tc>
          <w:tcPr>
            <w:tcW w:type="dxa" w:w="1752"/>
          </w:tcPr>
          <w:p>
            <w:r>
              <w:rPr>
                <w:rFonts w:ascii="Arial" w:hAnsi="Arial"/>
                <w:b w:val="0"/>
                <w:sz w:val="16"/>
              </w:rPr>
              <w:t>15.3</w:t>
            </w:r>
          </w:p>
        </w:tc>
        <w:tc>
          <w:tcPr>
            <w:tcW w:type="dxa" w:w="1752"/>
          </w:tcPr>
          <w:p>
            <w:r>
              <w:rPr>
                <w:rFonts w:ascii="Arial" w:hAnsi="Arial"/>
                <w:b w:val="0"/>
                <w:sz w:val="16"/>
              </w:rPr>
              <w:t>+0.11</w:t>
            </w:r>
          </w:p>
        </w:tc>
      </w:tr>
      <w:tr>
        <w:tc>
          <w:tcPr>
            <w:tcW w:type="dxa" w:w="1752"/>
          </w:tcPr>
          <w:p>
            <w:r>
              <w:rPr>
                <w:rFonts w:ascii="Arial" w:hAnsi="Arial"/>
                <w:b w:val="0"/>
                <w:sz w:val="16"/>
              </w:rPr>
              <w:t>Peñitas</w:t>
            </w:r>
          </w:p>
        </w:tc>
        <w:tc>
          <w:tcPr>
            <w:tcW w:type="dxa" w:w="1752"/>
          </w:tcPr>
          <w:p>
            <w:r>
              <w:rPr>
                <w:rFonts w:ascii="Arial" w:hAnsi="Arial"/>
                <w:b w:val="0"/>
                <w:sz w:val="16"/>
              </w:rPr>
              <w:t>85.82</w:t>
            </w:r>
          </w:p>
        </w:tc>
        <w:tc>
          <w:tcPr>
            <w:tcW w:type="dxa" w:w="1752"/>
          </w:tcPr>
          <w:p>
            <w:r>
              <w:rPr>
                <w:rFonts w:ascii="Arial" w:hAnsi="Arial"/>
                <w:b w:val="0"/>
                <w:sz w:val="16"/>
              </w:rPr>
              <w:t>82.68</w:t>
            </w:r>
          </w:p>
        </w:tc>
        <w:tc>
          <w:tcPr>
            <w:tcW w:type="dxa" w:w="1752"/>
          </w:tcPr>
          <w:p>
            <w:r>
              <w:rPr>
                <w:rFonts w:ascii="Arial" w:hAnsi="Arial"/>
                <w:b w:val="0"/>
                <w:sz w:val="16"/>
              </w:rPr>
              <w:t>330.00</w:t>
            </w:r>
          </w:p>
        </w:tc>
        <w:tc>
          <w:tcPr>
            <w:tcW w:type="dxa" w:w="1752"/>
          </w:tcPr>
          <w:p>
            <w:r>
              <w:rPr>
                <w:rFonts w:ascii="Arial" w:hAnsi="Arial"/>
                <w:b w:val="0"/>
                <w:sz w:val="16"/>
              </w:rPr>
              <w:t>10.8</w:t>
            </w:r>
          </w:p>
        </w:tc>
        <w:tc>
          <w:tcPr>
            <w:tcW w:type="dxa" w:w="1752"/>
          </w:tcPr>
          <w:p>
            <w:r>
              <w:rPr>
                <w:rFonts w:ascii="Arial" w:hAnsi="Arial"/>
                <w:b w:val="0"/>
                <w:sz w:val="16"/>
              </w:rPr>
              <w:t>+0.04</w:t>
            </w:r>
          </w:p>
        </w:tc>
      </w:tr>
    </w:tbl>
    <w:p>
      <w:r>
        <w:rPr>
          <w:rFonts w:ascii="Arial" w:hAnsi="Arial"/>
          <w:b/>
          <w:color w:val="1F4E79"/>
          <w:sz w:val="24"/>
        </w:rPr>
        <w:t>5. Samaria, Carrizal y Mezcalapa</w:t>
      </w:r>
    </w:p>
    <w:p>
      <w:r>
        <w:rPr>
          <w:rFonts w:ascii="Arial" w:hAnsi="Arial"/>
          <w:sz w:val="19"/>
        </w:rPr>
        <w:t>Samaria registra 11.76 m y González/Carrizal 3.44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11.76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11:00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BERRIOZÁBAL PCIVILCHIAPAS 26.9 mm/24 h</w:t>
      </w:r>
    </w:p>
    <w:p>
      <w:pPr>
        <w:pStyle w:val="ListBullet"/>
      </w:pPr>
      <w:r>
        <w:rPr>
          <w:rFonts w:ascii="Arial" w:hAnsi="Arial"/>
          <w:sz w:val="19"/>
        </w:rPr>
        <w:t>WeatherLink: OSTUACÁN PCIVILCHIAPAS 16.0 mm/24 h</w:t>
      </w:r>
    </w:p>
    <w:p>
      <w:pPr>
        <w:pStyle w:val="ListBullet"/>
      </w:pPr>
      <w:r>
        <w:rPr>
          <w:rFonts w:ascii="Arial" w:hAnsi="Arial"/>
          <w:sz w:val="19"/>
        </w:rPr>
        <w:t>WeatherLink: PICHUCALCO PCIVILCHIAPAS 14.0 mm/24 h</w:t>
      </w:r>
    </w:p>
    <w:p>
      <w:pPr>
        <w:pStyle w:val="ListBullet"/>
      </w:pPr>
      <w:r>
        <w:rPr>
          <w:rFonts w:ascii="Arial" w:hAnsi="Arial"/>
          <w:sz w:val="19"/>
        </w:rPr>
        <w:t>WeatherLink: AMATÁN PCIVILCHIAPAS 9.4 mm/24 h</w:t>
      </w:r>
    </w:p>
    <w:p>
      <w:pPr>
        <w:pStyle w:val="ListBullet"/>
      </w:pPr>
      <w:r>
        <w:rPr>
          <w:rFonts w:ascii="Arial" w:hAnsi="Arial"/>
          <w:sz w:val="19"/>
        </w:rPr>
        <w:t>WeatherLink: REFORMA PCIVILCHIAPAS 5.6 mm/24 h</w:t>
      </w:r>
    </w:p>
    <w:p>
      <w:pPr>
        <w:pStyle w:val="ListBullet"/>
      </w:pPr>
      <w:r>
        <w:rPr>
          <w:rFonts w:ascii="Arial" w:hAnsi="Arial"/>
          <w:sz w:val="19"/>
        </w:rPr>
        <w:t>CONAGUA: HUIMANGUILLO (INIFAP) 76.2 mm/24 h</w:t>
      </w:r>
    </w:p>
    <w:p>
      <w:pPr>
        <w:pStyle w:val="ListBullet"/>
      </w:pPr>
      <w:r>
        <w:rPr>
          <w:rFonts w:ascii="Arial" w:hAnsi="Arial"/>
          <w:sz w:val="19"/>
        </w:rPr>
        <w:t>CONAGUA: SAN JOAQUÍN 63.0 mm/24 h</w:t>
      </w:r>
    </w:p>
    <w:p>
      <w:pPr>
        <w:pStyle w:val="ListBullet"/>
      </w:pPr>
      <w:r>
        <w:rPr>
          <w:rFonts w:ascii="Arial" w:hAnsi="Arial"/>
          <w:sz w:val="19"/>
        </w:rPr>
        <w:t>CONAGUA: CHAPULTENANGO 54.5 mm/24 h</w:t>
      </w:r>
    </w:p>
    <w:p>
      <w:pPr>
        <w:pStyle w:val="ListBullet"/>
      </w:pPr>
      <w:r>
        <w:rPr>
          <w:rFonts w:ascii="Arial" w:hAnsi="Arial"/>
          <w:sz w:val="19"/>
        </w:rPr>
        <w:t>CONAGUA: PLATANAR 35.4 mm/24 h</w:t>
      </w:r>
    </w:p>
    <w:p>
      <w:pPr>
        <w:pStyle w:val="ListBullet"/>
      </w:pPr>
      <w:r>
        <w:rPr>
          <w:rFonts w:ascii="Arial" w:hAnsi="Arial"/>
          <w:sz w:val="19"/>
        </w:rPr>
        <w:t>CONAGUA: POBLADO C-11 33.9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2026-10-10T08:30:12-06:00</w:t>
            </w:r>
          </w:p>
        </w:tc>
        <w:tc>
          <w:tcPr>
            <w:tcW w:type="dxa" w:w="2628"/>
          </w:tcPr>
          <w:p>
            <w:r>
              <w:rPr>
                <w:rFonts w:ascii="Arial" w:hAnsi="Arial"/>
                <w:b w:val="0"/>
                <w:sz w:val="16"/>
              </w:rPr>
              <w:t>2026-10-10T11:27:52.522457-06:00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2026-10-09T10:20:41-06:00</w:t>
            </w:r>
          </w:p>
        </w:tc>
        <w:tc>
          <w:tcPr>
            <w:tcW w:type="dxa" w:w="2628"/>
          </w:tcPr>
          <w:p>
            <w:r>
              <w:rPr>
                <w:rFonts w:ascii="Arial" w:hAnsi="Arial"/>
                <w:b w:val="0"/>
                <w:sz w:val="16"/>
              </w:rPr>
              <w:t>2026-10-09T15:24:49.181968-06:00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4.40 m · caudal 813.15 m³/s.</w:t>
      </w:r>
    </w:p>
    <w:p>
      <w:pPr>
        <w:pStyle w:val="ListBullet"/>
      </w:pPr>
      <w:r>
        <w:rPr>
          <w:rFonts w:ascii="Arial" w:hAnsi="Arial"/>
          <w:sz w:val="19"/>
        </w:rPr>
        <w:t>El Tigre–Usumacinta: nivel 11.07 m · caudal 3321.65 m³/s.</w:t>
      </w:r>
    </w:p>
    <w:p>
      <w:pPr>
        <w:pStyle w:val="ListBullet"/>
      </w:pPr>
      <w:r>
        <w:rPr>
          <w:rFonts w:ascii="Arial" w:hAnsi="Arial"/>
          <w:sz w:val="19"/>
        </w:rPr>
        <w:t>Cadena de seguimiento en Tabasco: Boca del Cerro: 18.48 m · Δ24 h +0.41 m → Balancán: s/d → Emiliano Zapata: s/d → Jonuta: s/d → Centla/Tres Brazos: s/d.</w:t>
      </w:r>
    </w:p>
    <w:p>
      <w:pPr>
        <w:pStyle w:val="ListBullet"/>
      </w:pPr>
      <w:r>
        <w:rPr>
          <w:rFonts w:ascii="Arial" w:hAnsi="Arial"/>
          <w:sz w:val="19"/>
        </w:rPr>
        <w:t>Evolución El Tigre: Δ nivel +0.100 m en 6.0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