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2026-09-12 13:27</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12 de septiembre de 2026</w:t>
      </w:r>
    </w:p>
    <w:p>
      <w:r>
        <w:rPr>
          <w:rFonts w:ascii="Arial" w:hAnsi="Arial"/>
          <w:b/>
          <w:color w:val="1F4E79"/>
          <w:sz w:val="24"/>
        </w:rPr>
        <w:t>SÍNTESIS GENERAL</w:t>
      </w:r>
    </w:p>
    <w:p>
      <w:r>
        <w:rPr>
          <w:rFonts w:ascii="Arial" w:hAnsi="Arial"/>
          <w:sz w:val="19"/>
        </w:rPr>
        <w:t>Al corte de las 13:27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+0.26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12.46 m, con variación de 24 h +0.26 m. En la cuenca alta de Guatemala, El Tigre reporta 5.60 m y 943.4 m³/s; El Porvenir/La Pasión 1.71 m y 168.1 m³/s. La secuencia de vigilancia se mantiene Guatemala → Lacantún → Boca del Cerro/Tenosique → Balancán → Emiliano Zapata → Jonuta → Centla. Pronóstico SMN para Usumacinta: 0-24 h: 50 a 75 mm; 24-48 h: 25 a 50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5.60 m; 943.4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138.33 m; 274.45 m³/s; lluvia 24 h 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12.46 m; Δ24 h +0.26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33.89 m, Tapijulapa 15.79 m, Teapa 33.79 m y Puyacatengo 24.97 m. Deben vigilarse primero lluvia horaria y estaciones aguas arriba antes de esperar una respuesta en el Grijalva de Villahermosa. Pronóstico SMN Bajo Grijalva–Ríos de la Sierra: 0-24 h: 5 a 25 mm; 24-48 h: 25 a 50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2.16 m; Macuspana 1.10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516.88</w:t>
            </w:r>
          </w:p>
        </w:tc>
        <w:tc>
          <w:tcPr>
            <w:tcW w:type="dxa" w:w="1752"/>
          </w:tcPr>
          <w:p>
            <w:r>
              <w:rPr>
                <w:rFonts w:ascii="Arial" w:hAnsi="Arial"/>
                <w:b w:val="0"/>
                <w:sz w:val="16"/>
              </w:rPr>
              <w:t>48.11</w:t>
            </w:r>
          </w:p>
        </w:tc>
        <w:tc>
          <w:tcPr>
            <w:tcW w:type="dxa" w:w="1752"/>
          </w:tcPr>
          <w:p>
            <w:r>
              <w:rPr>
                <w:rFonts w:ascii="Arial" w:hAnsi="Arial"/>
                <w:b w:val="0"/>
                <w:sz w:val="16"/>
              </w:rPr>
              <w:t>389.36</w:t>
            </w:r>
          </w:p>
        </w:tc>
        <w:tc>
          <w:tcPr>
            <w:tcW w:type="dxa" w:w="1752"/>
          </w:tcPr>
          <w:p>
            <w:r>
              <w:rPr>
                <w:rFonts w:ascii="Arial" w:hAnsi="Arial"/>
                <w:b w:val="0"/>
                <w:sz w:val="16"/>
              </w:rPr>
              <w:t>0.0</w:t>
            </w:r>
          </w:p>
        </w:tc>
        <w:tc>
          <w:tcPr>
            <w:tcW w:type="dxa" w:w="1752"/>
          </w:tcPr>
          <w:p>
            <w:r>
              <w:rPr>
                <w:rFonts w:ascii="Arial" w:hAnsi="Arial"/>
                <w:b w:val="0"/>
                <w:sz w:val="16"/>
              </w:rPr>
              <w:t>-0.09</w:t>
            </w:r>
          </w:p>
        </w:tc>
      </w:tr>
      <w:tr>
        <w:tc>
          <w:tcPr>
            <w:tcW w:type="dxa" w:w="1752"/>
          </w:tcPr>
          <w:p>
            <w:r>
              <w:rPr>
                <w:rFonts w:ascii="Arial" w:hAnsi="Arial"/>
                <w:b w:val="0"/>
                <w:sz w:val="16"/>
              </w:rPr>
              <w:t>Chicoasén</w:t>
            </w:r>
          </w:p>
        </w:tc>
        <w:tc>
          <w:tcPr>
            <w:tcW w:type="dxa" w:w="1752"/>
          </w:tcPr>
          <w:p>
            <w:r>
              <w:rPr>
                <w:rFonts w:ascii="Arial" w:hAnsi="Arial"/>
                <w:b w:val="0"/>
                <w:sz w:val="16"/>
              </w:rPr>
              <w:t>391.20</w:t>
            </w:r>
          </w:p>
        </w:tc>
        <w:tc>
          <w:tcPr>
            <w:tcW w:type="dxa" w:w="1752"/>
          </w:tcPr>
          <w:p>
            <w:r>
              <w:rPr>
                <w:rFonts w:ascii="Arial" w:hAnsi="Arial"/>
                <w:b w:val="0"/>
                <w:sz w:val="16"/>
              </w:rPr>
              <w:t>97.50</w:t>
            </w:r>
          </w:p>
        </w:tc>
        <w:tc>
          <w:tcPr>
            <w:tcW w:type="dxa" w:w="1752"/>
          </w:tcPr>
          <w:p>
            <w:r>
              <w:rPr>
                <w:rFonts w:ascii="Arial" w:hAnsi="Arial"/>
                <w:b w:val="0"/>
                <w:sz w:val="16"/>
              </w:rPr>
              <w:t>365.05</w:t>
            </w:r>
          </w:p>
        </w:tc>
        <w:tc>
          <w:tcPr>
            <w:tcW w:type="dxa" w:w="1752"/>
          </w:tcPr>
          <w:p>
            <w:r>
              <w:rPr>
                <w:rFonts w:ascii="Arial" w:hAnsi="Arial"/>
                <w:b w:val="0"/>
                <w:sz w:val="16"/>
              </w:rPr>
              <w:t>0.0</w:t>
            </w:r>
          </w:p>
        </w:tc>
        <w:tc>
          <w:tcPr>
            <w:tcW w:type="dxa" w:w="1752"/>
          </w:tcPr>
          <w:p>
            <w:r>
              <w:rPr>
                <w:rFonts w:ascii="Arial" w:hAnsi="Arial"/>
                <w:b w:val="0"/>
                <w:sz w:val="16"/>
              </w:rPr>
              <w:t>-0.07</w:t>
            </w:r>
          </w:p>
        </w:tc>
      </w:tr>
      <w:tr>
        <w:tc>
          <w:tcPr>
            <w:tcW w:type="dxa" w:w="1752"/>
          </w:tcPr>
          <w:p>
            <w:r>
              <w:rPr>
                <w:rFonts w:ascii="Arial" w:hAnsi="Arial"/>
                <w:b w:val="0"/>
                <w:sz w:val="16"/>
              </w:rPr>
              <w:t>Malpaso</w:t>
            </w:r>
          </w:p>
        </w:tc>
        <w:tc>
          <w:tcPr>
            <w:tcW w:type="dxa" w:w="1752"/>
          </w:tcPr>
          <w:p>
            <w:r>
              <w:rPr>
                <w:rFonts w:ascii="Arial" w:hAnsi="Arial"/>
                <w:b w:val="0"/>
                <w:sz w:val="16"/>
              </w:rPr>
              <w:t>163.24</w:t>
            </w:r>
          </w:p>
        </w:tc>
        <w:tc>
          <w:tcPr>
            <w:tcW w:type="dxa" w:w="1752"/>
          </w:tcPr>
          <w:p>
            <w:r>
              <w:rPr>
                <w:rFonts w:ascii="Arial" w:hAnsi="Arial"/>
                <w:b w:val="0"/>
                <w:sz w:val="16"/>
              </w:rPr>
              <w:t>57.70</w:t>
            </w:r>
          </w:p>
        </w:tc>
        <w:tc>
          <w:tcPr>
            <w:tcW w:type="dxa" w:w="1752"/>
          </w:tcPr>
          <w:p>
            <w:r>
              <w:rPr>
                <w:rFonts w:ascii="Arial" w:hAnsi="Arial"/>
                <w:b w:val="0"/>
                <w:sz w:val="16"/>
              </w:rPr>
              <w:t>302.08</w:t>
            </w:r>
          </w:p>
        </w:tc>
        <w:tc>
          <w:tcPr>
            <w:tcW w:type="dxa" w:w="1752"/>
          </w:tcPr>
          <w:p>
            <w:r>
              <w:rPr>
                <w:rFonts w:ascii="Arial" w:hAnsi="Arial"/>
                <w:b w:val="0"/>
                <w:sz w:val="16"/>
              </w:rPr>
              <w:t>0.0</w:t>
            </w:r>
          </w:p>
        </w:tc>
        <w:tc>
          <w:tcPr>
            <w:tcW w:type="dxa" w:w="1752"/>
          </w:tcPr>
          <w:p>
            <w:r>
              <w:rPr>
                <w:rFonts w:ascii="Arial" w:hAnsi="Arial"/>
                <w:b w:val="0"/>
                <w:sz w:val="16"/>
              </w:rPr>
              <w:t>+0.03</w:t>
            </w:r>
          </w:p>
        </w:tc>
      </w:tr>
      <w:tr>
        <w:tc>
          <w:tcPr>
            <w:tcW w:type="dxa" w:w="1752"/>
          </w:tcPr>
          <w:p>
            <w:r>
              <w:rPr>
                <w:rFonts w:ascii="Arial" w:hAnsi="Arial"/>
                <w:b w:val="0"/>
                <w:sz w:val="16"/>
              </w:rPr>
              <w:t>Peñitas</w:t>
            </w:r>
          </w:p>
        </w:tc>
        <w:tc>
          <w:tcPr>
            <w:tcW w:type="dxa" w:w="1752"/>
          </w:tcPr>
          <w:p>
            <w:r>
              <w:rPr>
                <w:rFonts w:ascii="Arial" w:hAnsi="Arial"/>
                <w:b w:val="0"/>
                <w:sz w:val="16"/>
              </w:rPr>
              <w:t>85.91</w:t>
            </w:r>
          </w:p>
        </w:tc>
        <w:tc>
          <w:tcPr>
            <w:tcW w:type="dxa" w:w="1752"/>
          </w:tcPr>
          <w:p>
            <w:r>
              <w:rPr>
                <w:rFonts w:ascii="Arial" w:hAnsi="Arial"/>
                <w:b w:val="0"/>
                <w:sz w:val="16"/>
              </w:rPr>
              <w:t>83.72</w:t>
            </w:r>
          </w:p>
        </w:tc>
        <w:tc>
          <w:tcPr>
            <w:tcW w:type="dxa" w:w="1752"/>
          </w:tcPr>
          <w:p>
            <w:r>
              <w:rPr>
                <w:rFonts w:ascii="Arial" w:hAnsi="Arial"/>
                <w:b w:val="0"/>
                <w:sz w:val="16"/>
              </w:rPr>
              <w:t>330.00</w:t>
            </w:r>
          </w:p>
        </w:tc>
        <w:tc>
          <w:tcPr>
            <w:tcW w:type="dxa" w:w="1752"/>
          </w:tcPr>
          <w:p>
            <w:r>
              <w:rPr>
                <w:rFonts w:ascii="Arial" w:hAnsi="Arial"/>
                <w:b w:val="0"/>
                <w:sz w:val="16"/>
              </w:rPr>
              <w:t>0.0</w:t>
            </w:r>
          </w:p>
        </w:tc>
        <w:tc>
          <w:tcPr>
            <w:tcW w:type="dxa" w:w="1752"/>
          </w:tcPr>
          <w:p>
            <w:r>
              <w:rPr>
                <w:rFonts w:ascii="Arial" w:hAnsi="Arial"/>
                <w:b w:val="0"/>
                <w:sz w:val="16"/>
              </w:rPr>
              <w:t>-0.04</w:t>
            </w:r>
          </w:p>
        </w:tc>
      </w:tr>
    </w:tbl>
    <w:p>
      <w:r>
        <w:rPr>
          <w:rFonts w:ascii="Arial" w:hAnsi="Arial"/>
          <w:b/>
          <w:color w:val="1F4E79"/>
          <w:sz w:val="24"/>
        </w:rPr>
        <w:t>5. Samaria, Carrizal y Mezcalapa</w:t>
      </w:r>
    </w:p>
    <w:p>
      <w:r>
        <w:rPr>
          <w:rFonts w:ascii="Arial" w:hAnsi="Arial"/>
          <w:sz w:val="19"/>
        </w:rPr>
        <w:t>Samaria registra 11.76 m y González/Carrizal 3.34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11.76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3.34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13:27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Impulsora 5.1 mm/24 h</w:t>
      </w:r>
    </w:p>
    <w:p>
      <w:pPr>
        <w:pStyle w:val="ListBullet"/>
      </w:pPr>
      <w:r>
        <w:rPr>
          <w:rFonts w:ascii="Arial" w:hAnsi="Arial"/>
          <w:sz w:val="19"/>
        </w:rPr>
        <w:t>WeatherLink: PICHUCALCO PCIVILCHIAPAS 3.1 mm/24 h</w:t>
      </w:r>
    </w:p>
    <w:p>
      <w:pPr>
        <w:pStyle w:val="ListBullet"/>
      </w:pPr>
      <w:r>
        <w:rPr>
          <w:rFonts w:ascii="Arial" w:hAnsi="Arial"/>
          <w:sz w:val="19"/>
        </w:rPr>
        <w:t>WeatherLink: AMATÁN PCIVILCHIAPAS 0.5 mm/24 h</w:t>
      </w:r>
    </w:p>
    <w:p>
      <w:pPr>
        <w:pStyle w:val="ListBullet"/>
      </w:pPr>
      <w:r>
        <w:rPr>
          <w:rFonts w:ascii="Arial" w:hAnsi="Arial"/>
          <w:sz w:val="19"/>
        </w:rPr>
        <w:t>WeatherLink: Yaxhá - INSIVUMEH PETEN 0.0 mm/24 h</w:t>
      </w:r>
    </w:p>
    <w:p>
      <w:pPr>
        <w:pStyle w:val="ListBullet"/>
      </w:pPr>
      <w:r>
        <w:rPr>
          <w:rFonts w:ascii="Arial" w:hAnsi="Arial"/>
          <w:sz w:val="19"/>
        </w:rPr>
        <w:t>WeatherLink: Urrutia 0.0 mm/24 h</w:t>
      </w:r>
    </w:p>
    <w:p>
      <w:pPr>
        <w:pStyle w:val="ListBullet"/>
      </w:pPr>
      <w:r>
        <w:rPr>
          <w:rFonts w:ascii="Arial" w:hAnsi="Arial"/>
          <w:sz w:val="19"/>
        </w:rPr>
        <w:t>CONAGUA: CHAPULTENANGO 45.5 mm/24 h</w:t>
      </w:r>
    </w:p>
    <w:p>
      <w:pPr>
        <w:pStyle w:val="ListBullet"/>
      </w:pPr>
      <w:r>
        <w:rPr>
          <w:rFonts w:ascii="Arial" w:hAnsi="Arial"/>
          <w:sz w:val="19"/>
        </w:rPr>
        <w:t>CONAGUA: BOCA DEL CERRO 42.0 mm/24 h</w:t>
      </w:r>
    </w:p>
    <w:p>
      <w:pPr>
        <w:pStyle w:val="ListBullet"/>
      </w:pPr>
      <w:r>
        <w:rPr>
          <w:rFonts w:ascii="Arial" w:hAnsi="Arial"/>
          <w:sz w:val="19"/>
        </w:rPr>
        <w:t>CONAGUA: SAN PEDRO NICHTACULUM 23.2 mm/24 h</w:t>
      </w:r>
    </w:p>
    <w:p>
      <w:pPr>
        <w:pStyle w:val="ListBullet"/>
      </w:pPr>
      <w:r>
        <w:rPr>
          <w:rFonts w:ascii="Arial" w:hAnsi="Arial"/>
          <w:sz w:val="19"/>
        </w:rPr>
        <w:t>CONAGUA: SAN JOAQUÍN 23.1 mm/24 h</w:t>
      </w:r>
    </w:p>
    <w:p>
      <w:pPr>
        <w:pStyle w:val="ListBullet"/>
      </w:pPr>
      <w:r>
        <w:rPr>
          <w:rFonts w:ascii="Arial" w:hAnsi="Arial"/>
          <w:sz w:val="19"/>
        </w:rPr>
        <w:t>CONAGUA: EMILIANO ZAPATA (CHABLE) 22.0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2026-09-12T08:50:02-06:00</w:t>
            </w:r>
          </w:p>
        </w:tc>
        <w:tc>
          <w:tcPr>
            <w:tcW w:type="dxa" w:w="2628"/>
          </w:tcPr>
          <w:p>
            <w:r>
              <w:rPr>
                <w:rFonts w:ascii="Arial" w:hAnsi="Arial"/>
                <w:b w:val="0"/>
                <w:sz w:val="16"/>
              </w:rPr>
              <w:t>2026-09-12T13:17:12.440186-06:00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2026-09-12T10:31:39-06:00</w:t>
            </w:r>
          </w:p>
        </w:tc>
        <w:tc>
          <w:tcPr>
            <w:tcW w:type="dxa" w:w="2628"/>
          </w:tcPr>
          <w:p>
            <w:r>
              <w:rPr>
                <w:rFonts w:ascii="Arial" w:hAnsi="Arial"/>
                <w:b w:val="0"/>
                <w:sz w:val="16"/>
              </w:rPr>
              <w:t>2026-09-12T13:17:12.440186-06:00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1.71 m · caudal 168.09 m³/s.</w:t>
      </w:r>
    </w:p>
    <w:p>
      <w:pPr>
        <w:pStyle w:val="ListBullet"/>
      </w:pPr>
      <w:r>
        <w:rPr>
          <w:rFonts w:ascii="Arial" w:hAnsi="Arial"/>
          <w:sz w:val="19"/>
        </w:rPr>
        <w:t>El Tigre–Usumacinta: nivel 5.60 m · caudal 943.39 m³/s.</w:t>
      </w:r>
    </w:p>
    <w:p>
      <w:pPr>
        <w:pStyle w:val="ListBullet"/>
      </w:pPr>
      <w:r>
        <w:rPr>
          <w:rFonts w:ascii="Arial" w:hAnsi="Arial"/>
          <w:sz w:val="19"/>
        </w:rPr>
        <w:t>Cadena de seguimiento en Tabasco: Boca del Cerro: 12.46 m · Δ24 h +0.26 m → Balancán: s/d → Emiliano Zapata: s/d → Jonuta: s/d → Centla/Tres Brazos: s/d.</w:t>
      </w:r>
    </w:p>
    <w:p>
      <w:pPr>
        <w:pStyle w:val="ListBullet"/>
      </w:pPr>
      <w:r>
        <w:rPr>
          <w:rFonts w:ascii="Arial" w:hAnsi="Arial"/>
          <w:sz w:val="19"/>
        </w:rPr>
        <w:t>Evolución El Tigre: Δ nivel -0.110 m en 18.0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