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27/09/2026 10:00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11.78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11.78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2026-09-27T10:00:00-06:00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2026-09-27T10:00:00-06:00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34.88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34.89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2026-09-27T10:00:00-06:00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17.27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7.36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2026-09-27T10:00:00-06:00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34.37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34.45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2026-09-27T10:00:00-06:00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25.33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4.32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25.35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2026-09-27T10:00:00-06:00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21.22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1.90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21.35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2026-09-27T10:00:00-06:00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5.27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2.22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5.24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2026-09-27T10:00:00-06:00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1.90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5.10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1.90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2026-09-27T10:00:00-06:00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2026-09-27T10:00:00-06:00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1.44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1.44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2026-09-27T10:00:00-06:00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5.67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-0.38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2026-09-27T10:00:00-06:00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6.76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3.09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6.78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2026-09-27T10:00:00-06:00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2026-09-27T10:00:00-06:00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15.33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3.88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15.33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2026-09-27T10:00:00-06:00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3.12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-12.49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7.36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-10.88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3.34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4.32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-1.46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1.90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-5.44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+1.82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2.22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5.10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-5.95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-5.43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+0.97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3.30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-0.77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-2.61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-1.64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5.67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+2.53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3.09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0.48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+1.71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3.88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