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2026-09-14 14:58</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14 de septiembre de 2026</w:t>
      </w:r>
    </w:p>
    <w:p>
      <w:r>
        <w:rPr>
          <w:rFonts w:ascii="Arial" w:hAnsi="Arial"/>
          <w:b/>
          <w:color w:val="1F4E79"/>
          <w:sz w:val="24"/>
        </w:rPr>
        <w:t>SÍNTESIS GENERAL</w:t>
      </w:r>
    </w:p>
    <w:p>
      <w:r>
        <w:rPr>
          <w:rFonts w:ascii="Arial" w:hAnsi="Arial"/>
          <w:sz w:val="19"/>
        </w:rPr>
        <w:t>Al corte de las 14:58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González +0.09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12.27 m, con variación de 24 h -0.06 m. En la cuenca alta de Guatemala, El Tigre reporta 5.20 m y 769.5 m³/s; El Porvenir/La Pasión 1.52 m y 144.2 m³/s. La secuencia de vigilancia se mantiene Guatemala → Lacantún → Boca del Cerro/Tenosique → Balancán → Emiliano Zapata → Jonuta → Centla. Pronóstico SMN para Usumacinta: 0-24 h: 25 a 50 mm; 24-48 h: 5 a 25 mm; 48-72 h: 25 a 50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5.20 m; 769.5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7.5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12.27 m; Δ24 h -0.06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33.87 m, Tapijulapa 15.73 m, Teapa 33.72 m y Puyacatengo 24.99 m. Deben vigilarse primero lluvia horaria y estaciones aguas arriba antes de esperar una respuesta en el Grijalva de Villahermosa. Pronóstico SMN Bajo Grijalva–Ríos de la Sierra: 0-24 h: 25 a 50 mm; 24-48 h: 5 a 25 mm; 48-72 h: 25 a 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2.13 m; Macuspana 1.08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516.83</w:t>
            </w:r>
          </w:p>
        </w:tc>
        <w:tc>
          <w:tcPr>
            <w:tcW w:type="dxa" w:w="1752"/>
          </w:tcPr>
          <w:p>
            <w:r>
              <w:rPr>
                <w:rFonts w:ascii="Arial" w:hAnsi="Arial"/>
                <w:b w:val="0"/>
                <w:sz w:val="16"/>
              </w:rPr>
              <w:t>48.00</w:t>
            </w:r>
          </w:p>
        </w:tc>
        <w:tc>
          <w:tcPr>
            <w:tcW w:type="dxa" w:w="1752"/>
          </w:tcPr>
          <w:p>
            <w:r>
              <w:rPr>
                <w:rFonts w:ascii="Arial" w:hAnsi="Arial"/>
                <w:b w:val="0"/>
                <w:sz w:val="16"/>
              </w:rPr>
              <w:t>74.90</w:t>
            </w:r>
          </w:p>
        </w:tc>
        <w:tc>
          <w:tcPr>
            <w:tcW w:type="dxa" w:w="1752"/>
          </w:tcPr>
          <w:p>
            <w:r>
              <w:rPr>
                <w:rFonts w:ascii="Arial" w:hAnsi="Arial"/>
                <w:b w:val="0"/>
                <w:sz w:val="16"/>
              </w:rPr>
              <w:t>0.0</w:t>
            </w:r>
          </w:p>
        </w:tc>
        <w:tc>
          <w:tcPr>
            <w:tcW w:type="dxa" w:w="1752"/>
          </w:tcPr>
          <w:p>
            <w:r>
              <w:rPr>
                <w:rFonts w:ascii="Arial" w:hAnsi="Arial"/>
                <w:b w:val="0"/>
                <w:sz w:val="16"/>
              </w:rPr>
              <w:t>-0.02</w:t>
            </w:r>
          </w:p>
        </w:tc>
      </w:tr>
      <w:tr>
        <w:tc>
          <w:tcPr>
            <w:tcW w:type="dxa" w:w="1752"/>
          </w:tcPr>
          <w:p>
            <w:r>
              <w:rPr>
                <w:rFonts w:ascii="Arial" w:hAnsi="Arial"/>
                <w:b w:val="0"/>
                <w:sz w:val="16"/>
              </w:rPr>
              <w:t>Chicoasén</w:t>
            </w:r>
          </w:p>
        </w:tc>
        <w:tc>
          <w:tcPr>
            <w:tcW w:type="dxa" w:w="1752"/>
          </w:tcPr>
          <w:p>
            <w:r>
              <w:rPr>
                <w:rFonts w:ascii="Arial" w:hAnsi="Arial"/>
                <w:b w:val="0"/>
                <w:sz w:val="16"/>
              </w:rPr>
              <w:t>391.05</w:t>
            </w:r>
          </w:p>
        </w:tc>
        <w:tc>
          <w:tcPr>
            <w:tcW w:type="dxa" w:w="1752"/>
          </w:tcPr>
          <w:p>
            <w:r>
              <w:rPr>
                <w:rFonts w:ascii="Arial" w:hAnsi="Arial"/>
                <w:b w:val="0"/>
                <w:sz w:val="16"/>
              </w:rPr>
              <w:t>97.00</w:t>
            </w:r>
          </w:p>
        </w:tc>
        <w:tc>
          <w:tcPr>
            <w:tcW w:type="dxa" w:w="1752"/>
          </w:tcPr>
          <w:p>
            <w:r>
              <w:rPr>
                <w:rFonts w:ascii="Arial" w:hAnsi="Arial"/>
                <w:b w:val="0"/>
                <w:sz w:val="16"/>
              </w:rPr>
              <w:t>189.89</w:t>
            </w:r>
          </w:p>
        </w:tc>
        <w:tc>
          <w:tcPr>
            <w:tcW w:type="dxa" w:w="1752"/>
          </w:tcPr>
          <w:p>
            <w:r>
              <w:rPr>
                <w:rFonts w:ascii="Arial" w:hAnsi="Arial"/>
                <w:b w:val="0"/>
                <w:sz w:val="16"/>
              </w:rPr>
              <w:t>3.5</w:t>
            </w:r>
          </w:p>
        </w:tc>
        <w:tc>
          <w:tcPr>
            <w:tcW w:type="dxa" w:w="1752"/>
          </w:tcPr>
          <w:p>
            <w:r>
              <w:rPr>
                <w:rFonts w:ascii="Arial" w:hAnsi="Arial"/>
                <w:b w:val="0"/>
                <w:sz w:val="16"/>
              </w:rPr>
              <w:t>-0.09</w:t>
            </w:r>
          </w:p>
        </w:tc>
      </w:tr>
      <w:tr>
        <w:tc>
          <w:tcPr>
            <w:tcW w:type="dxa" w:w="1752"/>
          </w:tcPr>
          <w:p>
            <w:r>
              <w:rPr>
                <w:rFonts w:ascii="Arial" w:hAnsi="Arial"/>
                <w:b w:val="0"/>
                <w:sz w:val="16"/>
              </w:rPr>
              <w:t>Malpaso</w:t>
            </w:r>
          </w:p>
        </w:tc>
        <w:tc>
          <w:tcPr>
            <w:tcW w:type="dxa" w:w="1752"/>
          </w:tcPr>
          <w:p>
            <w:r>
              <w:rPr>
                <w:rFonts w:ascii="Arial" w:hAnsi="Arial"/>
                <w:b w:val="0"/>
                <w:sz w:val="16"/>
              </w:rPr>
              <w:t>163.20</w:t>
            </w:r>
          </w:p>
        </w:tc>
        <w:tc>
          <w:tcPr>
            <w:tcW w:type="dxa" w:w="1752"/>
          </w:tcPr>
          <w:p>
            <w:r>
              <w:rPr>
                <w:rFonts w:ascii="Arial" w:hAnsi="Arial"/>
                <w:b w:val="0"/>
                <w:sz w:val="16"/>
              </w:rPr>
              <w:t>57.00</w:t>
            </w:r>
          </w:p>
        </w:tc>
        <w:tc>
          <w:tcPr>
            <w:tcW w:type="dxa" w:w="1752"/>
          </w:tcPr>
          <w:p>
            <w:r>
              <w:rPr>
                <w:rFonts w:ascii="Arial" w:hAnsi="Arial"/>
                <w:b w:val="0"/>
                <w:sz w:val="16"/>
              </w:rPr>
              <w:t>342.58</w:t>
            </w:r>
          </w:p>
        </w:tc>
        <w:tc>
          <w:tcPr>
            <w:tcW w:type="dxa" w:w="1752"/>
          </w:tcPr>
          <w:p>
            <w:r>
              <w:rPr>
                <w:rFonts w:ascii="Arial" w:hAnsi="Arial"/>
                <w:b w:val="0"/>
                <w:sz w:val="16"/>
              </w:rPr>
              <w:t>0.0</w:t>
            </w:r>
          </w:p>
        </w:tc>
        <w:tc>
          <w:tcPr>
            <w:tcW w:type="dxa" w:w="1752"/>
          </w:tcPr>
          <w:p>
            <w:r>
              <w:rPr>
                <w:rFonts w:ascii="Arial" w:hAnsi="Arial"/>
                <w:b w:val="0"/>
                <w:sz w:val="16"/>
              </w:rPr>
              <w:t>-0.05</w:t>
            </w:r>
          </w:p>
        </w:tc>
      </w:tr>
      <w:tr>
        <w:tc>
          <w:tcPr>
            <w:tcW w:type="dxa" w:w="1752"/>
          </w:tcPr>
          <w:p>
            <w:r>
              <w:rPr>
                <w:rFonts w:ascii="Arial" w:hAnsi="Arial"/>
                <w:b w:val="0"/>
                <w:sz w:val="16"/>
              </w:rPr>
              <w:t>Peñitas</w:t>
            </w:r>
          </w:p>
        </w:tc>
        <w:tc>
          <w:tcPr>
            <w:tcW w:type="dxa" w:w="1752"/>
          </w:tcPr>
          <w:p>
            <w:r>
              <w:rPr>
                <w:rFonts w:ascii="Arial" w:hAnsi="Arial"/>
                <w:b w:val="0"/>
                <w:sz w:val="16"/>
              </w:rPr>
              <w:t>85.92</w:t>
            </w:r>
          </w:p>
        </w:tc>
        <w:tc>
          <w:tcPr>
            <w:tcW w:type="dxa" w:w="1752"/>
          </w:tcPr>
          <w:p>
            <w:r>
              <w:rPr>
                <w:rFonts w:ascii="Arial" w:hAnsi="Arial"/>
                <w:b w:val="0"/>
                <w:sz w:val="16"/>
              </w:rPr>
              <w:t>84.00</w:t>
            </w:r>
          </w:p>
        </w:tc>
        <w:tc>
          <w:tcPr>
            <w:tcW w:type="dxa" w:w="1752"/>
          </w:tcPr>
          <w:p>
            <w:r>
              <w:rPr>
                <w:rFonts w:ascii="Arial" w:hAnsi="Arial"/>
                <w:b w:val="0"/>
                <w:sz w:val="16"/>
              </w:rPr>
              <w:t>333.75</w:t>
            </w:r>
          </w:p>
        </w:tc>
        <w:tc>
          <w:tcPr>
            <w:tcW w:type="dxa" w:w="1752"/>
          </w:tcPr>
          <w:p>
            <w:r>
              <w:rPr>
                <w:rFonts w:ascii="Arial" w:hAnsi="Arial"/>
                <w:b w:val="0"/>
                <w:sz w:val="16"/>
              </w:rPr>
              <w:t>3.1</w:t>
            </w:r>
          </w:p>
        </w:tc>
        <w:tc>
          <w:tcPr>
            <w:tcW w:type="dxa" w:w="1752"/>
          </w:tcPr>
          <w:p>
            <w:r>
              <w:rPr>
                <w:rFonts w:ascii="Arial" w:hAnsi="Arial"/>
                <w:b w:val="0"/>
                <w:sz w:val="16"/>
              </w:rPr>
              <w:t>+0.18</w:t>
            </w:r>
          </w:p>
        </w:tc>
      </w:tr>
    </w:tbl>
    <w:p>
      <w:r>
        <w:rPr>
          <w:rFonts w:ascii="Arial" w:hAnsi="Arial"/>
          <w:b/>
          <w:color w:val="1F4E79"/>
          <w:sz w:val="24"/>
        </w:rPr>
        <w:t>5. Samaria, Carrizal y Mezcalapa</w:t>
      </w:r>
    </w:p>
    <w:p>
      <w:r>
        <w:rPr>
          <w:rFonts w:ascii="Arial" w:hAnsi="Arial"/>
          <w:sz w:val="19"/>
        </w:rPr>
        <w:t>Samaria registra 11.47 m y González/Carrizal 3.44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11.47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3.44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14:58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CHAPULTENANGO PCIVILCHIAPAS 22.9 mm/24 h</w:t>
      </w:r>
    </w:p>
    <w:p>
      <w:pPr>
        <w:pStyle w:val="ListBullet"/>
      </w:pPr>
      <w:r>
        <w:rPr>
          <w:rFonts w:ascii="Arial" w:hAnsi="Arial"/>
          <w:sz w:val="19"/>
        </w:rPr>
        <w:t>WeatherLink: PASO LA MINA 13.7 mm/24 h</w:t>
      </w:r>
    </w:p>
    <w:p>
      <w:pPr>
        <w:pStyle w:val="ListBullet"/>
      </w:pPr>
      <w:r>
        <w:rPr>
          <w:rFonts w:ascii="Arial" w:hAnsi="Arial"/>
          <w:sz w:val="19"/>
        </w:rPr>
        <w:t>WeatherLink: SEMAR E.I.O. Cd. del Carmen. 11.7 mm/24 h</w:t>
      </w:r>
    </w:p>
    <w:p>
      <w:pPr>
        <w:pStyle w:val="ListBullet"/>
      </w:pPr>
      <w:r>
        <w:rPr>
          <w:rFonts w:ascii="Arial" w:hAnsi="Arial"/>
          <w:sz w:val="19"/>
        </w:rPr>
        <w:t>WeatherLink: OSTUACÁN PCIVILCHIAPAS 3.3 mm/24 h</w:t>
      </w:r>
    </w:p>
    <w:p>
      <w:pPr>
        <w:pStyle w:val="ListBullet"/>
      </w:pPr>
      <w:r>
        <w:rPr>
          <w:rFonts w:ascii="Arial" w:hAnsi="Arial"/>
          <w:sz w:val="19"/>
        </w:rPr>
        <w:t>WeatherLink: IXHUATAN PCIVILCHIAPAS 3.3 mm/24 h</w:t>
      </w:r>
    </w:p>
    <w:p>
      <w:pPr>
        <w:pStyle w:val="ListBullet"/>
      </w:pPr>
      <w:r>
        <w:rPr>
          <w:rFonts w:ascii="Arial" w:hAnsi="Arial"/>
          <w:sz w:val="19"/>
        </w:rPr>
        <w:t>CONAGUA: PUYACATENGO 22.5 mm/24 h</w:t>
      </w:r>
    </w:p>
    <w:p>
      <w:pPr>
        <w:pStyle w:val="ListBullet"/>
      </w:pPr>
      <w:r>
        <w:rPr>
          <w:rFonts w:ascii="Arial" w:hAnsi="Arial"/>
          <w:sz w:val="19"/>
        </w:rPr>
        <w:t>CONAGUA: TEAPA 21.5 mm/24 h</w:t>
      </w:r>
    </w:p>
    <w:p>
      <w:pPr>
        <w:pStyle w:val="ListBullet"/>
      </w:pPr>
      <w:r>
        <w:rPr>
          <w:rFonts w:ascii="Arial" w:hAnsi="Arial"/>
          <w:sz w:val="19"/>
        </w:rPr>
        <w:t>CONAGUA: CHAPULTENANGO 20.9 mm/24 h</w:t>
      </w:r>
    </w:p>
    <w:p>
      <w:pPr>
        <w:pStyle w:val="ListBullet"/>
      </w:pPr>
      <w:r>
        <w:rPr>
          <w:rFonts w:ascii="Arial" w:hAnsi="Arial"/>
          <w:sz w:val="19"/>
        </w:rPr>
        <w:t>CONAGUA: BOCA DEL CERRO 9.0 mm/24 h</w:t>
      </w:r>
    </w:p>
    <w:p>
      <w:pPr>
        <w:pStyle w:val="ListBullet"/>
      </w:pPr>
      <w:r>
        <w:rPr>
          <w:rFonts w:ascii="Arial" w:hAnsi="Arial"/>
          <w:sz w:val="19"/>
        </w:rPr>
        <w:t>CONAGUA: SAN JOAQUÍN 7.2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2026-09-14T08:25:22-06:00</w:t>
            </w:r>
          </w:p>
        </w:tc>
        <w:tc>
          <w:tcPr>
            <w:tcW w:type="dxa" w:w="2628"/>
          </w:tcPr>
          <w:p>
            <w:r>
              <w:rPr>
                <w:rFonts w:ascii="Arial" w:hAnsi="Arial"/>
                <w:b w:val="0"/>
                <w:sz w:val="16"/>
              </w:rPr>
              <w:t>2026-09-14T14:39:56.271635-06:00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2026-09-14T09:55:45-06:00</w:t>
            </w:r>
          </w:p>
        </w:tc>
        <w:tc>
          <w:tcPr>
            <w:tcW w:type="dxa" w:w="2628"/>
          </w:tcPr>
          <w:p>
            <w:r>
              <w:rPr>
                <w:rFonts w:ascii="Arial" w:hAnsi="Arial"/>
                <w:b w:val="0"/>
                <w:sz w:val="16"/>
              </w:rPr>
              <w:t>2026-09-14T14:39:56.271635-06:00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1.52 m · caudal 144.22 m³/s.</w:t>
      </w:r>
    </w:p>
    <w:p>
      <w:pPr>
        <w:pStyle w:val="ListBullet"/>
      </w:pPr>
      <w:r>
        <w:rPr>
          <w:rFonts w:ascii="Arial" w:hAnsi="Arial"/>
          <w:sz w:val="19"/>
        </w:rPr>
        <w:t>El Tigre–Usumacinta: nivel 5.20 m · caudal 769.48 m³/s.</w:t>
      </w:r>
    </w:p>
    <w:p>
      <w:pPr>
        <w:pStyle w:val="ListBullet"/>
      </w:pPr>
      <w:r>
        <w:rPr>
          <w:rFonts w:ascii="Arial" w:hAnsi="Arial"/>
          <w:sz w:val="19"/>
        </w:rPr>
        <w:t>Cadena de seguimiento en Tabasco: Boca del Cerro: 12.27 m · Δ24 h -0.06 m → Balancán: s/d → Emiliano Zapata: s/d → Jonuta: s/d → Centla/Tres Brazos: s/d.</w:t>
      </w:r>
    </w:p>
    <w:p>
      <w:pPr>
        <w:pStyle w:val="ListBullet"/>
      </w:pPr>
      <w:r>
        <w:rPr>
          <w:rFonts w:ascii="Arial" w:hAnsi="Arial"/>
          <w:sz w:val="19"/>
        </w:rPr>
        <w:t>Evolución El Tigre: Δ nivel -0.090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