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2026-09-07 19:59</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07 de septiembre de 2026</w:t>
      </w:r>
    </w:p>
    <w:p>
      <w:r>
        <w:rPr>
          <w:rFonts w:ascii="Arial" w:hAnsi="Arial"/>
          <w:b/>
          <w:color w:val="1F4E79"/>
          <w:sz w:val="24"/>
        </w:rPr>
        <w:t>SÍNTESIS GENERAL</w:t>
      </w:r>
    </w:p>
    <w:p>
      <w:r>
        <w:rPr>
          <w:rFonts w:ascii="Arial" w:hAnsi="Arial"/>
          <w:sz w:val="19"/>
        </w:rPr>
        <w:t>Al corte de las 19:59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Gaviotas +0.22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12.55 m, con variación de 24 h +0.05 m. En la cuenca alta de Guatemala, El Tigre reporta 5.74 m y 1004.3 m³/s; El Porvenir/La Pasión 2.01 m y 210.7 m³/s. La secuencia de vigilancia se mantiene Guatemala → Lacantún → Boca del Cerro/Tenosique → Balancán → Emiliano Zapata → Jonuta → Centla. Pronóstico SMN para Usumacinta: 0-24 h: 5 a 25 mm; 24-48 h: 25 a 50 mm; 48-72 h: 25 a 50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5.74 m; 1004.3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12.55 m; Δ24 h +0.05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34.02 m, Tapijulapa 15.79 m, Teapa 33.69 m y Puyacatengo 25.02 m. Deben vigilarse primero lluvia horaria y estaciones aguas arriba antes de esperar una respuesta en el Grijalva de Villahermosa. Pronóstico SMN Bajo Grijalva–Ríos de la Sierra: 0-24 h: 5 a 25 mm; 24-48 h: 50 a 75 mm; 48-72 h: 25 a 50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2.16 m; Macuspana 1.13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517.18</w:t>
            </w:r>
          </w:p>
        </w:tc>
        <w:tc>
          <w:tcPr>
            <w:tcW w:type="dxa" w:w="1752"/>
          </w:tcPr>
          <w:p>
            <w:r>
              <w:rPr>
                <w:rFonts w:ascii="Arial" w:hAnsi="Arial"/>
                <w:b w:val="0"/>
                <w:sz w:val="16"/>
              </w:rPr>
              <w:t>48.91</w:t>
            </w:r>
          </w:p>
        </w:tc>
        <w:tc>
          <w:tcPr>
            <w:tcW w:type="dxa" w:w="1752"/>
          </w:tcPr>
          <w:p>
            <w:r>
              <w:rPr>
                <w:rFonts w:ascii="Arial" w:hAnsi="Arial"/>
                <w:b w:val="0"/>
                <w:sz w:val="16"/>
              </w:rPr>
              <w:t>228.34</w:t>
            </w:r>
          </w:p>
        </w:tc>
        <w:tc>
          <w:tcPr>
            <w:tcW w:type="dxa" w:w="1752"/>
          </w:tcPr>
          <w:p>
            <w:r>
              <w:rPr>
                <w:rFonts w:ascii="Arial" w:hAnsi="Arial"/>
                <w:b w:val="0"/>
                <w:sz w:val="16"/>
              </w:rPr>
              <w:t>46.5</w:t>
            </w:r>
          </w:p>
        </w:tc>
        <w:tc>
          <w:tcPr>
            <w:tcW w:type="dxa" w:w="1752"/>
          </w:tcPr>
          <w:p>
            <w:r>
              <w:rPr>
                <w:rFonts w:ascii="Arial" w:hAnsi="Arial"/>
                <w:b w:val="0"/>
                <w:sz w:val="16"/>
              </w:rPr>
              <w:t>-0.01</w:t>
            </w:r>
          </w:p>
        </w:tc>
      </w:tr>
      <w:tr>
        <w:tc>
          <w:tcPr>
            <w:tcW w:type="dxa" w:w="1752"/>
          </w:tcPr>
          <w:p>
            <w:r>
              <w:rPr>
                <w:rFonts w:ascii="Arial" w:hAnsi="Arial"/>
                <w:b w:val="0"/>
                <w:sz w:val="16"/>
              </w:rPr>
              <w:t>Chicoasén</w:t>
            </w:r>
          </w:p>
        </w:tc>
        <w:tc>
          <w:tcPr>
            <w:tcW w:type="dxa" w:w="1752"/>
          </w:tcPr>
          <w:p>
            <w:r>
              <w:rPr>
                <w:rFonts w:ascii="Arial" w:hAnsi="Arial"/>
                <w:b w:val="0"/>
                <w:sz w:val="16"/>
              </w:rPr>
              <w:t>391.44</w:t>
            </w:r>
          </w:p>
        </w:tc>
        <w:tc>
          <w:tcPr>
            <w:tcW w:type="dxa" w:w="1752"/>
          </w:tcPr>
          <w:p>
            <w:r>
              <w:rPr>
                <w:rFonts w:ascii="Arial" w:hAnsi="Arial"/>
                <w:b w:val="0"/>
                <w:sz w:val="16"/>
              </w:rPr>
              <w:t>98.24</w:t>
            </w:r>
          </w:p>
        </w:tc>
        <w:tc>
          <w:tcPr>
            <w:tcW w:type="dxa" w:w="1752"/>
          </w:tcPr>
          <w:p>
            <w:r>
              <w:rPr>
                <w:rFonts w:ascii="Arial" w:hAnsi="Arial"/>
                <w:b w:val="0"/>
                <w:sz w:val="16"/>
              </w:rPr>
              <w:t>330.01</w:t>
            </w:r>
          </w:p>
        </w:tc>
        <w:tc>
          <w:tcPr>
            <w:tcW w:type="dxa" w:w="1752"/>
          </w:tcPr>
          <w:p>
            <w:r>
              <w:rPr>
                <w:rFonts w:ascii="Arial" w:hAnsi="Arial"/>
                <w:b w:val="0"/>
                <w:sz w:val="16"/>
              </w:rPr>
              <w:t>0.0</w:t>
            </w:r>
          </w:p>
        </w:tc>
        <w:tc>
          <w:tcPr>
            <w:tcW w:type="dxa" w:w="1752"/>
          </w:tcPr>
          <w:p>
            <w:r>
              <w:rPr>
                <w:rFonts w:ascii="Arial" w:hAnsi="Arial"/>
                <w:b w:val="0"/>
                <w:sz w:val="16"/>
              </w:rPr>
              <w:t>+0.68</w:t>
            </w:r>
          </w:p>
        </w:tc>
      </w:tr>
      <w:tr>
        <w:tc>
          <w:tcPr>
            <w:tcW w:type="dxa" w:w="1752"/>
          </w:tcPr>
          <w:p>
            <w:r>
              <w:rPr>
                <w:rFonts w:ascii="Arial" w:hAnsi="Arial"/>
                <w:b w:val="0"/>
                <w:sz w:val="16"/>
              </w:rPr>
              <w:t>Malpaso</w:t>
            </w:r>
          </w:p>
        </w:tc>
        <w:tc>
          <w:tcPr>
            <w:tcW w:type="dxa" w:w="1752"/>
          </w:tcPr>
          <w:p>
            <w:r>
              <w:rPr>
                <w:rFonts w:ascii="Arial" w:hAnsi="Arial"/>
                <w:b w:val="0"/>
                <w:sz w:val="16"/>
              </w:rPr>
              <w:t>163.29</w:t>
            </w:r>
          </w:p>
        </w:tc>
        <w:tc>
          <w:tcPr>
            <w:tcW w:type="dxa" w:w="1752"/>
          </w:tcPr>
          <w:p>
            <w:r>
              <w:rPr>
                <w:rFonts w:ascii="Arial" w:hAnsi="Arial"/>
                <w:b w:val="0"/>
                <w:sz w:val="16"/>
              </w:rPr>
              <w:t>57.80</w:t>
            </w:r>
          </w:p>
        </w:tc>
        <w:tc>
          <w:tcPr>
            <w:tcW w:type="dxa" w:w="1752"/>
          </w:tcPr>
          <w:p>
            <w:r>
              <w:rPr>
                <w:rFonts w:ascii="Arial" w:hAnsi="Arial"/>
                <w:b w:val="0"/>
                <w:sz w:val="16"/>
              </w:rPr>
              <w:t>360.24</w:t>
            </w:r>
          </w:p>
        </w:tc>
        <w:tc>
          <w:tcPr>
            <w:tcW w:type="dxa" w:w="1752"/>
          </w:tcPr>
          <w:p>
            <w:r>
              <w:rPr>
                <w:rFonts w:ascii="Arial" w:hAnsi="Arial"/>
                <w:b w:val="0"/>
                <w:sz w:val="16"/>
              </w:rPr>
              <w:t>3.0</w:t>
            </w:r>
          </w:p>
        </w:tc>
        <w:tc>
          <w:tcPr>
            <w:tcW w:type="dxa" w:w="1752"/>
          </w:tcPr>
          <w:p>
            <w:r>
              <w:rPr>
                <w:rFonts w:ascii="Arial" w:hAnsi="Arial"/>
                <w:b w:val="0"/>
                <w:sz w:val="16"/>
              </w:rPr>
              <w:t>-0.02</w:t>
            </w:r>
          </w:p>
        </w:tc>
      </w:tr>
      <w:tr>
        <w:tc>
          <w:tcPr>
            <w:tcW w:type="dxa" w:w="1752"/>
          </w:tcPr>
          <w:p>
            <w:r>
              <w:rPr>
                <w:rFonts w:ascii="Arial" w:hAnsi="Arial"/>
                <w:b w:val="0"/>
                <w:sz w:val="16"/>
              </w:rPr>
              <w:t>Peñitas</w:t>
            </w:r>
          </w:p>
        </w:tc>
        <w:tc>
          <w:tcPr>
            <w:tcW w:type="dxa" w:w="1752"/>
          </w:tcPr>
          <w:p>
            <w:r>
              <w:rPr>
                <w:rFonts w:ascii="Arial" w:hAnsi="Arial"/>
                <w:b w:val="0"/>
                <w:sz w:val="16"/>
              </w:rPr>
              <w:t>85.94</w:t>
            </w:r>
          </w:p>
        </w:tc>
        <w:tc>
          <w:tcPr>
            <w:tcW w:type="dxa" w:w="1752"/>
          </w:tcPr>
          <w:p>
            <w:r>
              <w:rPr>
                <w:rFonts w:ascii="Arial" w:hAnsi="Arial"/>
                <w:b w:val="0"/>
                <w:sz w:val="16"/>
              </w:rPr>
              <w:t>83.53</w:t>
            </w:r>
          </w:p>
        </w:tc>
        <w:tc>
          <w:tcPr>
            <w:tcW w:type="dxa" w:w="1752"/>
          </w:tcPr>
          <w:p>
            <w:r>
              <w:rPr>
                <w:rFonts w:ascii="Arial" w:hAnsi="Arial"/>
                <w:b w:val="0"/>
                <w:sz w:val="16"/>
              </w:rPr>
              <w:t>425.42</w:t>
            </w:r>
          </w:p>
        </w:tc>
        <w:tc>
          <w:tcPr>
            <w:tcW w:type="dxa" w:w="1752"/>
          </w:tcPr>
          <w:p>
            <w:r>
              <w:rPr>
                <w:rFonts w:ascii="Arial" w:hAnsi="Arial"/>
                <w:b w:val="0"/>
                <w:sz w:val="16"/>
              </w:rPr>
              <w:t>0.0</w:t>
            </w:r>
          </w:p>
        </w:tc>
        <w:tc>
          <w:tcPr>
            <w:tcW w:type="dxa" w:w="1752"/>
          </w:tcPr>
          <w:p>
            <w:r>
              <w:rPr>
                <w:rFonts w:ascii="Arial" w:hAnsi="Arial"/>
                <w:b w:val="0"/>
                <w:sz w:val="16"/>
              </w:rPr>
              <w:t>-0.02</w:t>
            </w:r>
          </w:p>
        </w:tc>
      </w:tr>
    </w:tbl>
    <w:p>
      <w:r>
        <w:rPr>
          <w:rFonts w:ascii="Arial" w:hAnsi="Arial"/>
          <w:b/>
          <w:color w:val="1F4E79"/>
          <w:sz w:val="24"/>
        </w:rPr>
        <w:t>5. Samaria, Carrizal y Mezcalapa</w:t>
      </w:r>
    </w:p>
    <w:p>
      <w:r>
        <w:rPr>
          <w:rFonts w:ascii="Arial" w:hAnsi="Arial"/>
          <w:sz w:val="19"/>
        </w:rPr>
        <w:t>Samaria registra 11.74 m y González/Carrizal 3.37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11.74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3.37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19:59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BERRIOZÁBAL PCIVILCHIAPAS 21.6 mm/24 h</w:t>
      </w:r>
    </w:p>
    <w:p>
      <w:pPr>
        <w:pStyle w:val="ListBullet"/>
      </w:pPr>
      <w:r>
        <w:rPr>
          <w:rFonts w:ascii="Arial" w:hAnsi="Arial"/>
          <w:sz w:val="19"/>
        </w:rPr>
        <w:t>WeatherLink: MAYA BERRIOZABAL PCIVILCHIAPAS 14.7 mm/24 h</w:t>
      </w:r>
    </w:p>
    <w:p>
      <w:pPr>
        <w:pStyle w:val="ListBullet"/>
      </w:pPr>
      <w:r>
        <w:rPr>
          <w:rFonts w:ascii="Arial" w:hAnsi="Arial"/>
          <w:sz w:val="19"/>
        </w:rPr>
        <w:t>WeatherLink: PALENQUE PCIVILCHIAPAS 10.4 mm/24 h</w:t>
      </w:r>
    </w:p>
    <w:p>
      <w:pPr>
        <w:pStyle w:val="ListBullet"/>
      </w:pPr>
      <w:r>
        <w:rPr>
          <w:rFonts w:ascii="Arial" w:hAnsi="Arial"/>
          <w:sz w:val="19"/>
        </w:rPr>
        <w:t>WeatherLink: Sinai 9.6 mm/24 h</w:t>
      </w:r>
    </w:p>
    <w:p>
      <w:pPr>
        <w:pStyle w:val="ListBullet"/>
      </w:pPr>
      <w:r>
        <w:rPr>
          <w:rFonts w:ascii="Arial" w:hAnsi="Arial"/>
          <w:sz w:val="19"/>
        </w:rPr>
        <w:t>WeatherLink: IXHUATAN PCIVILCHIAPAS 8.6 mm/24 h</w:t>
      </w:r>
    </w:p>
    <w:p>
      <w:pPr>
        <w:pStyle w:val="ListBullet"/>
      </w:pPr>
      <w:r>
        <w:rPr>
          <w:rFonts w:ascii="Arial" w:hAnsi="Arial"/>
          <w:sz w:val="19"/>
        </w:rPr>
        <w:t>CONAGUA: PUENTE TONALÁ 50.3 mm/24 h</w:t>
      </w:r>
    </w:p>
    <w:p>
      <w:pPr>
        <w:pStyle w:val="ListBullet"/>
      </w:pPr>
      <w:r>
        <w:rPr>
          <w:rFonts w:ascii="Arial" w:hAnsi="Arial"/>
          <w:sz w:val="19"/>
        </w:rPr>
        <w:t>CONAGUA: BOCA DEL CERRO 25.0 mm/24 h</w:t>
      </w:r>
    </w:p>
    <w:p>
      <w:pPr>
        <w:pStyle w:val="ListBullet"/>
      </w:pPr>
      <w:r>
        <w:rPr>
          <w:rFonts w:ascii="Arial" w:hAnsi="Arial"/>
          <w:sz w:val="19"/>
        </w:rPr>
        <w:t>CONAGUA: SAN JOAQUÍN 8.2 mm/24 h</w:t>
      </w:r>
    </w:p>
    <w:p>
      <w:pPr>
        <w:pStyle w:val="ListBullet"/>
      </w:pPr>
      <w:r>
        <w:rPr>
          <w:rFonts w:ascii="Arial" w:hAnsi="Arial"/>
          <w:sz w:val="19"/>
        </w:rPr>
        <w:t>CONAGUA: SÁNCHEZ MAGALLANEZ 4.2 mm/24 h</w:t>
      </w:r>
    </w:p>
    <w:p>
      <w:pPr>
        <w:pStyle w:val="ListBullet"/>
      </w:pPr>
      <w:r>
        <w:rPr>
          <w:rFonts w:ascii="Arial" w:hAnsi="Arial"/>
          <w:sz w:val="19"/>
        </w:rPr>
        <w:t>CONAGUA: JONUTA (CIUDAD) 3.2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2026-09-07T08:35:22-06:00</w:t>
            </w:r>
          </w:p>
        </w:tc>
        <w:tc>
          <w:tcPr>
            <w:tcW w:type="dxa" w:w="2628"/>
          </w:tcPr>
          <w:p>
            <w:r>
              <w:rPr>
                <w:rFonts w:ascii="Arial" w:hAnsi="Arial"/>
                <w:b w:val="0"/>
                <w:sz w:val="16"/>
              </w:rPr>
              <w:t>2026-09-07T14:08:59.059888-06:00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2026-09-07T10:11:04-06:00</w:t>
            </w:r>
          </w:p>
        </w:tc>
        <w:tc>
          <w:tcPr>
            <w:tcW w:type="dxa" w:w="2628"/>
          </w:tcPr>
          <w:p>
            <w:r>
              <w:rPr>
                <w:rFonts w:ascii="Arial" w:hAnsi="Arial"/>
                <w:b w:val="0"/>
                <w:sz w:val="16"/>
              </w:rPr>
              <w:t>2026-09-07T14:08:59.059888-06:00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2.01 m · caudal 210.74 m³/s.</w:t>
      </w:r>
    </w:p>
    <w:p>
      <w:pPr>
        <w:pStyle w:val="ListBullet"/>
      </w:pPr>
      <w:r>
        <w:rPr>
          <w:rFonts w:ascii="Arial" w:hAnsi="Arial"/>
          <w:sz w:val="19"/>
        </w:rPr>
        <w:t>El Tigre–Usumacinta: nivel 5.74 m · caudal 1004.26 m³/s.</w:t>
      </w:r>
    </w:p>
    <w:p>
      <w:pPr>
        <w:pStyle w:val="ListBullet"/>
      </w:pPr>
      <w:r>
        <w:rPr>
          <w:rFonts w:ascii="Arial" w:hAnsi="Arial"/>
          <w:sz w:val="19"/>
        </w:rPr>
        <w:t>Cadena de seguimiento en Tabasco: Boca del Cerro: 12.55 m · Δ24 h +0.05 m → Balancán: s/d → Emiliano Zapata: s/d → Jonuta: s/d → Centla/Tres Brazos: s/d.</w:t>
      </w:r>
    </w:p>
    <w:p>
      <w:pPr>
        <w:pStyle w:val="ListBullet"/>
      </w:pPr>
      <w:r>
        <w:rPr>
          <w:rFonts w:ascii="Arial" w:hAnsi="Arial"/>
          <w:sz w:val="19"/>
        </w:rPr>
        <w:t>Evolución El Tigre: Δ nivel -0.010 m en 6.0 h; tendencia estable.</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