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13/09/2026 14:00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11.48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11.48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2026-09-13T14:00:00-06:00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2026-09-13T14:00:00-06:00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33.89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5.64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33.89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2026-09-13T14:00:00-06:00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15.75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8.88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15.75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2026-09-13T14:00:00-06:00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33.81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3.90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33.75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2026-09-13T12:00:00-06:00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24.96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24.96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2026-09-13T12:00:00-06:00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19.95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19.96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2026-09-13T14:00:00-06:00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1.70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5.79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1.72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2026-09-13T14:00:00-06:00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6.65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2026-09-13T14:00:00-06:00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2026-09-13T14:00:00-06:00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2026-09-13T14:00:00-06:00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8.84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2026-09-13T14:00:00-06:00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2026-09-13T14:00:00-06:00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0.49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2026-09-13T14:00:00-06:00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12.33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6.88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12.41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2026-09-13T14:00:00-06:00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3.42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5.42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5.64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-13.48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8.88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3.90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-5.75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3.17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5.79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6.65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-7.50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-6.98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-6.57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8.84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-12.57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8.75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-11.68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0.49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6.88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