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2026-10-08 08:36</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08 de October de 2026</w:t>
      </w:r>
    </w:p>
    <w:p>
      <w:r>
        <w:rPr>
          <w:rFonts w:ascii="Arial" w:hAnsi="Arial"/>
          <w:b/>
          <w:color w:val="1F4E79"/>
          <w:sz w:val="24"/>
        </w:rPr>
        <w:t>SÍNTESIS GENERAL</w:t>
      </w:r>
    </w:p>
    <w:p>
      <w:r>
        <w:rPr>
          <w:rFonts w:ascii="Arial" w:hAnsi="Arial"/>
          <w:sz w:val="19"/>
        </w:rPr>
        <w:t>Al corte de las 08:36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sin ascensos comparables relevantes.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16.97 m, con variación de 24 h s/d. En la cuenca alta de Guatemala, El Tigre reporta 11.07 m y 3321.7 m³/s; El Porvenir/La Pasión 4.40 m y 813.1 m³/s. La secuencia de vigilancia se mantiene Guatemala → Boca del Cerro/Tenosique → Balancán → Emiliano Zapata → Jonuta → Centla. Pronóstico SMN para Usumacinta: 0-24 h: 75 a 150 mm; 24-48 h: 75 a 150 mm; 48-72 h: 75 a 150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16.97 m; Δ24 h s/d</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36.54 m, Tapijulapa 17.68 m, Teapa 34.04 m y Puyacatengo 25.07 m. Deben vigilarse primero lluvia horaria y estaciones aguas arriba antes de esperar una respuesta en el Grijalva de Villahermosa. Pronóstico SMN Bajo Grijalva–Ríos de la Sierra: 0-24 h: 75 a 150 mm; 24-48 h: 50 a 75 mm; 48-72 h: 50 a 75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4.55 m; Macuspana 3.78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516.61</w:t>
            </w:r>
          </w:p>
        </w:tc>
        <w:tc>
          <w:tcPr>
            <w:tcW w:type="dxa" w:w="1752"/>
          </w:tcPr>
          <w:p>
            <w:r>
              <w:rPr>
                <w:rFonts w:ascii="Arial" w:hAnsi="Arial"/>
                <w:b w:val="0"/>
                <w:sz w:val="16"/>
              </w:rPr>
              <w:t>47.40</w:t>
            </w:r>
          </w:p>
        </w:tc>
        <w:tc>
          <w:tcPr>
            <w:tcW w:type="dxa" w:w="1752"/>
          </w:tcPr>
          <w:p>
            <w:r>
              <w:rPr>
                <w:rFonts w:ascii="Arial" w:hAnsi="Arial"/>
                <w:b w:val="0"/>
                <w:sz w:val="16"/>
              </w:rPr>
              <w:t>398.40</w:t>
            </w:r>
          </w:p>
        </w:tc>
        <w:tc>
          <w:tcPr>
            <w:tcW w:type="dxa" w:w="1752"/>
          </w:tcPr>
          <w:p>
            <w:r>
              <w:rPr>
                <w:rFonts w:ascii="Arial" w:hAnsi="Arial"/>
                <w:b w:val="0"/>
                <w:sz w:val="16"/>
              </w:rPr>
              <w:t>0.2</w:t>
            </w:r>
          </w:p>
        </w:tc>
        <w:tc>
          <w:tcPr>
            <w:tcW w:type="dxa" w:w="1752"/>
          </w:tcPr>
          <w:p>
            <w:r>
              <w:rPr>
                <w:rFonts w:ascii="Arial" w:hAnsi="Arial"/>
                <w:b w:val="0"/>
                <w:sz w:val="16"/>
              </w:rPr>
              <w:t>+0.03</w:t>
            </w:r>
          </w:p>
        </w:tc>
      </w:tr>
      <w:tr>
        <w:tc>
          <w:tcPr>
            <w:tcW w:type="dxa" w:w="1752"/>
          </w:tcPr>
          <w:p>
            <w:r>
              <w:rPr>
                <w:rFonts w:ascii="Arial" w:hAnsi="Arial"/>
                <w:b w:val="0"/>
                <w:sz w:val="16"/>
              </w:rPr>
              <w:t>Chicoasén</w:t>
            </w:r>
          </w:p>
        </w:tc>
        <w:tc>
          <w:tcPr>
            <w:tcW w:type="dxa" w:w="1752"/>
          </w:tcPr>
          <w:p>
            <w:r>
              <w:rPr>
                <w:rFonts w:ascii="Arial" w:hAnsi="Arial"/>
                <w:b w:val="0"/>
                <w:sz w:val="16"/>
              </w:rPr>
              <w:t>391.28</w:t>
            </w:r>
          </w:p>
        </w:tc>
        <w:tc>
          <w:tcPr>
            <w:tcW w:type="dxa" w:w="1752"/>
          </w:tcPr>
          <w:p>
            <w:r>
              <w:rPr>
                <w:rFonts w:ascii="Arial" w:hAnsi="Arial"/>
                <w:b w:val="0"/>
                <w:sz w:val="16"/>
              </w:rPr>
              <w:t>97.94</w:t>
            </w:r>
          </w:p>
        </w:tc>
        <w:tc>
          <w:tcPr>
            <w:tcW w:type="dxa" w:w="1752"/>
          </w:tcPr>
          <w:p>
            <w:r>
              <w:rPr>
                <w:rFonts w:ascii="Arial" w:hAnsi="Arial"/>
                <w:b w:val="0"/>
                <w:sz w:val="16"/>
              </w:rPr>
              <w:t>426.49</w:t>
            </w:r>
          </w:p>
        </w:tc>
        <w:tc>
          <w:tcPr>
            <w:tcW w:type="dxa" w:w="1752"/>
          </w:tcPr>
          <w:p>
            <w:r>
              <w:rPr>
                <w:rFonts w:ascii="Arial" w:hAnsi="Arial"/>
                <w:b w:val="0"/>
                <w:sz w:val="16"/>
              </w:rPr>
              <w:t>0.0</w:t>
            </w:r>
          </w:p>
        </w:tc>
        <w:tc>
          <w:tcPr>
            <w:tcW w:type="dxa" w:w="1752"/>
          </w:tcPr>
          <w:p>
            <w:r>
              <w:rPr>
                <w:rFonts w:ascii="Arial" w:hAnsi="Arial"/>
                <w:b w:val="0"/>
                <w:sz w:val="16"/>
              </w:rPr>
              <w:t>+0.02</w:t>
            </w:r>
          </w:p>
        </w:tc>
      </w:tr>
      <w:tr>
        <w:tc>
          <w:tcPr>
            <w:tcW w:type="dxa" w:w="1752"/>
          </w:tcPr>
          <w:p>
            <w:r>
              <w:rPr>
                <w:rFonts w:ascii="Arial" w:hAnsi="Arial"/>
                <w:b w:val="0"/>
                <w:sz w:val="16"/>
              </w:rPr>
              <w:t>Malpaso</w:t>
            </w:r>
          </w:p>
        </w:tc>
        <w:tc>
          <w:tcPr>
            <w:tcW w:type="dxa" w:w="1752"/>
          </w:tcPr>
          <w:p>
            <w:r>
              <w:rPr>
                <w:rFonts w:ascii="Arial" w:hAnsi="Arial"/>
                <w:b w:val="0"/>
                <w:sz w:val="16"/>
              </w:rPr>
              <w:t>164.12</w:t>
            </w:r>
          </w:p>
        </w:tc>
        <w:tc>
          <w:tcPr>
            <w:tcW w:type="dxa" w:w="1752"/>
          </w:tcPr>
          <w:p>
            <w:r>
              <w:rPr>
                <w:rFonts w:ascii="Arial" w:hAnsi="Arial"/>
                <w:b w:val="0"/>
                <w:sz w:val="16"/>
              </w:rPr>
              <w:t>59.40</w:t>
            </w:r>
          </w:p>
        </w:tc>
        <w:tc>
          <w:tcPr>
            <w:tcW w:type="dxa" w:w="1752"/>
          </w:tcPr>
          <w:p>
            <w:r>
              <w:rPr>
                <w:rFonts w:ascii="Arial" w:hAnsi="Arial"/>
                <w:b w:val="0"/>
                <w:sz w:val="16"/>
              </w:rPr>
              <w:t>294.52</w:t>
            </w:r>
          </w:p>
        </w:tc>
        <w:tc>
          <w:tcPr>
            <w:tcW w:type="dxa" w:w="1752"/>
          </w:tcPr>
          <w:p>
            <w:r>
              <w:rPr>
                <w:rFonts w:ascii="Arial" w:hAnsi="Arial"/>
                <w:b w:val="0"/>
                <w:sz w:val="16"/>
              </w:rPr>
              <w:t>1.5</w:t>
            </w:r>
          </w:p>
        </w:tc>
        <w:tc>
          <w:tcPr>
            <w:tcW w:type="dxa" w:w="1752"/>
          </w:tcPr>
          <w:p>
            <w:r>
              <w:rPr>
                <w:rFonts w:ascii="Arial" w:hAnsi="Arial"/>
                <w:b w:val="0"/>
                <w:sz w:val="16"/>
              </w:rPr>
              <w:t>+0.11</w:t>
            </w:r>
          </w:p>
        </w:tc>
      </w:tr>
      <w:tr>
        <w:tc>
          <w:tcPr>
            <w:tcW w:type="dxa" w:w="1752"/>
          </w:tcPr>
          <w:p>
            <w:r>
              <w:rPr>
                <w:rFonts w:ascii="Arial" w:hAnsi="Arial"/>
                <w:b w:val="0"/>
                <w:sz w:val="16"/>
              </w:rPr>
              <w:t>Peñitas</w:t>
            </w:r>
          </w:p>
        </w:tc>
        <w:tc>
          <w:tcPr>
            <w:tcW w:type="dxa" w:w="1752"/>
          </w:tcPr>
          <w:p>
            <w:r>
              <w:rPr>
                <w:rFonts w:ascii="Arial" w:hAnsi="Arial"/>
                <w:b w:val="0"/>
                <w:sz w:val="16"/>
              </w:rPr>
              <w:t>85.75</w:t>
            </w:r>
          </w:p>
        </w:tc>
        <w:tc>
          <w:tcPr>
            <w:tcW w:type="dxa" w:w="1752"/>
          </w:tcPr>
          <w:p>
            <w:r>
              <w:rPr>
                <w:rFonts w:ascii="Arial" w:hAnsi="Arial"/>
                <w:b w:val="0"/>
                <w:sz w:val="16"/>
              </w:rPr>
              <w:t>81.73</w:t>
            </w:r>
          </w:p>
        </w:tc>
        <w:tc>
          <w:tcPr>
            <w:tcW w:type="dxa" w:w="1752"/>
          </w:tcPr>
          <w:p>
            <w:r>
              <w:rPr>
                <w:rFonts w:ascii="Arial" w:hAnsi="Arial"/>
                <w:b w:val="0"/>
                <w:sz w:val="16"/>
              </w:rPr>
              <w:t>526.67</w:t>
            </w:r>
          </w:p>
        </w:tc>
        <w:tc>
          <w:tcPr>
            <w:tcW w:type="dxa" w:w="1752"/>
          </w:tcPr>
          <w:p>
            <w:r>
              <w:rPr>
                <w:rFonts w:ascii="Arial" w:hAnsi="Arial"/>
                <w:b w:val="0"/>
                <w:sz w:val="16"/>
              </w:rPr>
              <w:t>0.0</w:t>
            </w:r>
          </w:p>
        </w:tc>
        <w:tc>
          <w:tcPr>
            <w:tcW w:type="dxa" w:w="1752"/>
          </w:tcPr>
          <w:p>
            <w:r>
              <w:rPr>
                <w:rFonts w:ascii="Arial" w:hAnsi="Arial"/>
                <w:b w:val="0"/>
                <w:sz w:val="16"/>
              </w:rPr>
              <w:t>-0.20</w:t>
            </w:r>
          </w:p>
        </w:tc>
      </w:tr>
    </w:tbl>
    <w:p>
      <w:r>
        <w:rPr>
          <w:rFonts w:ascii="Arial" w:hAnsi="Arial"/>
          <w:b/>
          <w:color w:val="1F4E79"/>
          <w:sz w:val="24"/>
        </w:rPr>
        <w:t>5. Samaria, Carrizal y Mezcalapa</w:t>
      </w:r>
    </w:p>
    <w:p>
      <w:r>
        <w:rPr>
          <w:rFonts w:ascii="Arial" w:hAnsi="Arial"/>
          <w:sz w:val="19"/>
        </w:rPr>
        <w:t>Samaria registra 11.68 m y González/Carrizal 3.60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11.68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3.60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08:36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MAYA BERRIOZABAL PCIVILCHIAPAS 100.8 mm/24 h</w:t>
      </w:r>
    </w:p>
    <w:p>
      <w:pPr>
        <w:pStyle w:val="ListBullet"/>
      </w:pPr>
      <w:r>
        <w:rPr>
          <w:rFonts w:ascii="Arial" w:hAnsi="Arial"/>
          <w:sz w:val="19"/>
        </w:rPr>
        <w:t>WeatherLink: Cipat Chiapas 82.0 mm/24 h</w:t>
      </w:r>
    </w:p>
    <w:p>
      <w:pPr>
        <w:pStyle w:val="ListBullet"/>
      </w:pPr>
      <w:r>
        <w:rPr>
          <w:rFonts w:ascii="Arial" w:hAnsi="Arial"/>
          <w:sz w:val="19"/>
        </w:rPr>
        <w:t>WeatherLink: AMATÁN PCIVILCHIAPAS 42.2 mm/24 h</w:t>
      </w:r>
    </w:p>
    <w:p>
      <w:pPr>
        <w:pStyle w:val="ListBullet"/>
      </w:pPr>
      <w:r>
        <w:rPr>
          <w:rFonts w:ascii="Arial" w:hAnsi="Arial"/>
          <w:sz w:val="19"/>
        </w:rPr>
        <w:t>WeatherLink: BERRIOZÁBAL PCIVILCHIAPAS 34.6 mm/24 h</w:t>
      </w:r>
    </w:p>
    <w:p>
      <w:pPr>
        <w:pStyle w:val="ListBullet"/>
      </w:pPr>
      <w:r>
        <w:rPr>
          <w:rFonts w:ascii="Arial" w:hAnsi="Arial"/>
          <w:sz w:val="19"/>
        </w:rPr>
        <w:t>WeatherLink: SALTO DE AGUA PCIVILCHIAPAS 30.0 mm/24 h</w:t>
      </w:r>
    </w:p>
    <w:p>
      <w:pPr>
        <w:pStyle w:val="ListBullet"/>
      </w:pPr>
      <w:r>
        <w:rPr>
          <w:rFonts w:ascii="Arial" w:hAnsi="Arial"/>
          <w:sz w:val="19"/>
        </w:rPr>
        <w:t>CONAGUA: BOCA DEL CERRO 57.0 mm/24 h</w:t>
      </w:r>
    </w:p>
    <w:p>
      <w:pPr>
        <w:pStyle w:val="ListBullet"/>
      </w:pPr>
      <w:r>
        <w:rPr>
          <w:rFonts w:ascii="Arial" w:hAnsi="Arial"/>
          <w:sz w:val="19"/>
        </w:rPr>
        <w:t>CONAGUA: SALTO DE AGUA 39.1 mm/24 h</w:t>
      </w:r>
    </w:p>
    <w:p>
      <w:pPr>
        <w:pStyle w:val="ListBullet"/>
      </w:pPr>
      <w:r>
        <w:rPr>
          <w:rFonts w:ascii="Arial" w:hAnsi="Arial"/>
          <w:sz w:val="19"/>
        </w:rPr>
        <w:t>CONAGUA: POBLADO C-11 35.3 mm/24 h</w:t>
      </w:r>
    </w:p>
    <w:p>
      <w:pPr>
        <w:pStyle w:val="ListBullet"/>
      </w:pPr>
      <w:r>
        <w:rPr>
          <w:rFonts w:ascii="Arial" w:hAnsi="Arial"/>
          <w:sz w:val="19"/>
        </w:rPr>
        <w:t>CONAGUA: SAN PEDRO NICHTACULUM 29.5 mm/24 h</w:t>
      </w:r>
    </w:p>
    <w:p>
      <w:pPr>
        <w:pStyle w:val="ListBullet"/>
      </w:pPr>
      <w:r>
        <w:rPr>
          <w:rFonts w:ascii="Arial" w:hAnsi="Arial"/>
          <w:sz w:val="19"/>
        </w:rPr>
        <w:t>CONAGUA: SAN JOAQUÍN 17.1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2026-10-07T08:31:37-06:00</w:t>
            </w:r>
          </w:p>
        </w:tc>
        <w:tc>
          <w:tcPr>
            <w:tcW w:type="dxa" w:w="2628"/>
          </w:tcPr>
          <w:p>
            <w:r>
              <w:rPr>
                <w:rFonts w:ascii="Arial" w:hAnsi="Arial"/>
                <w:b w:val="0"/>
                <w:sz w:val="16"/>
              </w:rPr>
              <w:t>2026-10-07T15:57:59.223342-06:00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2026-10-07T09:58:59-06:00</w:t>
            </w:r>
          </w:p>
        </w:tc>
        <w:tc>
          <w:tcPr>
            <w:tcW w:type="dxa" w:w="2628"/>
          </w:tcPr>
          <w:p>
            <w:r>
              <w:rPr>
                <w:rFonts w:ascii="Arial" w:hAnsi="Arial"/>
                <w:b w:val="0"/>
                <w:sz w:val="16"/>
              </w:rPr>
              <w:t>2026-10-07T15:57:59.223342-06:00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4.40 m · caudal 813.15 m³/s.</w:t>
      </w:r>
    </w:p>
    <w:p>
      <w:pPr>
        <w:pStyle w:val="ListBullet"/>
      </w:pPr>
      <w:r>
        <w:rPr>
          <w:rFonts w:ascii="Arial" w:hAnsi="Arial"/>
          <w:sz w:val="19"/>
        </w:rPr>
        <w:t>El Tigre–Usumacinta: nivel 11.07 m · caudal 3321.65 m³/s.</w:t>
      </w:r>
    </w:p>
    <w:p>
      <w:pPr>
        <w:pStyle w:val="ListBullet"/>
      </w:pPr>
      <w:r>
        <w:rPr>
          <w:rFonts w:ascii="Arial" w:hAnsi="Arial"/>
          <w:sz w:val="19"/>
        </w:rPr>
        <w:t>Cadena de seguimiento en Tabasco: Boca del Cerro: 16.97 m → Balancán: s/d → Emiliano Zapata: s/d → Jonuta: s/d → Centla/Tres Brazos: s/d.</w:t>
      </w:r>
    </w:p>
    <w:p>
      <w:pPr>
        <w:pStyle w:val="ListBullet"/>
      </w:pPr>
      <w:r>
        <w:rPr>
          <w:rFonts w:ascii="Arial" w:hAnsi="Arial"/>
          <w:sz w:val="19"/>
        </w:rPr>
        <w:t>Evolución El Tigre: Δ nivel +0.100 m en 6.0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