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2026-09-15 14:11</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15 de septiembre de 2026</w:t>
      </w:r>
    </w:p>
    <w:p>
      <w:r>
        <w:rPr>
          <w:rFonts w:ascii="Arial" w:hAnsi="Arial"/>
          <w:b/>
          <w:color w:val="1F4E79"/>
          <w:sz w:val="24"/>
        </w:rPr>
        <w:t>SÍNTESIS GENERAL</w:t>
      </w:r>
    </w:p>
    <w:p>
      <w:r>
        <w:rPr>
          <w:rFonts w:ascii="Arial" w:hAnsi="Arial"/>
          <w:sz w:val="19"/>
        </w:rPr>
        <w:t>Al corte de las 14:11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Porvenir +0.10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12.12 m, con variación de 24 h -0.16 m. En la cuenca alta de Guatemala, El Tigre reporta 5.15 m y 747.7 m³/s; El Porvenir/La Pasión 1.49 m y 140.7 m³/s. La secuencia de vigilancia se mantiene Guatemala → Lacantún → Boca del Cerro/Tenosique → Balancán → Emiliano Zapata → Jonuta → Centla. Pronóstico SMN para Usumacinta: 0-24 h: 5 a 25 mm; 24-48 h: 25 a 50 mm; 48-72 h: 25 a 50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5.15 m; 747.7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1.6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12.12 m; Δ24 h -0.16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33.87 m, Tapijulapa 15.72 m, Teapa 33.71 m y Puyacatengo 25.00 m. Deben vigilarse primero lluvia horaria y estaciones aguas arriba antes de esperar una respuesta en el Grijalva de Villahermosa. Pronóstico SMN Bajo Grijalva–Ríos de la Sierra: 0-24 h: 5 a 25 mm; 24-48 h: 25 a 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2.12 m; Macuspana 1.08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516.78</w:t>
            </w:r>
          </w:p>
        </w:tc>
        <w:tc>
          <w:tcPr>
            <w:tcW w:type="dxa" w:w="1752"/>
          </w:tcPr>
          <w:p>
            <w:r>
              <w:rPr>
                <w:rFonts w:ascii="Arial" w:hAnsi="Arial"/>
                <w:b w:val="0"/>
                <w:sz w:val="16"/>
              </w:rPr>
              <w:t>48.00</w:t>
            </w:r>
          </w:p>
        </w:tc>
        <w:tc>
          <w:tcPr>
            <w:tcW w:type="dxa" w:w="1752"/>
          </w:tcPr>
          <w:p>
            <w:r>
              <w:rPr>
                <w:rFonts w:ascii="Arial" w:hAnsi="Arial"/>
                <w:b w:val="0"/>
                <w:sz w:val="16"/>
              </w:rPr>
              <w:t>229.17</w:t>
            </w:r>
          </w:p>
        </w:tc>
        <w:tc>
          <w:tcPr>
            <w:tcW w:type="dxa" w:w="1752"/>
          </w:tcPr>
          <w:p>
            <w:r>
              <w:rPr>
                <w:rFonts w:ascii="Arial" w:hAnsi="Arial"/>
                <w:b w:val="0"/>
                <w:sz w:val="16"/>
              </w:rPr>
              <w:t>0.0</w:t>
            </w:r>
          </w:p>
        </w:tc>
        <w:tc>
          <w:tcPr>
            <w:tcW w:type="dxa" w:w="1752"/>
          </w:tcPr>
          <w:p>
            <w:r>
              <w:rPr>
                <w:rFonts w:ascii="Arial" w:hAnsi="Arial"/>
                <w:b w:val="0"/>
                <w:sz w:val="16"/>
              </w:rPr>
              <w:t>-0.05</w:t>
            </w:r>
          </w:p>
        </w:tc>
      </w:tr>
      <w:tr>
        <w:tc>
          <w:tcPr>
            <w:tcW w:type="dxa" w:w="1752"/>
          </w:tcPr>
          <w:p>
            <w:r>
              <w:rPr>
                <w:rFonts w:ascii="Arial" w:hAnsi="Arial"/>
                <w:b w:val="0"/>
                <w:sz w:val="16"/>
              </w:rPr>
              <w:t>Chicoasén</w:t>
            </w:r>
          </w:p>
        </w:tc>
        <w:tc>
          <w:tcPr>
            <w:tcW w:type="dxa" w:w="1752"/>
          </w:tcPr>
          <w:p>
            <w:r>
              <w:rPr>
                <w:rFonts w:ascii="Arial" w:hAnsi="Arial"/>
                <w:b w:val="0"/>
                <w:sz w:val="16"/>
              </w:rPr>
              <w:t>391.00</w:t>
            </w:r>
          </w:p>
        </w:tc>
        <w:tc>
          <w:tcPr>
            <w:tcW w:type="dxa" w:w="1752"/>
          </w:tcPr>
          <w:p>
            <w:r>
              <w:rPr>
                <w:rFonts w:ascii="Arial" w:hAnsi="Arial"/>
                <w:b w:val="0"/>
                <w:sz w:val="16"/>
              </w:rPr>
              <w:t>97.00</w:t>
            </w:r>
          </w:p>
        </w:tc>
        <w:tc>
          <w:tcPr>
            <w:tcW w:type="dxa" w:w="1752"/>
          </w:tcPr>
          <w:p>
            <w:r>
              <w:rPr>
                <w:rFonts w:ascii="Arial" w:hAnsi="Arial"/>
                <w:b w:val="0"/>
                <w:sz w:val="16"/>
              </w:rPr>
              <w:t>174.35</w:t>
            </w:r>
          </w:p>
        </w:tc>
        <w:tc>
          <w:tcPr>
            <w:tcW w:type="dxa" w:w="1752"/>
          </w:tcPr>
          <w:p>
            <w:r>
              <w:rPr>
                <w:rFonts w:ascii="Arial" w:hAnsi="Arial"/>
                <w:b w:val="0"/>
                <w:sz w:val="16"/>
              </w:rPr>
              <w:t>0.0</w:t>
            </w:r>
          </w:p>
        </w:tc>
        <w:tc>
          <w:tcPr>
            <w:tcW w:type="dxa" w:w="1752"/>
          </w:tcPr>
          <w:p>
            <w:r>
              <w:rPr>
                <w:rFonts w:ascii="Arial" w:hAnsi="Arial"/>
                <w:b w:val="0"/>
                <w:sz w:val="16"/>
              </w:rPr>
              <w:t>-0.05</w:t>
            </w:r>
          </w:p>
        </w:tc>
      </w:tr>
      <w:tr>
        <w:tc>
          <w:tcPr>
            <w:tcW w:type="dxa" w:w="1752"/>
          </w:tcPr>
          <w:p>
            <w:r>
              <w:rPr>
                <w:rFonts w:ascii="Arial" w:hAnsi="Arial"/>
                <w:b w:val="0"/>
                <w:sz w:val="16"/>
              </w:rPr>
              <w:t>Malpaso</w:t>
            </w:r>
          </w:p>
        </w:tc>
        <w:tc>
          <w:tcPr>
            <w:tcW w:type="dxa" w:w="1752"/>
          </w:tcPr>
          <w:p>
            <w:r>
              <w:rPr>
                <w:rFonts w:ascii="Arial" w:hAnsi="Arial"/>
                <w:b w:val="0"/>
                <w:sz w:val="16"/>
              </w:rPr>
              <w:t>163.10</w:t>
            </w:r>
          </w:p>
        </w:tc>
        <w:tc>
          <w:tcPr>
            <w:tcW w:type="dxa" w:w="1752"/>
          </w:tcPr>
          <w:p>
            <w:r>
              <w:rPr>
                <w:rFonts w:ascii="Arial" w:hAnsi="Arial"/>
                <w:b w:val="0"/>
                <w:sz w:val="16"/>
              </w:rPr>
              <w:t>57.00</w:t>
            </w:r>
          </w:p>
        </w:tc>
        <w:tc>
          <w:tcPr>
            <w:tcW w:type="dxa" w:w="1752"/>
          </w:tcPr>
          <w:p>
            <w:r>
              <w:rPr>
                <w:rFonts w:ascii="Arial" w:hAnsi="Arial"/>
                <w:b w:val="0"/>
                <w:sz w:val="16"/>
              </w:rPr>
              <w:t>395.44</w:t>
            </w:r>
          </w:p>
        </w:tc>
        <w:tc>
          <w:tcPr>
            <w:tcW w:type="dxa" w:w="1752"/>
          </w:tcPr>
          <w:p>
            <w:r>
              <w:rPr>
                <w:rFonts w:ascii="Arial" w:hAnsi="Arial"/>
                <w:b w:val="0"/>
                <w:sz w:val="16"/>
              </w:rPr>
              <w:t>0.0</w:t>
            </w:r>
          </w:p>
        </w:tc>
        <w:tc>
          <w:tcPr>
            <w:tcW w:type="dxa" w:w="1752"/>
          </w:tcPr>
          <w:p>
            <w:r>
              <w:rPr>
                <w:rFonts w:ascii="Arial" w:hAnsi="Arial"/>
                <w:b w:val="0"/>
                <w:sz w:val="16"/>
              </w:rPr>
              <w:t>-0.10</w:t>
            </w:r>
          </w:p>
        </w:tc>
      </w:tr>
      <w:tr>
        <w:tc>
          <w:tcPr>
            <w:tcW w:type="dxa" w:w="1752"/>
          </w:tcPr>
          <w:p>
            <w:r>
              <w:rPr>
                <w:rFonts w:ascii="Arial" w:hAnsi="Arial"/>
                <w:b w:val="0"/>
                <w:sz w:val="16"/>
              </w:rPr>
              <w:t>Peñitas</w:t>
            </w:r>
          </w:p>
        </w:tc>
        <w:tc>
          <w:tcPr>
            <w:tcW w:type="dxa" w:w="1752"/>
          </w:tcPr>
          <w:p>
            <w:r>
              <w:rPr>
                <w:rFonts w:ascii="Arial" w:hAnsi="Arial"/>
                <w:b w:val="0"/>
                <w:sz w:val="16"/>
              </w:rPr>
              <w:t>85.87</w:t>
            </w:r>
          </w:p>
        </w:tc>
        <w:tc>
          <w:tcPr>
            <w:tcW w:type="dxa" w:w="1752"/>
          </w:tcPr>
          <w:p>
            <w:r>
              <w:rPr>
                <w:rFonts w:ascii="Arial" w:hAnsi="Arial"/>
                <w:b w:val="0"/>
                <w:sz w:val="16"/>
              </w:rPr>
              <w:t>84.00</w:t>
            </w:r>
          </w:p>
        </w:tc>
        <w:tc>
          <w:tcPr>
            <w:tcW w:type="dxa" w:w="1752"/>
          </w:tcPr>
          <w:p>
            <w:r>
              <w:rPr>
                <w:rFonts w:ascii="Arial" w:hAnsi="Arial"/>
                <w:b w:val="0"/>
                <w:sz w:val="16"/>
              </w:rPr>
              <w:t>379.58</w:t>
            </w:r>
          </w:p>
        </w:tc>
        <w:tc>
          <w:tcPr>
            <w:tcW w:type="dxa" w:w="1752"/>
          </w:tcPr>
          <w:p>
            <w:r>
              <w:rPr>
                <w:rFonts w:ascii="Arial" w:hAnsi="Arial"/>
                <w:b w:val="0"/>
                <w:sz w:val="16"/>
              </w:rPr>
              <w:t>0.0</w:t>
            </w:r>
          </w:p>
        </w:tc>
        <w:tc>
          <w:tcPr>
            <w:tcW w:type="dxa" w:w="1752"/>
          </w:tcPr>
          <w:p>
            <w:r>
              <w:rPr>
                <w:rFonts w:ascii="Arial" w:hAnsi="Arial"/>
                <w:b w:val="0"/>
                <w:sz w:val="16"/>
              </w:rPr>
              <w:t>-0.05</w:t>
            </w:r>
          </w:p>
        </w:tc>
      </w:tr>
    </w:tbl>
    <w:p>
      <w:r>
        <w:rPr>
          <w:rFonts w:ascii="Arial" w:hAnsi="Arial"/>
          <w:b/>
          <w:color w:val="1F4E79"/>
          <w:sz w:val="24"/>
        </w:rPr>
        <w:t>5. Samaria, Carrizal y Mezcalapa</w:t>
      </w:r>
    </w:p>
    <w:p>
      <w:r>
        <w:rPr>
          <w:rFonts w:ascii="Arial" w:hAnsi="Arial"/>
          <w:sz w:val="19"/>
        </w:rPr>
        <w:t>Samaria registra 11.44 m y González/Carrizal 3.41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11.44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3.41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14:11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PICHUCALCO PCIVILCHIAPAS 1.2 mm/24 h</w:t>
      </w:r>
    </w:p>
    <w:p>
      <w:pPr>
        <w:pStyle w:val="ListBullet"/>
      </w:pPr>
      <w:r>
        <w:rPr>
          <w:rFonts w:ascii="Arial" w:hAnsi="Arial"/>
          <w:sz w:val="19"/>
        </w:rPr>
        <w:t>WeatherLink: SEMAR E.I.O. Cd. del Carmen. 0.3 mm/24 h</w:t>
      </w:r>
    </w:p>
    <w:p>
      <w:pPr>
        <w:pStyle w:val="ListBullet"/>
      </w:pPr>
      <w:r>
        <w:rPr>
          <w:rFonts w:ascii="Arial" w:hAnsi="Arial"/>
          <w:sz w:val="19"/>
        </w:rPr>
        <w:t>WeatherLink: Yaxhá - INSIVUMEH PETEN 0.0 mm/24 h</w:t>
      </w:r>
    </w:p>
    <w:p>
      <w:pPr>
        <w:pStyle w:val="ListBullet"/>
      </w:pPr>
      <w:r>
        <w:rPr>
          <w:rFonts w:ascii="Arial" w:hAnsi="Arial"/>
          <w:sz w:val="19"/>
        </w:rPr>
        <w:t>WeatherLink: Sinai 0.0 mm/24 h</w:t>
      </w:r>
    </w:p>
    <w:p>
      <w:pPr>
        <w:pStyle w:val="ListBullet"/>
      </w:pPr>
      <w:r>
        <w:rPr>
          <w:rFonts w:ascii="Arial" w:hAnsi="Arial"/>
          <w:sz w:val="19"/>
        </w:rPr>
        <w:t>WeatherLink: SEMAR Capitanía de Pto. Alvarado, Ver. 0.0 mm/24 h</w:t>
      </w:r>
    </w:p>
    <w:p>
      <w:pPr>
        <w:pStyle w:val="ListBullet"/>
      </w:pPr>
      <w:r>
        <w:rPr>
          <w:rFonts w:ascii="Arial" w:hAnsi="Arial"/>
          <w:sz w:val="19"/>
        </w:rPr>
        <w:t>CONAGUA: EMILIANO ZAPATA (CHABLE) 9.0 mm/24 h</w:t>
      </w:r>
    </w:p>
    <w:p>
      <w:pPr>
        <w:pStyle w:val="ListBullet"/>
      </w:pPr>
      <w:r>
        <w:rPr>
          <w:rFonts w:ascii="Arial" w:hAnsi="Arial"/>
          <w:sz w:val="19"/>
        </w:rPr>
        <w:t>CONAGUA: JONUTA (CIUDAD) 0.9 mm/24 h</w:t>
      </w:r>
    </w:p>
    <w:p>
      <w:pPr>
        <w:pStyle w:val="ListBullet"/>
      </w:pPr>
      <w:r>
        <w:rPr>
          <w:rFonts w:ascii="Arial" w:hAnsi="Arial"/>
          <w:sz w:val="19"/>
        </w:rPr>
        <w:t>CONAGUA: JONUTA 2 (PUENTE) 0.2 mm/24 h</w:t>
      </w:r>
    </w:p>
    <w:p>
      <w:pPr>
        <w:pStyle w:val="ListBullet"/>
      </w:pPr>
      <w:r>
        <w:rPr>
          <w:rFonts w:ascii="Arial" w:hAnsi="Arial"/>
          <w:sz w:val="19"/>
        </w:rPr>
        <w:t>CONAGUA: ZACAJITIC 0.0 mm/24 h</w:t>
      </w:r>
    </w:p>
    <w:p>
      <w:pPr>
        <w:pStyle w:val="ListBullet"/>
      </w:pPr>
      <w:r>
        <w:rPr>
          <w:rFonts w:ascii="Arial" w:hAnsi="Arial"/>
          <w:sz w:val="19"/>
        </w:rPr>
        <w:t>CONAGUA: VÍA CORTA 0.0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2026-09-15T12:13:59-06:00</w:t>
            </w:r>
          </w:p>
        </w:tc>
        <w:tc>
          <w:tcPr>
            <w:tcW w:type="dxa" w:w="2628"/>
          </w:tcPr>
          <w:p>
            <w:r>
              <w:rPr>
                <w:rFonts w:ascii="Arial" w:hAnsi="Arial"/>
                <w:b w:val="0"/>
                <w:sz w:val="16"/>
              </w:rPr>
              <w:t>2026-09-15T13:53:38.827044-06:00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2026-09-15T11:33:49-06:00</w:t>
            </w:r>
          </w:p>
        </w:tc>
        <w:tc>
          <w:tcPr>
            <w:tcW w:type="dxa" w:w="2628"/>
          </w:tcPr>
          <w:p>
            <w:r>
              <w:rPr>
                <w:rFonts w:ascii="Arial" w:hAnsi="Arial"/>
                <w:b w:val="0"/>
                <w:sz w:val="16"/>
              </w:rPr>
              <w:t>2026-09-15T13:53:38.827044-06:00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1.49 m · caudal 140.66 m³/s.</w:t>
      </w:r>
    </w:p>
    <w:p>
      <w:pPr>
        <w:pStyle w:val="ListBullet"/>
      </w:pPr>
      <w:r>
        <w:rPr>
          <w:rFonts w:ascii="Arial" w:hAnsi="Arial"/>
          <w:sz w:val="19"/>
        </w:rPr>
        <w:t>El Tigre–Usumacinta: nivel 5.15 m · caudal 747.74 m³/s.</w:t>
      </w:r>
    </w:p>
    <w:p>
      <w:pPr>
        <w:pStyle w:val="ListBullet"/>
      </w:pPr>
      <w:r>
        <w:rPr>
          <w:rFonts w:ascii="Arial" w:hAnsi="Arial"/>
          <w:sz w:val="19"/>
        </w:rPr>
        <w:t>Cadena de seguimiento en Tabasco: Boca del Cerro: 12.12 m · Δ24 h -0.16 m → Balancán: s/d → Emiliano Zapata: s/d → Jonuta: s/d → Centla/Tres Brazos: s/d.</w:t>
      </w:r>
    </w:p>
    <w:p>
      <w:pPr>
        <w:pStyle w:val="ListBullet"/>
      </w:pPr>
      <w:r>
        <w:rPr>
          <w:rFonts w:ascii="Arial" w:hAnsi="Arial"/>
          <w:sz w:val="19"/>
        </w:rPr>
        <w:t>Evolución El Tigre: Δ nivel -0.010 m en 12.0 h; tendencia estable.</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