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25/09/2026 16:00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2026-09-25T16:00:00-06:00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2026-09-25T16:00:00-06:00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5.02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2026-09-25T16:00:00-06:00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7.35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2026-09-25T14:00:00-06:00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34.55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34.82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2026-09-25T14:00:00-06:00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4.25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2026-09-25T16:00:00-06:00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22.10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23.05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-0.95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2026-09-25T16:00:00-06:00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2.37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4.76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+0.36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2026-09-25T16:00:00-06:00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1.82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5.18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2026-09-25T16:00:00-06:00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2026-09-25T16:00:00-06:00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2026-09-25T16:00:00-06:00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7.35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-0.83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2026-09-25T16:00:00-06:00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6.29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5.77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2026-09-25T16:00:00-06:00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2026-09-25T16:00:00-06:00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13.84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13.42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+0.42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2026-09-25T16:00:00-06:00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2.82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5.02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7.35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-10.87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4.25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-5.95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1.02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+2.54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+2.72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2.37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5.18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-5.51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3.63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+3.07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+4.02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3.64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+1.58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+3.58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3.56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-6.49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0.48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-7.73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