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4E79"/>
          <w:sz w:val="32"/>
          <w:szCs w:val="32"/>
        </w:rPr>
        <w:t xml:space="preserve">KL UNIVERSITY</w:t>
      </w:r>
    </w:p>
    <w:p>
      <w:pPr>
        <w:spacing w:after="800"/>
        <w:jc w:val="center"/>
      </w:pPr>
      <w:r>
        <w:rPr>
          <w:color w:val="666666"/>
          <w:sz w:val="24"/>
          <w:szCs w:val="24"/>
        </w:rPr>
        <w:t xml:space="preserve">Department of Computer Science and Engineering</w:t>
      </w:r>
    </w:p>
    <w:p>
      <w:pPr>
        <w:spacing w:after="400"/>
        <w:jc w:val="center"/>
      </w:pPr>
      <w:r>
        <w:rPr>
          <w:b/>
          <w:bCs/>
          <w:color w:val="333333"/>
          <w:sz w:val="26"/>
          <w:szCs w:val="26"/>
        </w:rPr>
        <w:t xml:space="preserve">PROJECT DOCUMENTATION</w:t>
      </w:r>
    </w:p>
    <w:p>
      <w:pPr>
        <w:spacing w:after="200" w:line="360"/>
        <w:jc w:val="center"/>
      </w:pPr>
      <w:r>
        <w:rPr>
          <w:b/>
          <w:bCs/>
          <w:color w:val="1F4E79"/>
          <w:sz w:val="34"/>
          <w:szCs w:val="34"/>
        </w:rPr>
        <w:t xml:space="preserve">Azure Managed Identity Adoption Across an Application Estate</w:t>
      </w:r>
    </w:p>
    <w:p>
      <w:pPr>
        <w:spacing w:after="900"/>
        <w:jc w:val="center"/>
      </w:pPr>
      <w:r>
        <w:rPr>
          <w:i/>
          <w:iCs/>
          <w:color w:val="666666"/>
          <w:sz w:val="24"/>
          <w:szCs w:val="24"/>
        </w:rPr>
        <w:t xml:space="preserve">Replacing Service Principal Secrets with Secretless Azure Authentication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tblGrid>
      <w:tr>
        <w:tc>
          <w:tcPr>
            <w:tcW w:type="dxa" w:w="3200"/>
            <w:shd w:fill="F2F2F2" w:val="clear"/>
            <w:tcMar>
              <w:top w:type="dxa" w:w="100"/>
              <w:left w:type="dxa" w:w="150"/>
              <w:bottom w:type="dxa" w:w="100"/>
              <w:right w:type="dxa" w:w="150"/>
            </w:tcMar>
          </w:tcPr>
          <w:p>
            <w:r>
              <w:rPr>
                <w:b/>
                <w:bCs/>
                <w:color w:val="1F4E79"/>
                <w:sz w:val="20"/>
                <w:szCs w:val="20"/>
              </w:rPr>
              <w:t xml:space="preserve">Project Code</w:t>
            </w:r>
          </w:p>
        </w:tc>
        <w:tc>
          <w:tcPr>
            <w:tcW w:type="dxa" w:w="3800"/>
            <w:tcMar>
              <w:top w:type="dxa" w:w="100"/>
              <w:left w:type="dxa" w:w="150"/>
              <w:bottom w:type="dxa" w:w="100"/>
              <w:right w:type="dxa" w:w="150"/>
            </w:tcMar>
          </w:tcPr>
          <w:p>
            <w:r>
              <w:rPr>
                <w:color w:val="333333"/>
                <w:sz w:val="20"/>
                <w:szCs w:val="20"/>
              </w:rPr>
              <w:t xml:space="preserve">24CC3046-P030</w:t>
            </w:r>
          </w:p>
        </w:tc>
      </w:tr>
      <w:tr>
        <w:tc>
          <w:tcPr>
            <w:tcW w:type="dxa" w:w="3200"/>
            <w:shd w:fill="F2F2F2" w:val="clear"/>
            <w:tcMar>
              <w:top w:type="dxa" w:w="100"/>
              <w:left w:type="dxa" w:w="150"/>
              <w:bottom w:type="dxa" w:w="100"/>
              <w:right w:type="dxa" w:w="150"/>
            </w:tcMar>
          </w:tcPr>
          <w:p>
            <w:r>
              <w:rPr>
                <w:b/>
                <w:bCs/>
                <w:color w:val="1F4E79"/>
                <w:sz w:val="20"/>
                <w:szCs w:val="20"/>
              </w:rPr>
              <w:t xml:space="preserve">Team</w:t>
            </w:r>
          </w:p>
        </w:tc>
        <w:tc>
          <w:tcPr>
            <w:tcW w:type="dxa" w:w="3800"/>
            <w:tcMar>
              <w:top w:type="dxa" w:w="100"/>
              <w:left w:type="dxa" w:w="150"/>
              <w:bottom w:type="dxa" w:w="100"/>
              <w:right w:type="dxa" w:w="150"/>
            </w:tcMar>
          </w:tcPr>
          <w:p>
            <w:r>
              <w:rPr>
                <w:color w:val="333333"/>
                <w:sz w:val="20"/>
                <w:szCs w:val="20"/>
              </w:rPr>
              <w:t xml:space="preserve">T234 (P-030)</w:t>
            </w:r>
          </w:p>
        </w:tc>
      </w:tr>
      <w:tr>
        <w:tc>
          <w:tcPr>
            <w:tcW w:type="dxa" w:w="3200"/>
            <w:shd w:fill="F2F2F2" w:val="clear"/>
            <w:tcMar>
              <w:top w:type="dxa" w:w="100"/>
              <w:left w:type="dxa" w:w="150"/>
              <w:bottom w:type="dxa" w:w="100"/>
              <w:right w:type="dxa" w:w="150"/>
            </w:tcMar>
          </w:tcPr>
          <w:p>
            <w:r>
              <w:rPr>
                <w:b/>
                <w:bCs/>
                <w:color w:val="1F4E79"/>
                <w:sz w:val="20"/>
                <w:szCs w:val="20"/>
              </w:rPr>
              <w:t xml:space="preserve">Department</w:t>
            </w:r>
          </w:p>
        </w:tc>
        <w:tc>
          <w:tcPr>
            <w:tcW w:type="dxa" w:w="3800"/>
            <w:tcMar>
              <w:top w:type="dxa" w:w="100"/>
              <w:left w:type="dxa" w:w="150"/>
              <w:bottom w:type="dxa" w:w="100"/>
              <w:right w:type="dxa" w:w="150"/>
            </w:tcMar>
          </w:tcPr>
          <w:p>
            <w:r>
              <w:rPr>
                <w:color w:val="333333"/>
                <w:sz w:val="20"/>
                <w:szCs w:val="20"/>
              </w:rPr>
              <w:t xml:space="preserve">Computer Science and Engineering</w:t>
            </w:r>
          </w:p>
        </w:tc>
      </w:tr>
      <w:tr>
        <w:tc>
          <w:tcPr>
            <w:tcW w:type="dxa" w:w="3200"/>
            <w:shd w:fill="F2F2F2" w:val="clear"/>
            <w:tcMar>
              <w:top w:type="dxa" w:w="100"/>
              <w:left w:type="dxa" w:w="150"/>
              <w:bottom w:type="dxa" w:w="100"/>
              <w:right w:type="dxa" w:w="150"/>
            </w:tcMar>
          </w:tcPr>
          <w:p>
            <w:r>
              <w:rPr>
                <w:b/>
                <w:bCs/>
                <w:color w:val="1F4E79"/>
                <w:sz w:val="20"/>
                <w:szCs w:val="20"/>
              </w:rPr>
              <w:t xml:space="preserve">Institution</w:t>
            </w:r>
          </w:p>
        </w:tc>
        <w:tc>
          <w:tcPr>
            <w:tcW w:type="dxa" w:w="3800"/>
            <w:tcMar>
              <w:top w:type="dxa" w:w="100"/>
              <w:left w:type="dxa" w:w="150"/>
              <w:bottom w:type="dxa" w:w="100"/>
              <w:right w:type="dxa" w:w="150"/>
            </w:tcMar>
          </w:tcPr>
          <w:p>
            <w:r>
              <w:rPr>
                <w:color w:val="333333"/>
                <w:sz w:val="20"/>
                <w:szCs w:val="20"/>
              </w:rPr>
              <w:t xml:space="preserve">KL University</w:t>
            </w:r>
          </w:p>
        </w:tc>
      </w:tr>
      <w:tr>
        <w:tc>
          <w:tcPr>
            <w:tcW w:type="dxa" w:w="3200"/>
            <w:shd w:fill="F2F2F2" w:val="clear"/>
            <w:tcMar>
              <w:top w:type="dxa" w:w="100"/>
              <w:left w:type="dxa" w:w="150"/>
              <w:bottom w:type="dxa" w:w="100"/>
              <w:right w:type="dxa" w:w="150"/>
            </w:tcMar>
          </w:tcPr>
          <w:p>
            <w:r>
              <w:rPr>
                <w:b/>
                <w:bCs/>
                <w:color w:val="1F4E79"/>
                <w:sz w:val="20"/>
                <w:szCs w:val="20"/>
              </w:rPr>
              <w:t xml:space="preserve">Document Version</w:t>
            </w:r>
          </w:p>
        </w:tc>
        <w:tc>
          <w:tcPr>
            <w:tcW w:type="dxa" w:w="3800"/>
            <w:tcMar>
              <w:top w:type="dxa" w:w="100"/>
              <w:left w:type="dxa" w:w="150"/>
              <w:bottom w:type="dxa" w:w="100"/>
              <w:right w:type="dxa" w:w="150"/>
            </w:tcMar>
          </w:tcPr>
          <w:p>
            <w:r>
              <w:rPr>
                <w:color w:val="333333"/>
                <w:sz w:val="20"/>
                <w:szCs w:val="20"/>
              </w:rPr>
              <w:t xml:space="preserve">1.0</w:t>
            </w:r>
          </w:p>
        </w:tc>
      </w:tr>
      <w:tr>
        <w:tc>
          <w:tcPr>
            <w:tcW w:type="dxa" w:w="3200"/>
            <w:shd w:fill="F2F2F2" w:val="clear"/>
            <w:tcMar>
              <w:top w:type="dxa" w:w="100"/>
              <w:left w:type="dxa" w:w="150"/>
              <w:bottom w:type="dxa" w:w="100"/>
              <w:right w:type="dxa" w:w="150"/>
            </w:tcMar>
          </w:tcPr>
          <w:p>
            <w:r>
              <w:rPr>
                <w:b/>
                <w:bCs/>
                <w:color w:val="1F4E79"/>
                <w:sz w:val="20"/>
                <w:szCs w:val="20"/>
              </w:rPr>
              <w:t xml:space="preserve">Date</w:t>
            </w:r>
          </w:p>
        </w:tc>
        <w:tc>
          <w:tcPr>
            <w:tcW w:type="dxa" w:w="3800"/>
            <w:tcMar>
              <w:top w:type="dxa" w:w="100"/>
              <w:left w:type="dxa" w:w="150"/>
              <w:bottom w:type="dxa" w:w="100"/>
              <w:right w:type="dxa" w:w="150"/>
            </w:tcMar>
          </w:tcPr>
          <w:p>
            <w:r>
              <w:rPr>
                <w:color w:val="333333"/>
                <w:sz w:val="20"/>
                <w:szCs w:val="20"/>
              </w:rPr>
              <w:t xml:space="preserve">September 2026</w:t>
            </w:r>
          </w:p>
        </w:tc>
      </w:tr>
    </w:tbl>
    <w:p>
      <w:pPr>
        <w:spacing w:before="900"/>
      </w:pPr>
    </w:p>
    <w:p>
      <w:pPr>
        <w:spacing w:after="160"/>
        <w:jc w:val="center"/>
      </w:pPr>
      <w:r>
        <w:rPr>
          <w:b/>
          <w:bCs/>
          <w:color w:val="1F4E79"/>
          <w:sz w:val="22"/>
          <w:szCs w:val="22"/>
        </w:rPr>
        <w:t xml:space="preserve">Team Members</w:t>
      </w:r>
    </w:p>
    <w:p>
      <w:pPr>
        <w:spacing w:after="60"/>
        <w:jc w:val="center"/>
      </w:pPr>
      <w:r>
        <w:rPr>
          <w:color w:val="333333"/>
          <w:sz w:val="20"/>
          <w:szCs w:val="20"/>
        </w:rPr>
        <w:t xml:space="preserve">CHILAKALA GNANA SAI SIDDHARDHA REDDY  (2400030896)</w:t>
      </w:r>
    </w:p>
    <w:p>
      <w:pPr>
        <w:spacing w:after="60"/>
        <w:jc w:val="center"/>
      </w:pPr>
      <w:r>
        <w:rPr>
          <w:color w:val="333333"/>
          <w:sz w:val="20"/>
          <w:szCs w:val="20"/>
        </w:rPr>
        <w:t xml:space="preserve">BIRADAKOTA VIVEK SIVA DHANUSH  (2400030886)</w:t>
      </w:r>
    </w:p>
    <w:p>
      <w:pPr>
        <w:spacing w:after="60"/>
        <w:jc w:val="center"/>
      </w:pPr>
      <w:r>
        <w:rPr>
          <w:color w:val="333333"/>
          <w:sz w:val="20"/>
          <w:szCs w:val="20"/>
        </w:rPr>
        <w:t xml:space="preserve">KATRU SASIDHAR  (2400031135)</w:t>
      </w:r>
    </w:p>
    <w:p>
      <w:pPr>
        <w:spacing w:after="60"/>
        <w:jc w:val="center"/>
      </w:pPr>
      <w:r>
        <w:rPr>
          <w:color w:val="333333"/>
          <w:sz w:val="20"/>
          <w:szCs w:val="20"/>
        </w:rPr>
        <w:t xml:space="preserve">AKURATHI SIVA RAMA NAGESWARA RAO  (2400031115)</w:t>
      </w:r>
    </w:p>
    <w:p>
      <w:pPr>
        <w:sectPr>
          <w:pgSz w:w="12240" w:h="15840" w:orient="portrait"/>
          <w:pgMar w:top="1440" w:right="1440" w:bottom="1440" w:left="1440" w:header="708" w:footer="708" w:gutter="0"/>
          <w:pgNumType/>
          <w:docGrid w:linePitch="360"/>
        </w:sectPr>
      </w:pPr>
    </w:p>
    <w:p>
      <w:pPr>
        <w:spacing w:after="30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80" w:before="360"/>
        <w:outlineLvl w:val="0"/>
      </w:pPr>
      <w:r>
        <w:t xml:space="preserve">1. Abstract</w:t>
      </w:r>
    </w:p>
    <w:p>
      <w:pPr>
        <w:spacing w:after="160" w:line="288"/>
        <w:jc w:val="both"/>
      </w:pPr>
      <w:r>
        <w:rPr>
          <w:color w:val="333333"/>
          <w:sz w:val="22"/>
          <w:szCs w:val="22"/>
        </w:rPr>
        <w:t xml:space="preserve">Applications across the organisation's Azure estate currently authenticate using Service Principals secured with client secrets or certificates. These credentials must be stored, distributed, and periodically rotated by hand, which introduces recurring operational overhead and a persistent risk of credential leakage. This project investigates the adoption of Azure Managed Identity as a secretless alternative: Azure Active Directory (Entra ID) issues short-lived tokens directly to a resource at runtime, removing the need for any application to hold, transmit, or rotate a secret. The report defines the problem, states the project's goal and use cases, describes the authentication flow that Managed Identity relies on, and documents the known bottlenecks — legacy services without Managed Identity support and cross-tenant scenarios — that bound the scope of this adoption effort.</w:t>
      </w:r>
    </w:p>
    <w:p>
      <w:pPr>
        <w:pStyle w:val="Heading1"/>
        <w:spacing w:after="180" w:before="360"/>
        <w:outlineLvl w:val="0"/>
      </w:pPr>
      <w:r>
        <w:t xml:space="preserve">2. Introduction</w:t>
      </w:r>
    </w:p>
    <w:p>
      <w:pPr>
        <w:spacing w:after="160" w:line="288"/>
        <w:jc w:val="both"/>
      </w:pPr>
      <w:r>
        <w:rPr>
          <w:color w:val="333333"/>
          <w:sz w:val="22"/>
          <w:szCs w:val="22"/>
        </w:rPr>
        <w:t xml:space="preserve">Modern cloud applications routinely need to call other Azure services — a web app reading secrets from Key Vault, a function writing to Blob Storage, a service querying Azure SQL Database. Each of these calls must be authenticated. The conventional approach registers an application as a Service Principal in Azure Active Directory and issues it a client secret or certificate, which the application then presents whenever it needs a token.</w:t>
      </w:r>
    </w:p>
    <w:p>
      <w:pPr>
        <w:spacing w:after="160" w:line="288"/>
        <w:jc w:val="both"/>
      </w:pPr>
      <w:r>
        <w:rPr>
          <w:color w:val="333333"/>
          <w:sz w:val="22"/>
          <w:szCs w:val="22"/>
        </w:rPr>
        <w:t xml:space="preserve">As an application estate grows, so does the number of these credentials. Each one is a standalone artefact that must be stored securely, rotated on a schedule, and revoked if compromised — and each one is a potential point of failure if that process lapses. Azure Managed Identity addresses this by allowing Azure AD to manage the identity's credential lifecycle entirely, so the application code and its operators never see a secret at all.</w:t>
      </w:r>
    </w:p>
    <w:p>
      <w:pPr>
        <w:spacing w:after="160" w:line="288"/>
        <w:jc w:val="both"/>
      </w:pPr>
      <w:r>
        <w:rPr>
          <w:color w:val="333333"/>
          <w:sz w:val="22"/>
          <w:szCs w:val="22"/>
        </w:rPr>
        <w:t xml:space="preserve">This document describes the motivation, objectives, technical approach, and constraints of the Managed Identity adoption project undertaken by Team P-030.</w:t>
      </w:r>
    </w:p>
    <w:p>
      <w:pPr>
        <w:pStyle w:val="Heading1"/>
        <w:spacing w:after="180" w:before="360"/>
        <w:outlineLvl w:val="0"/>
      </w:pPr>
      <w:r>
        <w:t xml:space="preserve">3. Problem Statement</w:t>
      </w:r>
    </w:p>
    <w:p>
      <w:pPr>
        <w:spacing w:after="160" w:line="288"/>
        <w:jc w:val="both"/>
      </w:pPr>
      <w:r>
        <w:rPr>
          <w:color w:val="333333"/>
          <w:sz w:val="22"/>
          <w:szCs w:val="22"/>
        </w:rPr>
        <w:t xml:space="preserve">Service Principal secrets create a recurring security and operational burden across the application estate:</w:t>
      </w:r>
    </w:p>
    <w:p>
      <w:pPr>
        <w:pStyle w:val="ListParagraph"/>
        <w:numPr>
          <w:ilvl w:val="0"/>
          <w:numId w:val="2"/>
        </w:numPr>
        <w:spacing w:after="100" w:line="276"/>
      </w:pPr>
      <w:r>
        <w:rPr>
          <w:color w:val="333333"/>
          <w:sz w:val="22"/>
          <w:szCs w:val="22"/>
        </w:rPr>
        <w:t xml:space="preserve">Secrets are stored in configuration files, environment variables, or external vaults, and must be rotated manually on a defined schedule.</w:t>
      </w:r>
    </w:p>
    <w:p>
      <w:pPr>
        <w:pStyle w:val="ListParagraph"/>
        <w:numPr>
          <w:ilvl w:val="0"/>
          <w:numId w:val="2"/>
        </w:numPr>
        <w:spacing w:after="100" w:line="276"/>
      </w:pPr>
      <w:r>
        <w:rPr>
          <w:color w:val="333333"/>
          <w:sz w:val="22"/>
          <w:szCs w:val="22"/>
        </w:rPr>
        <w:t xml:space="preserve">A leaked, expired, or misconfigured secret can break production access to critical Azure services or expose them to unauthorised use.</w:t>
      </w:r>
    </w:p>
    <w:p>
      <w:pPr>
        <w:pStyle w:val="ListParagraph"/>
        <w:numPr>
          <w:ilvl w:val="0"/>
          <w:numId w:val="2"/>
        </w:numPr>
        <w:spacing w:after="100" w:line="276"/>
      </w:pPr>
      <w:r>
        <w:rPr>
          <w:color w:val="333333"/>
          <w:sz w:val="22"/>
          <w:szCs w:val="22"/>
        </w:rPr>
        <w:t xml:space="preserve">Across a large estate, hundreds of independently managed secrets multiply this risk many times over, and auditing them consistently becomes difficult.</w:t>
      </w:r>
    </w:p>
    <w:p>
      <w:pPr>
        <w:pStyle w:val="ListParagraph"/>
        <w:numPr>
          <w:ilvl w:val="0"/>
          <w:numId w:val="2"/>
        </w:numPr>
        <w:spacing w:after="100" w:line="276"/>
      </w:pPr>
      <w:r>
        <w:rPr>
          <w:color w:val="333333"/>
          <w:sz w:val="22"/>
          <w:szCs w:val="22"/>
        </w:rPr>
        <w:t xml:space="preserve">Existing rotation processes depend on manual intervention, which does not scale reliably as the number of applications grows.</w:t>
      </w:r>
    </w:p>
    <w:p>
      <w:pPr>
        <w:pStyle w:val="Heading1"/>
        <w:spacing w:after="180" w:before="360"/>
        <w:outlineLvl w:val="0"/>
      </w:pPr>
      <w:r>
        <w:t xml:space="preserve">4. Objectives</w:t>
      </w:r>
    </w:p>
    <w:p>
      <w:pPr>
        <w:spacing w:after="160" w:line="288"/>
        <w:jc w:val="both"/>
      </w:pPr>
      <w:r>
        <w:rPr>
          <w:color w:val="333333"/>
          <w:sz w:val="22"/>
          <w:szCs w:val="22"/>
        </w:rPr>
        <w:t xml:space="preserve">The project is scoped around one central goal and two concrete use cases that operationalise it:</w:t>
      </w:r>
    </w:p>
    <w:p>
      <w:pPr>
        <w:pStyle w:val="Heading2"/>
        <w:spacing w:after="140" w:before="260"/>
        <w:outlineLvl w:val="1"/>
      </w:pPr>
      <w:r>
        <w:t xml:space="preserve">4.1 Goal</w:t>
      </w:r>
    </w:p>
    <w:p>
      <w:pPr>
        <w:spacing w:after="160" w:line="288"/>
        <w:jc w:val="both"/>
      </w:pPr>
      <w:r>
        <w:rPr>
          <w:color w:val="333333"/>
          <w:sz w:val="22"/>
          <w:szCs w:val="22"/>
        </w:rPr>
        <w:t xml:space="preserve">Enable secretless authentication to Azure services by replacing Service Principal secrets with Azure Managed Identity wherever the target service supports it.</w:t>
      </w:r>
    </w:p>
    <w:p>
      <w:pPr>
        <w:pStyle w:val="Heading2"/>
        <w:spacing w:after="140" w:before="260"/>
        <w:outlineLvl w:val="1"/>
      </w:pPr>
      <w:r>
        <w:t xml:space="preserve">4.2 Use Cases</w:t>
      </w:r>
    </w:p>
    <w:p>
      <w:pPr>
        <w:pStyle w:val="ListParagraph"/>
        <w:numPr>
          <w:ilvl w:val="0"/>
          <w:numId w:val="2"/>
        </w:numPr>
        <w:spacing w:after="100" w:line="276"/>
      </w:pPr>
      <w:r>
        <w:rPr>
          <w:color w:val="333333"/>
          <w:sz w:val="22"/>
          <w:szCs w:val="22"/>
        </w:rPr>
        <w:t xml:space="preserve">Remove all Service Principal secrets — audit the application estate and retire every stored client secret and certificate currently used for Azure authentication.</w:t>
      </w:r>
    </w:p>
    <w:p>
      <w:pPr>
        <w:pStyle w:val="ListParagraph"/>
        <w:numPr>
          <w:ilvl w:val="0"/>
          <w:numId w:val="2"/>
        </w:numPr>
        <w:spacing w:after="100" w:line="276"/>
      </w:pPr>
      <w:r>
        <w:rPr>
          <w:color w:val="333333"/>
          <w:sz w:val="22"/>
          <w:szCs w:val="22"/>
        </w:rPr>
        <w:t xml:space="preserve">Enable secretless authentication to Azure services — reconfigure applications to acquire access tokens via Managed Identity for services such as Key Vault, Storage, and SQL Database.</w:t>
      </w:r>
    </w:p>
    <w:p>
      <w:pPr>
        <w:pStyle w:val="Heading1"/>
        <w:spacing w:after="180" w:before="360"/>
        <w:outlineLvl w:val="0"/>
      </w:pPr>
      <w:r>
        <w:t xml:space="preserve">5. Background and Technology Overview</w:t>
      </w:r>
    </w:p>
    <w:p>
      <w:pPr>
        <w:spacing w:after="160" w:line="288"/>
        <w:jc w:val="both"/>
      </w:pPr>
      <w:r>
        <w:rPr>
          <w:color w:val="333333"/>
          <w:sz w:val="22"/>
          <w:szCs w:val="22"/>
        </w:rPr>
        <w:t xml:space="preserve">Azure Managed Identity is a feature of Azure Active Directory (Entra ID) that provides an automatically managed identity for an Azure resource. There are two variants:</w:t>
      </w:r>
    </w:p>
    <w:p>
      <w:pPr>
        <w:pStyle w:val="ListParagraph"/>
        <w:numPr>
          <w:ilvl w:val="0"/>
          <w:numId w:val="2"/>
        </w:numPr>
        <w:spacing w:after="100" w:line="276"/>
      </w:pPr>
      <w:r>
        <w:rPr>
          <w:color w:val="333333"/>
          <w:sz w:val="22"/>
          <w:szCs w:val="22"/>
        </w:rPr>
        <w:t xml:space="preserve">System-assigned identity — created and tied to the lifecycle of a single Azure resource; it is deleted automatically when the resource is deleted.</w:t>
      </w:r>
    </w:p>
    <w:p>
      <w:pPr>
        <w:pStyle w:val="ListParagraph"/>
        <w:numPr>
          <w:ilvl w:val="0"/>
          <w:numId w:val="2"/>
        </w:numPr>
        <w:spacing w:after="100" w:line="276"/>
      </w:pPr>
      <w:r>
        <w:rPr>
          <w:color w:val="333333"/>
          <w:sz w:val="22"/>
          <w:szCs w:val="22"/>
        </w:rPr>
        <w:t xml:space="preserve">User-assigned identity — created as a standalone Azure resource and can be attached to one or more services independently of any single resource's lifecycle.</w:t>
      </w:r>
    </w:p>
    <w:p>
      <w:pPr>
        <w:spacing w:after="160" w:line="288"/>
        <w:jc w:val="both"/>
      </w:pPr>
      <w:r>
        <w:rPr>
          <w:color w:val="333333"/>
          <w:sz w:val="22"/>
          <w:szCs w:val="22"/>
        </w:rPr>
        <w:t xml:space="preserve">In both cases, Azure AD issues short-lived OAuth 2.0 access tokens directly to the resource at runtime through a local, non-routable identity endpoint. The application never sees, stores, or transmits a long-lived secret; it only ever handles a token that expires automatically.</w:t>
      </w:r>
    </w:p>
    <w:p>
      <w:pPr>
        <w:pStyle w:val="Heading1"/>
        <w:spacing w:after="180" w:before="360"/>
        <w:outlineLvl w:val="0"/>
      </w:pPr>
      <w:r>
        <w:t xml:space="preserve">6. System Architecture: Authentication Flow</w:t>
      </w:r>
    </w:p>
    <w:p>
      <w:pPr>
        <w:spacing w:after="160" w:line="288"/>
        <w:jc w:val="both"/>
      </w:pPr>
      <w:r>
        <w:rPr>
          <w:color w:val="333333"/>
          <w:sz w:val="22"/>
          <w:szCs w:val="22"/>
        </w:rPr>
        <w:t xml:space="preserve">The diagram below summarises how a resource obtains and uses a token under Managed Identity, without ever holding a client secret.</w:t>
      </w:r>
    </w:p>
    <w:tbl>
      <w:tblPr>
        <w:tblW w:type="dxa" w:w="9800"/>
        <w:tblBorders>
          <w:top w:val="none"/>
          <w:left w:val="none"/>
          <w:bottom w:val="none"/>
          <w:right w:val="none"/>
          <w:insideH w:val="none"/>
          <w:insideV w:val="none"/>
        </w:tblBorders>
      </w:tblPr>
      <w:tblGrid>
        <w:gridCol w:w="2350"/>
        <w:gridCol w:w="350"/>
        <w:gridCol w:w="2350"/>
        <w:gridCol w:w="350"/>
        <w:gridCol w:w="2350"/>
        <w:gridCol w:w="350"/>
        <w:gridCol w:w="2350"/>
      </w:tblGrid>
      <w:tr>
        <w:tc>
          <w:tcPr>
            <w:tcW w:type="dxa" w:w="2350"/>
            <w:tcBorders>
              <w:top w:val="single" w:color="1F4E79" w:sz="4"/>
              <w:left w:val="single" w:color="1F4E79" w:sz="4"/>
              <w:bottom w:val="single" w:color="1F4E79" w:sz="4"/>
              <w:right w:val="single" w:color="1F4E79" w:sz="4"/>
            </w:tcBorders>
            <w:shd w:fill="1F4E79" w:val="clear"/>
            <w:tcMar>
              <w:top w:type="dxa" w:w="150"/>
              <w:left w:type="dxa" w:w="100"/>
              <w:bottom w:type="dxa" w:w="150"/>
              <w:right w:type="dxa" w:w="100"/>
            </w:tcMar>
            <w:vAlign w:val="center"/>
          </w:tcPr>
          <w:p>
            <w:pPr>
              <w:jc w:val="center"/>
            </w:pPr>
            <w:r>
              <w:rPr>
                <w:b/>
                <w:bCs/>
                <w:color w:val="FFFFFF"/>
                <w:sz w:val="18"/>
                <w:szCs w:val="18"/>
              </w:rPr>
              <w:t xml:space="preserve">Azure Resource
(VM / App Service)</w:t>
            </w:r>
          </w:p>
        </w:tc>
        <w:tc>
          <w:tcPr>
            <w:tcW w:type="dxa" w:w="350"/>
            <w:tcBorders>
              <w:top w:val="none"/>
              <w:left w:val="none"/>
              <w:bottom w:val="none"/>
              <w:right w:val="none"/>
            </w:tcBorders>
            <w:vAlign w:val="center"/>
          </w:tcPr>
          <w:p>
            <w:pPr>
              <w:jc w:val="center"/>
            </w:pPr>
            <w:r>
              <w:rPr>
                <w:b/>
                <w:bCs/>
                <w:color w:val="666666"/>
                <w:sz w:val="26"/>
                <w:szCs w:val="26"/>
              </w:rPr>
              <w:t xml:space="preserve">→</w:t>
            </w:r>
          </w:p>
        </w:tc>
        <w:tc>
          <w:tcPr>
            <w:tcW w:type="dxa" w:w="2350"/>
            <w:tcBorders>
              <w:top w:val="single" w:color="2E75B6" w:sz="4"/>
              <w:left w:val="single" w:color="2E75B6" w:sz="4"/>
              <w:bottom w:val="single" w:color="2E75B6" w:sz="4"/>
              <w:right w:val="single" w:color="2E75B6" w:sz="4"/>
            </w:tcBorders>
            <w:shd w:fill="2E75B6" w:val="clear"/>
            <w:tcMar>
              <w:top w:type="dxa" w:w="150"/>
              <w:left w:type="dxa" w:w="100"/>
              <w:bottom w:type="dxa" w:w="150"/>
              <w:right w:type="dxa" w:w="100"/>
            </w:tcMar>
            <w:vAlign w:val="center"/>
          </w:tcPr>
          <w:p>
            <w:pPr>
              <w:jc w:val="center"/>
            </w:pPr>
            <w:r>
              <w:rPr>
                <w:b/>
                <w:bCs/>
                <w:color w:val="FFFFFF"/>
                <w:sz w:val="18"/>
                <w:szCs w:val="18"/>
              </w:rPr>
              <w:t xml:space="preserve">Managed Identity
(assigned to resource)</w:t>
            </w:r>
          </w:p>
        </w:tc>
        <w:tc>
          <w:tcPr>
            <w:tcW w:type="dxa" w:w="350"/>
            <w:tcBorders>
              <w:top w:val="none"/>
              <w:left w:val="none"/>
              <w:bottom w:val="none"/>
              <w:right w:val="none"/>
            </w:tcBorders>
            <w:vAlign w:val="center"/>
          </w:tcPr>
          <w:p>
            <w:pPr>
              <w:jc w:val="center"/>
            </w:pPr>
            <w:r>
              <w:rPr>
                <w:b/>
                <w:bCs/>
                <w:color w:val="666666"/>
                <w:sz w:val="26"/>
                <w:szCs w:val="26"/>
              </w:rPr>
              <w:t xml:space="preserve">→</w:t>
            </w:r>
          </w:p>
        </w:tc>
        <w:tc>
          <w:tcPr>
            <w:tcW w:type="dxa" w:w="2350"/>
            <w:tcBorders>
              <w:top w:val="single" w:color="2E75B6" w:sz="4"/>
              <w:left w:val="single" w:color="2E75B6" w:sz="4"/>
              <w:bottom w:val="single" w:color="2E75B6" w:sz="4"/>
              <w:right w:val="single" w:color="2E75B6" w:sz="4"/>
            </w:tcBorders>
            <w:shd w:fill="2E75B6" w:val="clear"/>
            <w:tcMar>
              <w:top w:type="dxa" w:w="150"/>
              <w:left w:type="dxa" w:w="100"/>
              <w:bottom w:type="dxa" w:w="150"/>
              <w:right w:type="dxa" w:w="100"/>
            </w:tcMar>
            <w:vAlign w:val="center"/>
          </w:tcPr>
          <w:p>
            <w:pPr>
              <w:jc w:val="center"/>
            </w:pPr>
            <w:r>
              <w:rPr>
                <w:b/>
                <w:bCs/>
                <w:color w:val="FFFFFF"/>
                <w:sz w:val="18"/>
                <w:szCs w:val="18"/>
              </w:rPr>
              <w:t xml:space="preserve">Azure AD
(Entra ID)</w:t>
            </w:r>
          </w:p>
        </w:tc>
        <w:tc>
          <w:tcPr>
            <w:tcW w:type="dxa" w:w="350"/>
            <w:tcBorders>
              <w:top w:val="none"/>
              <w:left w:val="none"/>
              <w:bottom w:val="none"/>
              <w:right w:val="none"/>
            </w:tcBorders>
            <w:vAlign w:val="center"/>
          </w:tcPr>
          <w:p>
            <w:pPr>
              <w:jc w:val="center"/>
            </w:pPr>
            <w:r>
              <w:rPr>
                <w:b/>
                <w:bCs/>
                <w:color w:val="666666"/>
                <w:sz w:val="26"/>
                <w:szCs w:val="26"/>
              </w:rPr>
              <w:t xml:space="preserve">→</w:t>
            </w:r>
          </w:p>
        </w:tc>
        <w:tc>
          <w:tcPr>
            <w:tcW w:type="dxa" w:w="2350"/>
            <w:tcBorders>
              <w:top w:val="single" w:color="1F4E79" w:sz="4"/>
              <w:left w:val="single" w:color="1F4E79" w:sz="4"/>
              <w:bottom w:val="single" w:color="1F4E79" w:sz="4"/>
              <w:right w:val="single" w:color="1F4E79" w:sz="4"/>
            </w:tcBorders>
            <w:shd w:fill="1F4E79" w:val="clear"/>
            <w:tcMar>
              <w:top w:type="dxa" w:w="150"/>
              <w:left w:type="dxa" w:w="100"/>
              <w:bottom w:type="dxa" w:w="150"/>
              <w:right w:type="dxa" w:w="100"/>
            </w:tcMar>
            <w:vAlign w:val="center"/>
          </w:tcPr>
          <w:p>
            <w:pPr>
              <w:jc w:val="center"/>
            </w:pPr>
            <w:r>
              <w:rPr>
                <w:b/>
                <w:bCs/>
                <w:color w:val="FFFFFF"/>
                <w:sz w:val="18"/>
                <w:szCs w:val="18"/>
              </w:rPr>
              <w:t xml:space="preserve">Target Azure Service
(Key Vault / Storage / SQL)</w:t>
            </w:r>
          </w:p>
        </w:tc>
      </w:tr>
    </w:tbl>
    <w:p>
      <w:pPr>
        <w:spacing w:after="240" w:before="60"/>
        <w:jc w:val="center"/>
      </w:pPr>
      <w:r>
        <w:rPr>
          <w:i/>
          <w:iCs/>
          <w:color w:val="666666"/>
          <w:sz w:val="20"/>
          <w:szCs w:val="20"/>
        </w:rPr>
        <w:t xml:space="preserve">Figure 1: Token acquisition flow under Azure Managed Identity</w:t>
      </w:r>
    </w:p>
    <w:p>
      <w:pPr>
        <w:spacing w:after="160" w:line="288"/>
        <w:jc w:val="both"/>
      </w:pPr>
      <w:r>
        <w:rPr>
          <w:color w:val="333333"/>
          <w:sz w:val="22"/>
          <w:szCs w:val="22"/>
        </w:rPr>
        <w:t xml:space="preserve">The flow proceeds through four steps:</w:t>
      </w:r>
    </w:p>
    <w:p>
      <w:pPr>
        <w:pStyle w:val="ListParagraph"/>
        <w:numPr>
          <w:ilvl w:val="0"/>
          <w:numId w:val="3"/>
        </w:numPr>
        <w:spacing w:after="100" w:line="276"/>
      </w:pPr>
      <w:r>
        <w:rPr>
          <w:color w:val="333333"/>
          <w:sz w:val="22"/>
          <w:szCs w:val="22"/>
        </w:rPr>
        <w:t xml:space="preserve">The Azure resource (e.g. a VM or App Service) requests a token from its local Managed Identity endpoint — no secret is involved at this stage.</w:t>
      </w:r>
    </w:p>
    <w:p>
      <w:pPr>
        <w:pStyle w:val="ListParagraph"/>
        <w:numPr>
          <w:ilvl w:val="0"/>
          <w:numId w:val="3"/>
        </w:numPr>
        <w:spacing w:after="100" w:line="276"/>
      </w:pPr>
      <w:r>
        <w:rPr>
          <w:color w:val="333333"/>
          <w:sz w:val="22"/>
          <w:szCs w:val="22"/>
        </w:rPr>
        <w:t xml:space="preserve">The Managed Identity endpoint forwards the request to Azure AD (Entra ID) for authentication.</w:t>
      </w:r>
    </w:p>
    <w:p>
      <w:pPr>
        <w:pStyle w:val="ListParagraph"/>
        <w:numPr>
          <w:ilvl w:val="0"/>
          <w:numId w:val="3"/>
        </w:numPr>
        <w:spacing w:after="100" w:line="276"/>
      </w:pPr>
      <w:r>
        <w:rPr>
          <w:color w:val="333333"/>
          <w:sz w:val="22"/>
          <w:szCs w:val="22"/>
        </w:rPr>
        <w:t xml:space="preserve">Azure AD verifies the resource's identity and issues a short-lived access token, typically valid for under an hour.</w:t>
      </w:r>
    </w:p>
    <w:p>
      <w:pPr>
        <w:pStyle w:val="ListParagraph"/>
        <w:numPr>
          <w:ilvl w:val="0"/>
          <w:numId w:val="3"/>
        </w:numPr>
        <w:spacing w:after="100" w:line="276"/>
      </w:pPr>
      <w:r>
        <w:rPr>
          <w:color w:val="333333"/>
          <w:sz w:val="22"/>
          <w:szCs w:val="22"/>
        </w:rPr>
        <w:t xml:space="preserve">The resource presents the token to the target Azure service, which validates it and grants access if the identity has the required role assignment.</w:t>
      </w:r>
    </w:p>
    <w:p>
      <w:pPr>
        <w:spacing w:after="160" w:line="288"/>
        <w:jc w:val="both"/>
      </w:pPr>
      <w:r>
        <w:rPr>
          <w:color w:val="333333"/>
          <w:sz w:val="22"/>
          <w:szCs w:val="22"/>
        </w:rPr>
        <w:t xml:space="preserve">Because the token is short-lived and issued directly by Azure AD, there is no persistent credential for an attacker to steal from configuration, and no manual rotation process to maintain.</w:t>
      </w:r>
    </w:p>
    <w:p>
      <w:pPr>
        <w:pStyle w:val="Heading1"/>
        <w:spacing w:after="180" w:before="360"/>
        <w:outlineLvl w:val="0"/>
      </w:pPr>
      <w:r>
        <w:t xml:space="preserve">7. Tools and Technologies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79" w:val="clear"/>
            <w:tcMar>
              <w:top w:type="dxa" w:w="100"/>
              <w:left w:type="dxa" w:w="120"/>
              <w:bottom w:type="dxa" w:w="100"/>
              <w:right w:type="dxa" w:w="120"/>
            </w:tcMar>
          </w:tcPr>
          <w:p>
            <w:r>
              <w:rPr>
                <w:b/>
                <w:bCs/>
                <w:color w:val="FFFFFF"/>
                <w:sz w:val="20"/>
                <w:szCs w:val="20"/>
              </w:rPr>
              <w:t xml:space="preserve">Component</w:t>
            </w:r>
          </w:p>
        </w:tc>
        <w:tc>
          <w:tcPr>
            <w:tcW w:type="dxa" w:w="6800"/>
            <w:shd w:fill="1F4E79" w:val="clear"/>
            <w:tcMar>
              <w:top w:type="dxa" w:w="100"/>
              <w:left w:type="dxa" w:w="120"/>
              <w:bottom w:type="dxa" w:w="100"/>
              <w:right w:type="dxa" w:w="120"/>
            </w:tcMar>
          </w:tcPr>
          <w:p>
            <w:r>
              <w:rPr>
                <w:b/>
                <w:bCs/>
                <w:color w:val="FFFFFF"/>
                <w:sz w:val="20"/>
                <w:szCs w:val="20"/>
              </w:rPr>
              <w:t xml:space="preserve">Description</w:t>
            </w:r>
          </w:p>
        </w:tc>
      </w:tr>
      <w:tr>
        <w:tc>
          <w:tcPr>
            <w:tcW w:type="dxa" w:w="3000"/>
            <w:shd w:fill="F2F2F2" w:val="clear"/>
            <w:tcMar>
              <w:top w:type="dxa" w:w="90"/>
              <w:left w:type="dxa" w:w="120"/>
              <w:bottom w:type="dxa" w:w="90"/>
              <w:right w:type="dxa" w:w="120"/>
            </w:tcMar>
          </w:tcPr>
          <w:p>
            <w:r>
              <w:rPr>
                <w:b/>
                <w:bCs/>
                <w:color w:val="333333"/>
                <w:sz w:val="20"/>
                <w:szCs w:val="20"/>
              </w:rPr>
              <w:t xml:space="preserve">Identity Provider</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Azure Active Directory (Entra ID)</w:t>
            </w:r>
          </w:p>
        </w:tc>
      </w:tr>
      <w:tr>
        <w:tc>
          <w:tcPr>
            <w:tcW w:type="dxa" w:w="3000"/>
            <w:shd w:fill="F2F2F2" w:val="clear"/>
            <w:tcMar>
              <w:top w:type="dxa" w:w="90"/>
              <w:left w:type="dxa" w:w="120"/>
              <w:bottom w:type="dxa" w:w="90"/>
              <w:right w:type="dxa" w:w="120"/>
            </w:tcMar>
          </w:tcPr>
          <w:p>
            <w:r>
              <w:rPr>
                <w:b/>
                <w:bCs/>
                <w:color w:val="333333"/>
                <w:sz w:val="20"/>
                <w:szCs w:val="20"/>
              </w:rPr>
              <w:t xml:space="preserve">Authentication Mechanism</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Azure Managed Identity (system-assigned and user-assigned)</w:t>
            </w:r>
          </w:p>
        </w:tc>
      </w:tr>
      <w:tr>
        <w:tc>
          <w:tcPr>
            <w:tcW w:type="dxa" w:w="3000"/>
            <w:shd w:fill="F2F2F2" w:val="clear"/>
            <w:tcMar>
              <w:top w:type="dxa" w:w="90"/>
              <w:left w:type="dxa" w:w="120"/>
              <w:bottom w:type="dxa" w:w="90"/>
              <w:right w:type="dxa" w:w="120"/>
            </w:tcMar>
          </w:tcPr>
          <w:p>
            <w:r>
              <w:rPr>
                <w:b/>
                <w:bCs/>
                <w:color w:val="333333"/>
                <w:sz w:val="20"/>
                <w:szCs w:val="20"/>
              </w:rPr>
              <w:t xml:space="preserve">Target Services</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Azure Key Vault, Azure Storage, Azure SQL Database</w:t>
            </w:r>
          </w:p>
        </w:tc>
      </w:tr>
      <w:tr>
        <w:tc>
          <w:tcPr>
            <w:tcW w:type="dxa" w:w="3000"/>
            <w:shd w:fill="F2F2F2" w:val="clear"/>
            <w:tcMar>
              <w:top w:type="dxa" w:w="90"/>
              <w:left w:type="dxa" w:w="120"/>
              <w:bottom w:type="dxa" w:w="90"/>
              <w:right w:type="dxa" w:w="120"/>
            </w:tcMar>
          </w:tcPr>
          <w:p>
            <w:r>
              <w:rPr>
                <w:b/>
                <w:bCs/>
                <w:color w:val="333333"/>
                <w:sz w:val="20"/>
                <w:szCs w:val="20"/>
              </w:rPr>
              <w:t xml:space="preserve">Token Protocol</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OAuth 2.0 (short-lived bearer access tokens)</w:t>
            </w:r>
          </w:p>
        </w:tc>
      </w:tr>
      <w:tr>
        <w:tc>
          <w:tcPr>
            <w:tcW w:type="dxa" w:w="3000"/>
            <w:shd w:fill="F2F2F2" w:val="clear"/>
            <w:tcMar>
              <w:top w:type="dxa" w:w="90"/>
              <w:left w:type="dxa" w:w="120"/>
              <w:bottom w:type="dxa" w:w="90"/>
              <w:right w:type="dxa" w:w="120"/>
            </w:tcMar>
          </w:tcPr>
          <w:p>
            <w:r>
              <w:rPr>
                <w:b/>
                <w:bCs/>
                <w:color w:val="333333"/>
                <w:sz w:val="20"/>
                <w:szCs w:val="20"/>
              </w:rPr>
              <w:t xml:space="preserve">Access Control</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Azure Role-Based Access Control (RBAC)</w:t>
            </w:r>
          </w:p>
        </w:tc>
      </w:tr>
      <w:tr>
        <w:tc>
          <w:tcPr>
            <w:tcW w:type="dxa" w:w="3000"/>
            <w:shd w:fill="F2F2F2" w:val="clear"/>
            <w:tcMar>
              <w:top w:type="dxa" w:w="90"/>
              <w:left w:type="dxa" w:w="120"/>
              <w:bottom w:type="dxa" w:w="90"/>
              <w:right w:type="dxa" w:w="120"/>
            </w:tcMar>
          </w:tcPr>
          <w:p>
            <w:r>
              <w:rPr>
                <w:b/>
                <w:bCs/>
                <w:color w:val="333333"/>
                <w:sz w:val="20"/>
                <w:szCs w:val="20"/>
              </w:rPr>
              <w:t xml:space="preserve">Auditing</w:t>
            </w:r>
          </w:p>
        </w:tc>
        <w:tc>
          <w:tcPr>
            <w:tcW w:type="dxa" w:w="6800"/>
            <w:shd w:fill="FFFFFF" w:val="clear"/>
            <w:tcMar>
              <w:top w:type="dxa" w:w="90"/>
              <w:left w:type="dxa" w:w="120"/>
              <w:bottom w:type="dxa" w:w="90"/>
              <w:right w:type="dxa" w:w="120"/>
            </w:tcMar>
          </w:tcPr>
          <w:p>
            <w:r>
              <w:rPr>
                <w:b w:val="false"/>
                <w:bCs w:val="false"/>
                <w:color w:val="333333"/>
                <w:sz w:val="20"/>
                <w:szCs w:val="20"/>
              </w:rPr>
              <w:t xml:space="preserve">Azure Monitor / Azure AD sign-in and audit logs</w:t>
            </w:r>
          </w:p>
        </w:tc>
      </w:tr>
    </w:tbl>
    <w:p>
      <w:pPr>
        <w:pStyle w:val="Heading1"/>
        <w:spacing w:after="180" w:before="360"/>
        <w:outlineLvl w:val="0"/>
      </w:pPr>
      <w:r>
        <w:t xml:space="preserve">8. Bottlenecks and Limitations</w:t>
      </w:r>
    </w:p>
    <w:p>
      <w:pPr>
        <w:spacing w:after="160" w:line="288"/>
        <w:jc w:val="both"/>
      </w:pPr>
      <w:r>
        <w:rPr>
          <w:color w:val="333333"/>
          <w:sz w:val="22"/>
          <w:szCs w:val="22"/>
        </w:rPr>
        <w:t xml:space="preserve">Two constraints bound how far Managed Identity adoption can reach within the current estate:</w:t>
      </w:r>
    </w:p>
    <w:p>
      <w:pPr>
        <w:pStyle w:val="Heading2"/>
        <w:spacing w:after="140" w:before="260"/>
        <w:outlineLvl w:val="1"/>
      </w:pPr>
      <w:r>
        <w:t xml:space="preserve">8.1 Legacy Service Support</w:t>
      </w:r>
    </w:p>
    <w:p>
      <w:pPr>
        <w:spacing w:after="160" w:line="288"/>
        <w:jc w:val="both"/>
      </w:pPr>
      <w:r>
        <w:rPr>
          <w:color w:val="333333"/>
          <w:sz w:val="22"/>
          <w:szCs w:val="22"/>
        </w:rPr>
        <w:t xml:space="preserve">Some older or third-party services cannot accept Azure AD-issued tokens and still require a traditional credential such as a connection string or API key. These services remain outside the scope of secretless authentication until they are replaced or updated to support Azure AD-based access.</w:t>
      </w:r>
    </w:p>
    <w:p>
      <w:pPr>
        <w:pStyle w:val="Heading2"/>
        <w:spacing w:after="140" w:before="260"/>
        <w:outlineLvl w:val="1"/>
      </w:pPr>
      <w:r>
        <w:t xml:space="preserve">8.2 Cross-Tenant Scenarios</w:t>
      </w:r>
    </w:p>
    <w:p>
      <w:pPr>
        <w:spacing w:after="160" w:line="288"/>
        <w:jc w:val="both"/>
      </w:pPr>
      <w:r>
        <w:rPr>
          <w:color w:val="333333"/>
          <w:sz w:val="22"/>
          <w:szCs w:val="22"/>
        </w:rPr>
        <w:t xml:space="preserve">Managed Identity is scoped to a single Azure AD tenant. It cannot be used to authenticate directly across tenant boundaries — for example, an application in one organisation's tenant cannot use its Managed Identity to authenticate to a resource in a different organisation's tenant without an alternative mechanism such as cross-tenant guest access or federation.</w:t>
      </w:r>
    </w:p>
    <w:p>
      <w:pPr>
        <w:pStyle w:val="Heading1"/>
        <w:spacing w:after="180" w:before="360"/>
        <w:outlineLvl w:val="0"/>
      </w:pPr>
      <w:r>
        <w:t xml:space="preserve">9. Expected Outcomes</w:t>
      </w:r>
    </w:p>
    <w:p>
      <w:pPr>
        <w:pStyle w:val="ListParagraph"/>
        <w:numPr>
          <w:ilvl w:val="0"/>
          <w:numId w:val="2"/>
        </w:numPr>
        <w:spacing w:after="100" w:line="276"/>
      </w:pPr>
      <w:r>
        <w:rPr>
          <w:color w:val="333333"/>
          <w:sz w:val="22"/>
          <w:szCs w:val="22"/>
        </w:rPr>
        <w:t xml:space="preserve">Elimination of stored Service Principal secrets for all applications and services that support Managed Identity.</w:t>
      </w:r>
    </w:p>
    <w:p>
      <w:pPr>
        <w:pStyle w:val="ListParagraph"/>
        <w:numPr>
          <w:ilvl w:val="0"/>
          <w:numId w:val="2"/>
        </w:numPr>
        <w:spacing w:after="100" w:line="276"/>
      </w:pPr>
      <w:r>
        <w:rPr>
          <w:color w:val="333333"/>
          <w:sz w:val="22"/>
          <w:szCs w:val="22"/>
        </w:rPr>
        <w:t xml:space="preserve">Reduced operational overhead from removing manual secret rotation for supported services.</w:t>
      </w:r>
    </w:p>
    <w:p>
      <w:pPr>
        <w:pStyle w:val="ListParagraph"/>
        <w:numPr>
          <w:ilvl w:val="0"/>
          <w:numId w:val="2"/>
        </w:numPr>
        <w:spacing w:after="100" w:line="276"/>
      </w:pPr>
      <w:r>
        <w:rPr>
          <w:color w:val="333333"/>
          <w:sz w:val="22"/>
          <w:szCs w:val="22"/>
        </w:rPr>
        <w:t xml:space="preserve">Lower risk of credential leakage, since no long-lived secret exists for an attacker to obtain.</w:t>
      </w:r>
    </w:p>
    <w:p>
      <w:pPr>
        <w:pStyle w:val="ListParagraph"/>
        <w:numPr>
          <w:ilvl w:val="0"/>
          <w:numId w:val="2"/>
        </w:numPr>
        <w:spacing w:after="100" w:line="276"/>
      </w:pPr>
      <w:r>
        <w:rPr>
          <w:color w:val="333333"/>
          <w:sz w:val="22"/>
          <w:szCs w:val="22"/>
        </w:rPr>
        <w:t xml:space="preserve">A documented boundary of applications that must remain on Service Principal authentication due to legacy or cross-tenant constraints.</w:t>
      </w:r>
    </w:p>
    <w:p>
      <w:pPr>
        <w:pStyle w:val="Heading1"/>
        <w:spacing w:after="180" w:before="360"/>
        <w:outlineLvl w:val="0"/>
      </w:pPr>
      <w:r>
        <w:t xml:space="preserve">10. Conclusion</w:t>
      </w:r>
    </w:p>
    <w:p>
      <w:pPr>
        <w:spacing w:after="160" w:line="288"/>
        <w:jc w:val="both"/>
      </w:pPr>
      <w:r>
        <w:rPr>
          <w:color w:val="333333"/>
          <w:sz w:val="22"/>
          <w:szCs w:val="22"/>
        </w:rPr>
        <w:t xml:space="preserve">Adopting Azure Managed Identity allows applications in the estate to authenticate to Azure services without ever storing or rotating a secret. Azure AD issues short-lived tokens automatically, removing the single largest source of credential-related risk in the current authentication model. Legacy services without Managed Identity support and cross-tenant access scenarios remain open constraints and define the practical boundary of this project's scope. Future work should catalogue which applications in the estate fall inside versus outside this boundary, and evaluate alternative approaches — such as cross-tenant federation — for the scenarios Managed Identity does not cover.</w:t>
      </w:r>
    </w:p>
    <w:p>
      <w:pPr>
        <w:pStyle w:val="Heading1"/>
        <w:spacing w:after="180" w:before="360"/>
        <w:outlineLvl w:val="0"/>
      </w:pPr>
      <w:r>
        <w:t xml:space="preserve">11. References</w:t>
      </w:r>
    </w:p>
    <w:p>
      <w:pPr>
        <w:spacing w:after="160" w:line="288"/>
        <w:jc w:val="both"/>
      </w:pPr>
      <w:r>
        <w:rPr>
          <w:color w:val="333333"/>
          <w:sz w:val="22"/>
          <w:szCs w:val="22"/>
        </w:rPr>
        <w:t xml:space="preserve">[1] Microsoft, "What are managed identities for Azure resources?", Microsoft Learn, Azure Active Directory documentation.</w:t>
      </w:r>
    </w:p>
    <w:p>
      <w:pPr>
        <w:spacing w:after="160" w:line="288"/>
        <w:jc w:val="both"/>
      </w:pPr>
      <w:r>
        <w:rPr>
          <w:color w:val="333333"/>
          <w:sz w:val="22"/>
          <w:szCs w:val="22"/>
        </w:rPr>
        <w:t xml:space="preserve">[2] Microsoft, "How to use managed identities for App Service and Azure Functions", Microsoft Learn.</w:t>
      </w:r>
    </w:p>
    <w:p>
      <w:pPr>
        <w:spacing w:after="160" w:line="288"/>
        <w:jc w:val="both"/>
      </w:pPr>
      <w:r>
        <w:rPr>
          <w:color w:val="333333"/>
          <w:sz w:val="22"/>
          <w:szCs w:val="22"/>
        </w:rPr>
        <w:t xml:space="preserve">[3] Microsoft, "Azure role-based access control (Azure RBAC) documentation", Microsoft Learn.</w:t>
      </w:r>
    </w:p>
    <w:p>
      <w:pPr>
        <w:spacing w:after="160" w:line="288"/>
        <w:jc w:val="both"/>
      </w:pPr>
      <w:r>
        <w:rPr>
          <w:color w:val="333333"/>
          <w:sz w:val="22"/>
          <w:szCs w:val="22"/>
        </w:rPr>
        <w:t xml:space="preserve">[4] Microsoft, "What is Azure Active Directory (Entra ID)?", Microsoft Learn.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Azure Managed Identity Adoption — P-030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2026-09-26T17:15:16.358Z</dcterms:created>
  <dcterms:modified xsi:type="dcterms:W3CDTF">2026-09-26T17:15:16.367Z</dcterms:modified>
</cp:coreProperties>
</file>

<file path=docProps/custom.xml><?xml version="1.0" encoding="utf-8"?>
<Properties xmlns="http://schemas.openxmlformats.org/officeDocument/2006/custom-properties" xmlns:vt="http://schemas.openxmlformats.org/officeDocument/2006/docPropsVTypes"/>
</file>