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9DC52" w14:textId="178994F9" w:rsidR="002A4468" w:rsidRPr="00693491" w:rsidRDefault="002A4468" w:rsidP="002A4468">
      <w:pPr>
        <w:rPr>
          <w:lang w:val="sl-SI"/>
        </w:rPr>
      </w:pPr>
      <w:r w:rsidRPr="00693491">
        <w:rPr>
          <w:b/>
          <w:lang w:val="sl-SI"/>
        </w:rPr>
        <w:t>Kristen Ghodsee in Mitc</w:t>
      </w:r>
      <w:r w:rsidR="00532FB5" w:rsidRPr="00693491">
        <w:rPr>
          <w:b/>
          <w:lang w:val="sl-SI"/>
        </w:rPr>
        <w:t>h</w:t>
      </w:r>
      <w:r w:rsidR="00C222BB">
        <w:rPr>
          <w:b/>
          <w:lang w:val="sl-SI"/>
        </w:rPr>
        <w:t xml:space="preserve">ell A. Orenstein. Taking </w:t>
      </w:r>
      <w:proofErr w:type="spellStart"/>
      <w:r w:rsidR="00C222BB">
        <w:rPr>
          <w:b/>
          <w:lang w:val="sl-SI"/>
        </w:rPr>
        <w:t>Stock</w:t>
      </w:r>
      <w:proofErr w:type="spellEnd"/>
      <w:r w:rsidR="00C222BB">
        <w:rPr>
          <w:b/>
          <w:lang w:val="sl-SI"/>
        </w:rPr>
        <w:t xml:space="preserve"> of </w:t>
      </w:r>
      <w:proofErr w:type="spellStart"/>
      <w:r w:rsidR="00C222BB">
        <w:rPr>
          <w:b/>
          <w:lang w:val="sl-SI"/>
        </w:rPr>
        <w:t>S</w:t>
      </w:r>
      <w:r w:rsidRPr="00693491">
        <w:rPr>
          <w:b/>
          <w:lang w:val="sl-SI"/>
        </w:rPr>
        <w:t>hock</w:t>
      </w:r>
      <w:proofErr w:type="spellEnd"/>
      <w:r w:rsidR="00C222BB">
        <w:rPr>
          <w:b/>
          <w:lang w:val="sl-SI"/>
        </w:rPr>
        <w:t>: S</w:t>
      </w:r>
      <w:r w:rsidRPr="00693491">
        <w:rPr>
          <w:b/>
          <w:lang w:val="sl-SI"/>
        </w:rPr>
        <w:t xml:space="preserve">ocial </w:t>
      </w:r>
      <w:proofErr w:type="spellStart"/>
      <w:r w:rsidR="00C222BB">
        <w:rPr>
          <w:b/>
          <w:lang w:val="sl-SI"/>
        </w:rPr>
        <w:t>Consequences</w:t>
      </w:r>
      <w:proofErr w:type="spellEnd"/>
      <w:r w:rsidR="00C222BB">
        <w:rPr>
          <w:b/>
          <w:lang w:val="sl-SI"/>
        </w:rPr>
        <w:t xml:space="preserve"> </w:t>
      </w:r>
      <w:proofErr w:type="spellStart"/>
      <w:r w:rsidR="00C222BB">
        <w:rPr>
          <w:b/>
          <w:lang w:val="sl-SI"/>
        </w:rPr>
        <w:t>of</w:t>
      </w:r>
      <w:proofErr w:type="spellEnd"/>
      <w:r w:rsidR="00C222BB">
        <w:rPr>
          <w:b/>
          <w:lang w:val="sl-SI"/>
        </w:rPr>
        <w:t xml:space="preserve"> </w:t>
      </w:r>
      <w:proofErr w:type="spellStart"/>
      <w:r w:rsidR="00C222BB">
        <w:rPr>
          <w:b/>
          <w:lang w:val="sl-SI"/>
        </w:rPr>
        <w:t>the</w:t>
      </w:r>
      <w:proofErr w:type="spellEnd"/>
      <w:r w:rsidR="00C222BB">
        <w:rPr>
          <w:b/>
          <w:lang w:val="sl-SI"/>
        </w:rPr>
        <w:t xml:space="preserve"> 1989 </w:t>
      </w:r>
      <w:proofErr w:type="spellStart"/>
      <w:r w:rsidR="00C222BB">
        <w:rPr>
          <w:b/>
          <w:lang w:val="sl-SI"/>
        </w:rPr>
        <w:t>R</w:t>
      </w:r>
      <w:r w:rsidRPr="00693491">
        <w:rPr>
          <w:b/>
          <w:lang w:val="sl-SI"/>
        </w:rPr>
        <w:t>evolutions</w:t>
      </w:r>
      <w:proofErr w:type="spellEnd"/>
      <w:r w:rsidRPr="00693491">
        <w:rPr>
          <w:b/>
          <w:lang w:val="sl-SI"/>
        </w:rPr>
        <w:t>.</w:t>
      </w:r>
      <w:r w:rsidR="00762AF9" w:rsidRPr="00693491">
        <w:rPr>
          <w:lang w:val="sl-SI"/>
        </w:rPr>
        <w:t xml:space="preserve"> </w:t>
      </w:r>
      <w:r w:rsidR="00532FB5" w:rsidRPr="00693491">
        <w:rPr>
          <w:lang w:val="sl-SI"/>
        </w:rPr>
        <w:t>New York</w:t>
      </w:r>
      <w:r w:rsidR="00762AF9" w:rsidRPr="00693491">
        <w:rPr>
          <w:lang w:val="sl-SI"/>
        </w:rPr>
        <w:t>: Oxford University Press</w:t>
      </w:r>
      <w:r w:rsidRPr="00693491">
        <w:rPr>
          <w:lang w:val="sl-SI"/>
        </w:rPr>
        <w:t>, 202</w:t>
      </w:r>
      <w:r w:rsidR="00762AF9" w:rsidRPr="00693491">
        <w:rPr>
          <w:lang w:val="sl-SI"/>
        </w:rPr>
        <w:t>1</w:t>
      </w:r>
      <w:r w:rsidR="00693491">
        <w:rPr>
          <w:lang w:val="sl-SI"/>
        </w:rPr>
        <w:t>,</w:t>
      </w:r>
      <w:r w:rsidRPr="00693491">
        <w:rPr>
          <w:lang w:val="sl-SI"/>
        </w:rPr>
        <w:t xml:space="preserve"> </w:t>
      </w:r>
      <w:r w:rsidR="00762AF9" w:rsidRPr="00693491">
        <w:rPr>
          <w:lang w:val="sl-SI"/>
        </w:rPr>
        <w:t xml:space="preserve">280 </w:t>
      </w:r>
      <w:r w:rsidRPr="00693491">
        <w:rPr>
          <w:lang w:val="sl-SI"/>
        </w:rPr>
        <w:t>strani</w:t>
      </w:r>
    </w:p>
    <w:p w14:paraId="592629ED" w14:textId="77777777" w:rsidR="00532FB5" w:rsidRPr="00693491" w:rsidRDefault="00532FB5" w:rsidP="002A4468">
      <w:pPr>
        <w:rPr>
          <w:lang w:val="sl-SI"/>
        </w:rPr>
      </w:pPr>
    </w:p>
    <w:p w14:paraId="282357EB" w14:textId="258DDB12" w:rsidR="006D09D1" w:rsidRPr="00693491" w:rsidRDefault="00776377" w:rsidP="0082603F">
      <w:pPr>
        <w:ind w:firstLine="720"/>
        <w:rPr>
          <w:lang w:val="sl-SI"/>
        </w:rPr>
      </w:pPr>
      <w:r w:rsidRPr="00693491">
        <w:rPr>
          <w:lang w:val="sl-SI"/>
        </w:rPr>
        <w:t xml:space="preserve">Polom ali uspeh? </w:t>
      </w:r>
      <w:r w:rsidR="00A81817" w:rsidRPr="00693491">
        <w:rPr>
          <w:lang w:val="sl-SI"/>
        </w:rPr>
        <w:t xml:space="preserve">Neomejena rast ali socialna katastrofa? </w:t>
      </w:r>
      <w:r w:rsidR="00A04229" w:rsidRPr="00693491">
        <w:rPr>
          <w:lang w:val="sl-SI"/>
        </w:rPr>
        <w:t xml:space="preserve">Verjeti mnenju </w:t>
      </w:r>
      <w:r w:rsidR="00E05BD9" w:rsidRPr="00693491">
        <w:rPr>
          <w:lang w:val="sl-SI"/>
        </w:rPr>
        <w:t>zahodnih institucij, politikov</w:t>
      </w:r>
      <w:r w:rsidR="00A04229" w:rsidRPr="00693491">
        <w:rPr>
          <w:lang w:val="sl-SI"/>
        </w:rPr>
        <w:t xml:space="preserve"> </w:t>
      </w:r>
      <w:r w:rsidR="00E05BD9" w:rsidRPr="00693491">
        <w:rPr>
          <w:lang w:val="sl-SI"/>
        </w:rPr>
        <w:t xml:space="preserve">in </w:t>
      </w:r>
      <w:r w:rsidR="00A04229" w:rsidRPr="00693491">
        <w:rPr>
          <w:lang w:val="sl-SI"/>
        </w:rPr>
        <w:t>strokovnjakov</w:t>
      </w:r>
      <w:r w:rsidR="00E05BD9" w:rsidRPr="00693491">
        <w:rPr>
          <w:lang w:val="sl-SI"/>
        </w:rPr>
        <w:t xml:space="preserve"> ali </w:t>
      </w:r>
      <w:r w:rsidR="005B034D" w:rsidRPr="00693491">
        <w:rPr>
          <w:lang w:val="sl-SI"/>
        </w:rPr>
        <w:t>neposrednim</w:t>
      </w:r>
      <w:r w:rsidR="00E05BD9" w:rsidRPr="00693491">
        <w:rPr>
          <w:lang w:val="sl-SI"/>
        </w:rPr>
        <w:t xml:space="preserve"> izkušnjam ljudi</w:t>
      </w:r>
      <w:r w:rsidR="00A04229" w:rsidRPr="00693491">
        <w:rPr>
          <w:lang w:val="sl-SI"/>
        </w:rPr>
        <w:t>?</w:t>
      </w:r>
      <w:r w:rsidR="00651E12" w:rsidRPr="00693491">
        <w:rPr>
          <w:lang w:val="sl-SI"/>
        </w:rPr>
        <w:t xml:space="preserve"> </w:t>
      </w:r>
      <w:r w:rsidR="00A81817" w:rsidRPr="00693491">
        <w:rPr>
          <w:lang w:val="sl-SI"/>
        </w:rPr>
        <w:t>To so vprašanja, s katerim</w:t>
      </w:r>
      <w:r w:rsidR="00651E12" w:rsidRPr="00693491">
        <w:rPr>
          <w:lang w:val="sl-SI"/>
        </w:rPr>
        <w:t>i</w:t>
      </w:r>
      <w:r w:rsidR="00A81817" w:rsidRPr="00693491">
        <w:rPr>
          <w:lang w:val="sl-SI"/>
        </w:rPr>
        <w:t xml:space="preserve"> avtorja Kristen Ghodsee in Mitchell A. Orenstein</w:t>
      </w:r>
      <w:r w:rsidR="007352E0" w:rsidRPr="00693491">
        <w:rPr>
          <w:lang w:val="sl-SI"/>
        </w:rPr>
        <w:t xml:space="preserve"> </w:t>
      </w:r>
      <w:r w:rsidR="00A81817" w:rsidRPr="00693491">
        <w:rPr>
          <w:lang w:val="sl-SI"/>
        </w:rPr>
        <w:t>napovesta temo svoje monografije</w:t>
      </w:r>
      <w:r w:rsidR="00693491">
        <w:rPr>
          <w:lang w:val="sl-SI"/>
        </w:rPr>
        <w:t> –</w:t>
      </w:r>
      <w:r w:rsidR="00A04229" w:rsidRPr="00693491">
        <w:rPr>
          <w:lang w:val="sl-SI"/>
        </w:rPr>
        <w:t xml:space="preserve"> </w:t>
      </w:r>
      <w:proofErr w:type="spellStart"/>
      <w:r w:rsidR="00A04229" w:rsidRPr="00693491">
        <w:rPr>
          <w:i/>
          <w:lang w:val="sl-SI"/>
        </w:rPr>
        <w:t>Taking</w:t>
      </w:r>
      <w:proofErr w:type="spellEnd"/>
      <w:r w:rsidR="00A04229" w:rsidRPr="00693491">
        <w:rPr>
          <w:i/>
          <w:lang w:val="sl-SI"/>
        </w:rPr>
        <w:t xml:space="preserve"> </w:t>
      </w:r>
      <w:proofErr w:type="spellStart"/>
      <w:r w:rsidR="00A04229" w:rsidRPr="00693491">
        <w:rPr>
          <w:i/>
          <w:lang w:val="sl-SI"/>
        </w:rPr>
        <w:t>stock</w:t>
      </w:r>
      <w:proofErr w:type="spellEnd"/>
      <w:r w:rsidR="00A04229" w:rsidRPr="00693491">
        <w:rPr>
          <w:i/>
          <w:lang w:val="sl-SI"/>
        </w:rPr>
        <w:t xml:space="preserve"> </w:t>
      </w:r>
      <w:proofErr w:type="spellStart"/>
      <w:r w:rsidR="00A04229" w:rsidRPr="00693491">
        <w:rPr>
          <w:i/>
          <w:lang w:val="sl-SI"/>
        </w:rPr>
        <w:t>of</w:t>
      </w:r>
      <w:proofErr w:type="spellEnd"/>
      <w:r w:rsidR="00A04229" w:rsidRPr="00693491">
        <w:rPr>
          <w:i/>
          <w:lang w:val="sl-SI"/>
        </w:rPr>
        <w:t xml:space="preserve"> </w:t>
      </w:r>
      <w:proofErr w:type="spellStart"/>
      <w:r w:rsidR="00A04229" w:rsidRPr="00693491">
        <w:rPr>
          <w:i/>
          <w:lang w:val="sl-SI"/>
        </w:rPr>
        <w:t>shock</w:t>
      </w:r>
      <w:proofErr w:type="spellEnd"/>
      <w:r w:rsidR="00A81817" w:rsidRPr="00693491">
        <w:rPr>
          <w:lang w:val="sl-SI"/>
        </w:rPr>
        <w:t xml:space="preserve">. </w:t>
      </w:r>
      <w:r w:rsidR="00521A0D" w:rsidRPr="00693491">
        <w:rPr>
          <w:lang w:val="sl-SI"/>
        </w:rPr>
        <w:t>Pri pisanju</w:t>
      </w:r>
      <w:r w:rsidR="008E0C4C" w:rsidRPr="00693491">
        <w:rPr>
          <w:lang w:val="sl-SI"/>
        </w:rPr>
        <w:t xml:space="preserve"> </w:t>
      </w:r>
      <w:r w:rsidR="00F353CF" w:rsidRPr="00693491">
        <w:rPr>
          <w:lang w:val="sl-SI"/>
        </w:rPr>
        <w:t>ocene</w:t>
      </w:r>
      <w:r w:rsidR="008E0C4C" w:rsidRPr="00693491">
        <w:rPr>
          <w:lang w:val="sl-SI"/>
        </w:rPr>
        <w:t xml:space="preserve"> pretresa, ki se je zgodil p</w:t>
      </w:r>
      <w:r w:rsidR="00A04229" w:rsidRPr="00693491">
        <w:rPr>
          <w:lang w:val="sl-SI"/>
        </w:rPr>
        <w:t>o</w:t>
      </w:r>
      <w:r w:rsidR="008E0C4C" w:rsidRPr="00693491">
        <w:rPr>
          <w:lang w:val="sl-SI"/>
        </w:rPr>
        <w:t xml:space="preserve"> koncu socializma, </w:t>
      </w:r>
      <w:r w:rsidR="00521A0D" w:rsidRPr="00693491">
        <w:rPr>
          <w:lang w:val="sl-SI"/>
        </w:rPr>
        <w:t xml:space="preserve">sta moči združila </w:t>
      </w:r>
      <w:r w:rsidR="00AC3F2C" w:rsidRPr="00693491">
        <w:rPr>
          <w:lang w:val="sl-SI"/>
        </w:rPr>
        <w:t xml:space="preserve">dva ugledna </w:t>
      </w:r>
      <w:r w:rsidR="00EA4680" w:rsidRPr="00693491">
        <w:rPr>
          <w:lang w:val="sl-SI"/>
        </w:rPr>
        <w:t xml:space="preserve">ameriška </w:t>
      </w:r>
      <w:r w:rsidR="00AC3F2C" w:rsidRPr="00693491">
        <w:rPr>
          <w:lang w:val="sl-SI"/>
        </w:rPr>
        <w:t xml:space="preserve">profesorja </w:t>
      </w:r>
      <w:r w:rsidR="0004095D" w:rsidRPr="00693491">
        <w:rPr>
          <w:lang w:val="sl-SI"/>
        </w:rPr>
        <w:t>ruske in vzhodnoevropske zgodovine</w:t>
      </w:r>
      <w:r w:rsidR="003E56D9" w:rsidRPr="00693491">
        <w:rPr>
          <w:lang w:val="sl-SI"/>
        </w:rPr>
        <w:t xml:space="preserve"> in avtorja številnih del o obdobju postsocializma</w:t>
      </w:r>
      <w:r w:rsidR="007341C5" w:rsidRPr="00693491">
        <w:rPr>
          <w:lang w:val="sl-SI"/>
        </w:rPr>
        <w:t>. Zaradi njunega mešanega</w:t>
      </w:r>
      <w:r w:rsidR="003E56D9" w:rsidRPr="00693491">
        <w:rPr>
          <w:lang w:val="sl-SI"/>
        </w:rPr>
        <w:t xml:space="preserve"> etnografsk</w:t>
      </w:r>
      <w:r w:rsidR="007341C5" w:rsidRPr="00693491">
        <w:rPr>
          <w:lang w:val="sl-SI"/>
        </w:rPr>
        <w:t>ega</w:t>
      </w:r>
      <w:r w:rsidR="003E56D9" w:rsidRPr="00693491">
        <w:rPr>
          <w:lang w:val="sl-SI"/>
        </w:rPr>
        <w:t xml:space="preserve"> in politološk</w:t>
      </w:r>
      <w:r w:rsidR="007341C5" w:rsidRPr="00693491">
        <w:rPr>
          <w:lang w:val="sl-SI"/>
        </w:rPr>
        <w:t>ega</w:t>
      </w:r>
      <w:r w:rsidR="003E56D9" w:rsidRPr="00693491">
        <w:rPr>
          <w:lang w:val="sl-SI"/>
        </w:rPr>
        <w:t xml:space="preserve"> pristop</w:t>
      </w:r>
      <w:r w:rsidR="007341C5" w:rsidRPr="00693491">
        <w:rPr>
          <w:lang w:val="sl-SI"/>
        </w:rPr>
        <w:t>a</w:t>
      </w:r>
      <w:r w:rsidR="00DA3C68" w:rsidRPr="00693491">
        <w:rPr>
          <w:lang w:val="sl-SI"/>
        </w:rPr>
        <w:t xml:space="preserve"> je </w:t>
      </w:r>
      <w:proofErr w:type="spellStart"/>
      <w:r w:rsidR="005B034D" w:rsidRPr="00693491">
        <w:rPr>
          <w:i/>
          <w:lang w:val="sl-SI"/>
        </w:rPr>
        <w:t>Taking</w:t>
      </w:r>
      <w:proofErr w:type="spellEnd"/>
      <w:r w:rsidR="005B034D" w:rsidRPr="00693491">
        <w:rPr>
          <w:i/>
          <w:lang w:val="sl-SI"/>
        </w:rPr>
        <w:t xml:space="preserve"> </w:t>
      </w:r>
      <w:proofErr w:type="spellStart"/>
      <w:r w:rsidR="005B034D" w:rsidRPr="00693491">
        <w:rPr>
          <w:i/>
          <w:lang w:val="sl-SI"/>
        </w:rPr>
        <w:t>stock</w:t>
      </w:r>
      <w:proofErr w:type="spellEnd"/>
      <w:r w:rsidR="005B034D" w:rsidRPr="00693491">
        <w:rPr>
          <w:i/>
          <w:lang w:val="sl-SI"/>
        </w:rPr>
        <w:t xml:space="preserve"> </w:t>
      </w:r>
      <w:proofErr w:type="spellStart"/>
      <w:r w:rsidR="005B034D" w:rsidRPr="00693491">
        <w:rPr>
          <w:i/>
          <w:lang w:val="sl-SI"/>
        </w:rPr>
        <w:t>of</w:t>
      </w:r>
      <w:proofErr w:type="spellEnd"/>
      <w:r w:rsidR="005B034D" w:rsidRPr="00693491">
        <w:rPr>
          <w:i/>
          <w:lang w:val="sl-SI"/>
        </w:rPr>
        <w:t xml:space="preserve"> </w:t>
      </w:r>
      <w:proofErr w:type="spellStart"/>
      <w:r w:rsidR="005B034D" w:rsidRPr="00693491">
        <w:rPr>
          <w:i/>
          <w:lang w:val="sl-SI"/>
        </w:rPr>
        <w:t>shock</w:t>
      </w:r>
      <w:proofErr w:type="spellEnd"/>
      <w:r w:rsidR="005B034D" w:rsidRPr="00693491">
        <w:rPr>
          <w:lang w:val="sl-SI"/>
        </w:rPr>
        <w:t xml:space="preserve"> </w:t>
      </w:r>
      <w:r w:rsidR="00693491">
        <w:rPr>
          <w:lang w:val="sl-SI"/>
        </w:rPr>
        <w:t>kakovosten</w:t>
      </w:r>
      <w:r w:rsidR="00693491" w:rsidRPr="00693491">
        <w:rPr>
          <w:lang w:val="sl-SI"/>
        </w:rPr>
        <w:t xml:space="preserve"> </w:t>
      </w:r>
      <w:r w:rsidR="002C5F3B" w:rsidRPr="00693491">
        <w:rPr>
          <w:lang w:val="sl-SI"/>
        </w:rPr>
        <w:t>primer interdisciplinarnega</w:t>
      </w:r>
      <w:r w:rsidR="00DA3C68" w:rsidRPr="00693491">
        <w:rPr>
          <w:lang w:val="sl-SI"/>
        </w:rPr>
        <w:t xml:space="preserve"> prispevk</w:t>
      </w:r>
      <w:r w:rsidR="002C5F3B" w:rsidRPr="00693491">
        <w:rPr>
          <w:lang w:val="sl-SI"/>
        </w:rPr>
        <w:t>a</w:t>
      </w:r>
      <w:r w:rsidR="000C6DE1" w:rsidRPr="00693491">
        <w:rPr>
          <w:lang w:val="sl-SI"/>
        </w:rPr>
        <w:t xml:space="preserve"> </w:t>
      </w:r>
      <w:r w:rsidR="00D6665D" w:rsidRPr="00693491">
        <w:rPr>
          <w:lang w:val="sl-SI"/>
        </w:rPr>
        <w:t>politologije</w:t>
      </w:r>
      <w:r w:rsidR="000C6DE1" w:rsidRPr="00693491">
        <w:rPr>
          <w:lang w:val="sl-SI"/>
        </w:rPr>
        <w:t xml:space="preserve"> in </w:t>
      </w:r>
      <w:r w:rsidR="00D6665D" w:rsidRPr="00693491">
        <w:rPr>
          <w:lang w:val="sl-SI"/>
        </w:rPr>
        <w:t>etnografije</w:t>
      </w:r>
      <w:r w:rsidR="00DA3C68" w:rsidRPr="00693491">
        <w:rPr>
          <w:lang w:val="sl-SI"/>
        </w:rPr>
        <w:t xml:space="preserve"> h</w:t>
      </w:r>
      <w:r w:rsidR="002C578B" w:rsidRPr="00693491">
        <w:rPr>
          <w:lang w:val="sl-SI"/>
        </w:rPr>
        <w:t xml:space="preserve"> kritičnemu razumevanju</w:t>
      </w:r>
      <w:r w:rsidR="00DA3C68" w:rsidRPr="00693491">
        <w:rPr>
          <w:lang w:val="sl-SI"/>
        </w:rPr>
        <w:t xml:space="preserve"> postsocializma</w:t>
      </w:r>
      <w:r w:rsidR="00486035" w:rsidRPr="00693491">
        <w:rPr>
          <w:lang w:val="sl-SI"/>
        </w:rPr>
        <w:t xml:space="preserve"> na širšem geografskem območju</w:t>
      </w:r>
      <w:r w:rsidR="0082603F" w:rsidRPr="00693491">
        <w:rPr>
          <w:lang w:val="sl-SI"/>
        </w:rPr>
        <w:t>. Zajameta države</w:t>
      </w:r>
      <w:r w:rsidR="00221362" w:rsidRPr="00693491">
        <w:rPr>
          <w:lang w:val="sl-SI"/>
        </w:rPr>
        <w:t xml:space="preserve"> Srednje</w:t>
      </w:r>
      <w:r w:rsidR="002B5C59" w:rsidRPr="00693491">
        <w:rPr>
          <w:lang w:val="sl-SI"/>
        </w:rPr>
        <w:t>,</w:t>
      </w:r>
      <w:r w:rsidR="00221362" w:rsidRPr="00693491">
        <w:rPr>
          <w:lang w:val="sl-SI"/>
        </w:rPr>
        <w:t xml:space="preserve"> Vzhodne</w:t>
      </w:r>
      <w:r w:rsidR="002B5C59" w:rsidRPr="00693491">
        <w:rPr>
          <w:lang w:val="sl-SI"/>
        </w:rPr>
        <w:t xml:space="preserve"> in Južne</w:t>
      </w:r>
      <w:r w:rsidR="00221362" w:rsidRPr="00693491">
        <w:rPr>
          <w:lang w:val="sl-SI"/>
        </w:rPr>
        <w:t xml:space="preserve"> Evrope</w:t>
      </w:r>
      <w:r w:rsidR="002B5C59" w:rsidRPr="00693491">
        <w:rPr>
          <w:lang w:val="sl-SI"/>
        </w:rPr>
        <w:t xml:space="preserve"> ter</w:t>
      </w:r>
      <w:r w:rsidR="00221362" w:rsidRPr="00693491">
        <w:rPr>
          <w:lang w:val="sl-SI"/>
        </w:rPr>
        <w:t xml:space="preserve"> </w:t>
      </w:r>
      <w:r w:rsidR="00693491">
        <w:rPr>
          <w:lang w:val="sl-SI"/>
        </w:rPr>
        <w:t>S</w:t>
      </w:r>
      <w:r w:rsidR="00221362" w:rsidRPr="00693491">
        <w:rPr>
          <w:lang w:val="sl-SI"/>
        </w:rPr>
        <w:t>rednje Azije</w:t>
      </w:r>
      <w:r w:rsidR="0082603F" w:rsidRPr="00693491">
        <w:rPr>
          <w:lang w:val="sl-SI"/>
        </w:rPr>
        <w:t>, ki pa jih večinoma obravnavata kot bolj ali manj homogeno skupino</w:t>
      </w:r>
      <w:r w:rsidR="00A04229" w:rsidRPr="00693491">
        <w:rPr>
          <w:lang w:val="sl-SI"/>
        </w:rPr>
        <w:t>.</w:t>
      </w:r>
      <w:r w:rsidR="0082603F" w:rsidRPr="00693491">
        <w:rPr>
          <w:lang w:val="sl-SI"/>
        </w:rPr>
        <w:t xml:space="preserve"> </w:t>
      </w:r>
      <w:r w:rsidR="000C10FD" w:rsidRPr="00693491">
        <w:rPr>
          <w:lang w:val="sl-SI"/>
        </w:rPr>
        <w:t xml:space="preserve">Zaradi jasnega sloga pisanja lahko knjiga pritegne tudi marsikaterega raziskovalca z drugih področij ali pa laičnega bralca, </w:t>
      </w:r>
      <w:r w:rsidR="006D09D1" w:rsidRPr="00693491">
        <w:rPr>
          <w:lang w:val="sl-SI"/>
        </w:rPr>
        <w:t>ki ga zanima, kako tranzicijsko obdobje še vedno pogojuje trenutno realnost.</w:t>
      </w:r>
    </w:p>
    <w:p w14:paraId="6EF09EA5" w14:textId="5E55E2BF" w:rsidR="00D40821" w:rsidRPr="00693491" w:rsidRDefault="002C5F3B" w:rsidP="00532FB5">
      <w:pPr>
        <w:ind w:firstLine="720"/>
        <w:rPr>
          <w:lang w:val="sl-SI"/>
        </w:rPr>
      </w:pPr>
      <w:r w:rsidRPr="00693491">
        <w:rPr>
          <w:lang w:val="sl-SI"/>
        </w:rPr>
        <w:t>Gradivo</w:t>
      </w:r>
      <w:r w:rsidR="00EA30D4" w:rsidRPr="00693491">
        <w:rPr>
          <w:lang w:val="sl-SI"/>
        </w:rPr>
        <w:t>, na kater</w:t>
      </w:r>
      <w:r w:rsidR="00693491">
        <w:rPr>
          <w:lang w:val="sl-SI"/>
        </w:rPr>
        <w:t>em</w:t>
      </w:r>
      <w:r w:rsidR="00EA30D4" w:rsidRPr="00693491">
        <w:rPr>
          <w:lang w:val="sl-SI"/>
        </w:rPr>
        <w:t xml:space="preserve"> avtorja </w:t>
      </w:r>
      <w:r w:rsidR="00693491">
        <w:rPr>
          <w:lang w:val="sl-SI"/>
        </w:rPr>
        <w:t>ustvarjata</w:t>
      </w:r>
      <w:r w:rsidR="00693491" w:rsidRPr="00693491">
        <w:rPr>
          <w:lang w:val="sl-SI"/>
        </w:rPr>
        <w:t xml:space="preserve"> </w:t>
      </w:r>
      <w:r w:rsidR="00AF3D97" w:rsidRPr="00693491">
        <w:rPr>
          <w:lang w:val="sl-SI"/>
        </w:rPr>
        <w:t>pripoved</w:t>
      </w:r>
      <w:r w:rsidR="00EA30D4" w:rsidRPr="00693491">
        <w:rPr>
          <w:lang w:val="sl-SI"/>
        </w:rPr>
        <w:t xml:space="preserve">, </w:t>
      </w:r>
      <w:r w:rsidRPr="00693491">
        <w:rPr>
          <w:lang w:val="sl-SI"/>
        </w:rPr>
        <w:t>je sestavljeno iz</w:t>
      </w:r>
      <w:r w:rsidR="00EA30D4" w:rsidRPr="00693491">
        <w:rPr>
          <w:lang w:val="sl-SI"/>
        </w:rPr>
        <w:t xml:space="preserve"> obsežnih podatkovnih baz</w:t>
      </w:r>
      <w:r w:rsidR="002F3A39" w:rsidRPr="00693491">
        <w:rPr>
          <w:lang w:val="sl-SI"/>
        </w:rPr>
        <w:t xml:space="preserve"> </w:t>
      </w:r>
      <w:r w:rsidR="00693491">
        <w:rPr>
          <w:lang w:val="sl-SI"/>
        </w:rPr>
        <w:t>in</w:t>
      </w:r>
      <w:r w:rsidR="00693491" w:rsidRPr="00693491">
        <w:rPr>
          <w:lang w:val="sl-SI"/>
        </w:rPr>
        <w:t xml:space="preserve"> </w:t>
      </w:r>
      <w:r w:rsidR="002F3A39" w:rsidRPr="00693491">
        <w:rPr>
          <w:lang w:val="sl-SI"/>
        </w:rPr>
        <w:t>obstoječ</w:t>
      </w:r>
      <w:r w:rsidRPr="00693491">
        <w:rPr>
          <w:lang w:val="sl-SI"/>
        </w:rPr>
        <w:t>e</w:t>
      </w:r>
      <w:r w:rsidR="002F3A39" w:rsidRPr="00693491">
        <w:rPr>
          <w:lang w:val="sl-SI"/>
        </w:rPr>
        <w:t xml:space="preserve"> literatur</w:t>
      </w:r>
      <w:r w:rsidRPr="00693491">
        <w:rPr>
          <w:lang w:val="sl-SI"/>
        </w:rPr>
        <w:t>e</w:t>
      </w:r>
      <w:r w:rsidR="00900037" w:rsidRPr="00693491">
        <w:rPr>
          <w:lang w:val="sl-SI"/>
        </w:rPr>
        <w:t xml:space="preserve">, pri čemer avtorja žal </w:t>
      </w:r>
      <w:r w:rsidR="00DC226B" w:rsidRPr="00693491">
        <w:rPr>
          <w:lang w:val="sl-SI"/>
        </w:rPr>
        <w:t>izpustita vire, ustvarjene v okolju, ki ga pr</w:t>
      </w:r>
      <w:r w:rsidR="00693491">
        <w:rPr>
          <w:lang w:val="sl-SI"/>
        </w:rPr>
        <w:t>o</w:t>
      </w:r>
      <w:r w:rsidR="00DC226B" w:rsidRPr="00693491">
        <w:rPr>
          <w:lang w:val="sl-SI"/>
        </w:rPr>
        <w:t>učujeta</w:t>
      </w:r>
      <w:r w:rsidR="001A4F4F" w:rsidRPr="00693491">
        <w:rPr>
          <w:lang w:val="sl-SI"/>
        </w:rPr>
        <w:t>.</w:t>
      </w:r>
      <w:r w:rsidR="00173226" w:rsidRPr="00693491">
        <w:rPr>
          <w:rStyle w:val="Sprotnaopomba-sklic"/>
          <w:lang w:val="sl-SI"/>
        </w:rPr>
        <w:footnoteReference w:id="1"/>
      </w:r>
      <w:r w:rsidR="00D2046C" w:rsidRPr="00693491">
        <w:rPr>
          <w:lang w:val="sl-SI"/>
        </w:rPr>
        <w:t xml:space="preserve"> Pri interpretaciji obdobja v ospredje že uvodoma stopi vprašanje kritike virov: takšni, kot so, omogočajo dve skrajno različni interpretaciji, torej tako </w:t>
      </w:r>
      <w:r w:rsidR="00AF3D97" w:rsidRPr="00693491">
        <w:rPr>
          <w:lang w:val="sl-SI"/>
        </w:rPr>
        <w:t>interpretacijo</w:t>
      </w:r>
      <w:r w:rsidR="00D2046C" w:rsidRPr="00693491">
        <w:rPr>
          <w:lang w:val="sl-SI"/>
        </w:rPr>
        <w:t xml:space="preserve"> tranzicije kot uspeha </w:t>
      </w:r>
      <w:r w:rsidR="00693491">
        <w:rPr>
          <w:lang w:val="sl-SI"/>
        </w:rPr>
        <w:t>in</w:t>
      </w:r>
      <w:r w:rsidR="00693491" w:rsidRPr="00693491">
        <w:rPr>
          <w:lang w:val="sl-SI"/>
        </w:rPr>
        <w:t xml:space="preserve"> </w:t>
      </w:r>
      <w:r w:rsidR="00D2046C" w:rsidRPr="00693491">
        <w:rPr>
          <w:lang w:val="sl-SI"/>
        </w:rPr>
        <w:t>neuspeha</w:t>
      </w:r>
      <w:r w:rsidR="00525834" w:rsidRPr="00693491">
        <w:rPr>
          <w:lang w:val="sl-SI"/>
        </w:rPr>
        <w:t>, česar se pisca dobro zavedata</w:t>
      </w:r>
      <w:r w:rsidR="00D2046C" w:rsidRPr="00693491">
        <w:rPr>
          <w:lang w:val="sl-SI"/>
        </w:rPr>
        <w:t>.</w:t>
      </w:r>
      <w:r w:rsidR="000B291E" w:rsidRPr="00693491">
        <w:rPr>
          <w:lang w:val="sl-SI"/>
        </w:rPr>
        <w:t xml:space="preserve"> Da bi </w:t>
      </w:r>
      <w:r w:rsidR="00735DBD" w:rsidRPr="00693491">
        <w:rPr>
          <w:lang w:val="sl-SI"/>
        </w:rPr>
        <w:t xml:space="preserve">prešla razkorak med interpretacijama, avtorja svoje delo zastavita v dveh korakih. Z uporabo kvantitativnega pristopa, ki izhaja </w:t>
      </w:r>
      <w:r w:rsidR="00693491">
        <w:rPr>
          <w:lang w:val="sl-SI"/>
        </w:rPr>
        <w:t>s</w:t>
      </w:r>
      <w:r w:rsidR="00735DBD" w:rsidRPr="00693491">
        <w:rPr>
          <w:lang w:val="sl-SI"/>
        </w:rPr>
        <w:t xml:space="preserve"> perspektive velikih institucij, najprej odgovorita na vprašanje, kaj se je med tranzicijo dogajalo</w:t>
      </w:r>
      <w:r w:rsidR="00C0213E" w:rsidRPr="00693491">
        <w:rPr>
          <w:lang w:val="sl-SI"/>
        </w:rPr>
        <w:t xml:space="preserve"> na gospodarskem področju</w:t>
      </w:r>
      <w:r w:rsidR="00735DBD" w:rsidRPr="00693491">
        <w:rPr>
          <w:lang w:val="sl-SI"/>
        </w:rPr>
        <w:t>. V drugem koraku</w:t>
      </w:r>
      <w:r w:rsidR="007645D1" w:rsidRPr="00693491">
        <w:rPr>
          <w:lang w:val="sl-SI"/>
        </w:rPr>
        <w:t xml:space="preserve"> s prehodom h kvalitativni analizi nato odgovorita na vprašanje, zakaj </w:t>
      </w:r>
      <w:r w:rsidR="000C6DE1" w:rsidRPr="00693491">
        <w:rPr>
          <w:lang w:val="sl-SI"/>
        </w:rPr>
        <w:t>se je proces odvil tako, kot se je.</w:t>
      </w:r>
      <w:r w:rsidR="00E60974" w:rsidRPr="00693491">
        <w:rPr>
          <w:lang w:val="sl-SI"/>
        </w:rPr>
        <w:t xml:space="preserve"> Perspektiva, skozi katero avtorja ponovno interpretirata nekatere že znane ugotovitve, je perspektiva neenakosti</w:t>
      </w:r>
      <w:r w:rsidR="001F35BE" w:rsidRPr="00693491">
        <w:rPr>
          <w:lang w:val="sl-SI"/>
        </w:rPr>
        <w:t xml:space="preserve">, s katero približata </w:t>
      </w:r>
      <w:r w:rsidR="00C0213E" w:rsidRPr="00693491">
        <w:rPr>
          <w:lang w:val="sl-SI"/>
        </w:rPr>
        <w:t>posamezne</w:t>
      </w:r>
      <w:r w:rsidR="001F35BE" w:rsidRPr="00693491">
        <w:rPr>
          <w:lang w:val="sl-SI"/>
        </w:rPr>
        <w:t xml:space="preserve"> na</w:t>
      </w:r>
      <w:r w:rsidR="00693491">
        <w:rPr>
          <w:lang w:val="sl-SI"/>
        </w:rPr>
        <w:t xml:space="preserve"> </w:t>
      </w:r>
      <w:r w:rsidR="001F35BE" w:rsidRPr="00693491">
        <w:rPr>
          <w:lang w:val="sl-SI"/>
        </w:rPr>
        <w:t>videz nasprotujoče si znanstvene ugotovitve različnih raziskovalnih področij.</w:t>
      </w:r>
      <w:r w:rsidR="00267511" w:rsidRPr="00693491">
        <w:rPr>
          <w:lang w:val="sl-SI"/>
        </w:rPr>
        <w:t xml:space="preserve"> Štirje sklopi poglavij</w:t>
      </w:r>
      <w:r w:rsidR="00894E71" w:rsidRPr="00693491">
        <w:rPr>
          <w:lang w:val="sl-SI"/>
        </w:rPr>
        <w:t xml:space="preserve">, vsak </w:t>
      </w:r>
      <w:r w:rsidR="00693491">
        <w:rPr>
          <w:lang w:val="sl-SI"/>
        </w:rPr>
        <w:t xml:space="preserve">se </w:t>
      </w:r>
      <w:r w:rsidR="00894E71" w:rsidRPr="00693491">
        <w:rPr>
          <w:lang w:val="sl-SI"/>
        </w:rPr>
        <w:t>osredotoča na svoj</w:t>
      </w:r>
      <w:r w:rsidR="007A1DA9" w:rsidRPr="00693491">
        <w:rPr>
          <w:lang w:val="sl-SI"/>
        </w:rPr>
        <w:t xml:space="preserve">o perspektivo </w:t>
      </w:r>
      <w:r w:rsidR="00894E71" w:rsidRPr="00693491">
        <w:rPr>
          <w:lang w:val="sl-SI"/>
        </w:rPr>
        <w:t>(</w:t>
      </w:r>
      <w:r w:rsidR="007A1DA9" w:rsidRPr="00693491">
        <w:rPr>
          <w:lang w:val="sl-SI"/>
        </w:rPr>
        <w:t>gospodarsko,</w:t>
      </w:r>
      <w:r w:rsidR="0002608D" w:rsidRPr="00693491">
        <w:rPr>
          <w:lang w:val="sl-SI"/>
        </w:rPr>
        <w:t xml:space="preserve"> demografsk</w:t>
      </w:r>
      <w:r w:rsidR="007A1DA9" w:rsidRPr="00693491">
        <w:rPr>
          <w:lang w:val="sl-SI"/>
        </w:rPr>
        <w:t>o</w:t>
      </w:r>
      <w:r w:rsidR="0002608D" w:rsidRPr="00693491">
        <w:rPr>
          <w:lang w:val="sl-SI"/>
        </w:rPr>
        <w:t>, javnomnenjsk</w:t>
      </w:r>
      <w:r w:rsidR="007A1DA9" w:rsidRPr="00693491">
        <w:rPr>
          <w:lang w:val="sl-SI"/>
        </w:rPr>
        <w:t>o</w:t>
      </w:r>
      <w:r w:rsidR="0002608D" w:rsidRPr="00693491">
        <w:rPr>
          <w:lang w:val="sl-SI"/>
        </w:rPr>
        <w:t xml:space="preserve"> in etnografsk</w:t>
      </w:r>
      <w:r w:rsidR="007A1DA9" w:rsidRPr="00693491">
        <w:rPr>
          <w:lang w:val="sl-SI"/>
        </w:rPr>
        <w:t>o</w:t>
      </w:r>
      <w:r w:rsidR="00FF1809" w:rsidRPr="00693491">
        <w:rPr>
          <w:lang w:val="sl-SI"/>
        </w:rPr>
        <w:t>)</w:t>
      </w:r>
      <w:r w:rsidR="00693491">
        <w:rPr>
          <w:lang w:val="sl-SI"/>
        </w:rPr>
        <w:t>,</w:t>
      </w:r>
      <w:r w:rsidR="00FF1809" w:rsidRPr="00693491">
        <w:rPr>
          <w:lang w:val="sl-SI"/>
        </w:rPr>
        <w:t xml:space="preserve"> </w:t>
      </w:r>
      <w:r w:rsidR="007A1DA9" w:rsidRPr="00693491">
        <w:rPr>
          <w:lang w:val="sl-SI"/>
        </w:rPr>
        <w:t xml:space="preserve">so podprti s štirimi pripadajočimi skupinami virov, </w:t>
      </w:r>
      <w:r w:rsidR="00CD6ABD" w:rsidRPr="00693491">
        <w:rPr>
          <w:lang w:val="sl-SI"/>
        </w:rPr>
        <w:t>s katerimi avtorja podpreta svojo argumentacijo</w:t>
      </w:r>
      <w:r w:rsidR="005948C8" w:rsidRPr="00693491">
        <w:rPr>
          <w:lang w:val="sl-SI"/>
        </w:rPr>
        <w:t>.</w:t>
      </w:r>
    </w:p>
    <w:p w14:paraId="20031CB3" w14:textId="223AA976" w:rsidR="00CA1FAF" w:rsidRPr="00693491" w:rsidRDefault="00DD33F5" w:rsidP="003D2D46">
      <w:pPr>
        <w:ind w:firstLine="720"/>
        <w:rPr>
          <w:lang w:val="sl-SI"/>
        </w:rPr>
      </w:pPr>
      <w:r w:rsidRPr="00693491">
        <w:rPr>
          <w:lang w:val="sl-SI"/>
        </w:rPr>
        <w:t xml:space="preserve">Začetek </w:t>
      </w:r>
      <w:r w:rsidR="00CD6ABD" w:rsidRPr="00693491">
        <w:rPr>
          <w:lang w:val="sl-SI"/>
        </w:rPr>
        <w:t>poglavja</w:t>
      </w:r>
      <w:r w:rsidR="007C045D" w:rsidRPr="00693491">
        <w:rPr>
          <w:lang w:val="sl-SI"/>
        </w:rPr>
        <w:t xml:space="preserve"> o</w:t>
      </w:r>
      <w:r w:rsidR="00A053AC" w:rsidRPr="00693491">
        <w:rPr>
          <w:lang w:val="sl-SI"/>
        </w:rPr>
        <w:t xml:space="preserve"> </w:t>
      </w:r>
      <w:r w:rsidR="007C045D" w:rsidRPr="00693491">
        <w:rPr>
          <w:lang w:val="sl-SI"/>
        </w:rPr>
        <w:t>gospodarskem razvoju</w:t>
      </w:r>
      <w:r w:rsidR="00A053AC" w:rsidRPr="00693491">
        <w:rPr>
          <w:lang w:val="sl-SI"/>
        </w:rPr>
        <w:t xml:space="preserve"> v </w:t>
      </w:r>
      <w:r w:rsidR="00693491">
        <w:rPr>
          <w:lang w:val="sl-SI"/>
        </w:rPr>
        <w:t>obdobju</w:t>
      </w:r>
      <w:r w:rsidR="00693491" w:rsidRPr="00693491">
        <w:rPr>
          <w:lang w:val="sl-SI"/>
        </w:rPr>
        <w:t xml:space="preserve"> </w:t>
      </w:r>
      <w:r w:rsidR="00A053AC" w:rsidRPr="00693491">
        <w:rPr>
          <w:lang w:val="sl-SI"/>
        </w:rPr>
        <w:t xml:space="preserve">tranzicije avtorja </w:t>
      </w:r>
      <w:r w:rsidR="00190F98" w:rsidRPr="00693491">
        <w:rPr>
          <w:lang w:val="sl-SI"/>
        </w:rPr>
        <w:t>pričneta</w:t>
      </w:r>
      <w:r w:rsidRPr="00693491">
        <w:rPr>
          <w:lang w:val="sl-SI"/>
        </w:rPr>
        <w:t xml:space="preserve"> z analizo načrtov, ki so jih v obliki publikacije</w:t>
      </w:r>
      <w:r w:rsidR="00A053AC" w:rsidRPr="00693491">
        <w:rPr>
          <w:lang w:val="sl-SI"/>
        </w:rPr>
        <w:t xml:space="preserve"> </w:t>
      </w:r>
      <w:r w:rsidRPr="00693491">
        <w:rPr>
          <w:i/>
          <w:lang w:val="sl-SI"/>
        </w:rPr>
        <w:t>Reform in Eastern Europe</w:t>
      </w:r>
      <w:r w:rsidRPr="00693491">
        <w:rPr>
          <w:lang w:val="sl-SI"/>
        </w:rPr>
        <w:t xml:space="preserve"> leta </w:t>
      </w:r>
      <w:r w:rsidR="00152C0C" w:rsidRPr="00693491">
        <w:rPr>
          <w:lang w:val="sl-SI"/>
        </w:rPr>
        <w:t>1991</w:t>
      </w:r>
      <w:r w:rsidRPr="00693491">
        <w:rPr>
          <w:lang w:val="sl-SI"/>
        </w:rPr>
        <w:t xml:space="preserve"> </w:t>
      </w:r>
      <w:r w:rsidR="00152C0C" w:rsidRPr="00693491">
        <w:rPr>
          <w:lang w:val="sl-SI"/>
        </w:rPr>
        <w:t xml:space="preserve">zastavili </w:t>
      </w:r>
      <w:r w:rsidR="00152C0C" w:rsidRPr="00693491">
        <w:rPr>
          <w:lang w:val="sl-SI"/>
        </w:rPr>
        <w:lastRenderedPageBreak/>
        <w:t>ugledni (</w:t>
      </w:r>
      <w:r w:rsidR="00190F98" w:rsidRPr="00693491">
        <w:rPr>
          <w:lang w:val="sl-SI"/>
        </w:rPr>
        <w:t xml:space="preserve">večinoma </w:t>
      </w:r>
      <w:r w:rsidR="00152C0C" w:rsidRPr="00693491">
        <w:rPr>
          <w:lang w:val="sl-SI"/>
        </w:rPr>
        <w:t>ameriški) ekonomisti.</w:t>
      </w:r>
      <w:r w:rsidR="00152C0C" w:rsidRPr="00693491">
        <w:rPr>
          <w:rStyle w:val="Sprotnaopomba-sklic"/>
          <w:lang w:val="sl-SI"/>
        </w:rPr>
        <w:footnoteReference w:id="2"/>
      </w:r>
      <w:r w:rsidR="00B40D3D" w:rsidRPr="00693491">
        <w:rPr>
          <w:lang w:val="sl-SI"/>
        </w:rPr>
        <w:t xml:space="preserve"> </w:t>
      </w:r>
      <w:r w:rsidR="00A30A2A" w:rsidRPr="00693491">
        <w:rPr>
          <w:lang w:val="sl-SI"/>
        </w:rPr>
        <w:t xml:space="preserve">Njihovi načrti so temeljili na miselnosti o nezmotljivosti prostega trga ter na prepričanju, da bosta začetna </w:t>
      </w:r>
      <w:r w:rsidR="00190F98" w:rsidRPr="00693491">
        <w:rPr>
          <w:lang w:val="sl-SI"/>
        </w:rPr>
        <w:t xml:space="preserve">tranzicijska </w:t>
      </w:r>
      <w:r w:rsidR="00A30A2A" w:rsidRPr="00693491">
        <w:rPr>
          <w:lang w:val="sl-SI"/>
        </w:rPr>
        <w:t xml:space="preserve">kriza in morebitna škoda </w:t>
      </w:r>
      <w:r w:rsidR="00284722" w:rsidRPr="00693491">
        <w:rPr>
          <w:lang w:val="sl-SI"/>
        </w:rPr>
        <w:t xml:space="preserve">v nekaj letih prešli. </w:t>
      </w:r>
      <w:r w:rsidR="002938E1" w:rsidRPr="00693491">
        <w:rPr>
          <w:lang w:val="sl-SI"/>
        </w:rPr>
        <w:t xml:space="preserve">Čeprav je iz dokumentov razvidno, da so načrtovalci reform do neke mere razumeli velike razlike med državami, ki so jih želeli reformirati, </w:t>
      </w:r>
      <w:r w:rsidR="00A93307" w:rsidRPr="00693491">
        <w:rPr>
          <w:lang w:val="sl-SI"/>
        </w:rPr>
        <w:t xml:space="preserve">jih </w:t>
      </w:r>
      <w:r w:rsidR="002938E1" w:rsidRPr="00693491">
        <w:rPr>
          <w:lang w:val="sl-SI"/>
        </w:rPr>
        <w:t xml:space="preserve">je </w:t>
      </w:r>
      <w:r w:rsidR="00A93307" w:rsidRPr="00693491">
        <w:rPr>
          <w:lang w:val="sl-SI"/>
        </w:rPr>
        <w:t>njihova vera v domnevno nezmotljive zakonitosti neoliberalizma pripeljala d</w:t>
      </w:r>
      <w:r w:rsidR="00063881">
        <w:rPr>
          <w:lang w:val="sl-SI"/>
        </w:rPr>
        <w:t>o</w:t>
      </w:r>
      <w:r w:rsidR="00A93307" w:rsidRPr="00693491">
        <w:rPr>
          <w:lang w:val="sl-SI"/>
        </w:rPr>
        <w:t xml:space="preserve"> sklepa, da so različna izhodiščna stanja posameznih držav</w:t>
      </w:r>
      <w:r w:rsidR="00190F98" w:rsidRPr="00693491">
        <w:rPr>
          <w:lang w:val="sl-SI"/>
        </w:rPr>
        <w:t xml:space="preserve"> Srednje</w:t>
      </w:r>
      <w:r w:rsidR="002B5C59" w:rsidRPr="00693491">
        <w:rPr>
          <w:lang w:val="sl-SI"/>
        </w:rPr>
        <w:t xml:space="preserve">, </w:t>
      </w:r>
      <w:r w:rsidR="00190F98" w:rsidRPr="00693491">
        <w:rPr>
          <w:lang w:val="sl-SI"/>
        </w:rPr>
        <w:t>Vzhodne</w:t>
      </w:r>
      <w:r w:rsidR="002B5C59" w:rsidRPr="00693491">
        <w:rPr>
          <w:lang w:val="sl-SI"/>
        </w:rPr>
        <w:t xml:space="preserve"> in Južne</w:t>
      </w:r>
      <w:r w:rsidR="00190F98" w:rsidRPr="00693491">
        <w:rPr>
          <w:lang w:val="sl-SI"/>
        </w:rPr>
        <w:t xml:space="preserve"> Evrope</w:t>
      </w:r>
      <w:r w:rsidR="002B5C59" w:rsidRPr="00693491">
        <w:rPr>
          <w:lang w:val="sl-SI"/>
        </w:rPr>
        <w:t xml:space="preserve"> </w:t>
      </w:r>
      <w:r w:rsidR="00ED6A65" w:rsidRPr="00693491">
        <w:rPr>
          <w:lang w:val="sl-SI"/>
        </w:rPr>
        <w:t xml:space="preserve">ter </w:t>
      </w:r>
      <w:r w:rsidR="00063881">
        <w:rPr>
          <w:lang w:val="sl-SI"/>
        </w:rPr>
        <w:t>S</w:t>
      </w:r>
      <w:r w:rsidR="00063881" w:rsidRPr="00693491">
        <w:rPr>
          <w:lang w:val="sl-SI"/>
        </w:rPr>
        <w:t xml:space="preserve">rednje </w:t>
      </w:r>
      <w:r w:rsidR="00ED6A65" w:rsidRPr="00693491">
        <w:rPr>
          <w:lang w:val="sl-SI"/>
        </w:rPr>
        <w:t xml:space="preserve">Azije </w:t>
      </w:r>
      <w:r w:rsidR="00A93307" w:rsidRPr="00693491">
        <w:rPr>
          <w:lang w:val="sl-SI"/>
        </w:rPr>
        <w:t>pravzaprav zanemarljiva</w:t>
      </w:r>
      <w:r w:rsidR="00491747" w:rsidRPr="00693491">
        <w:rPr>
          <w:lang w:val="sl-SI"/>
        </w:rPr>
        <w:t>.</w:t>
      </w:r>
    </w:p>
    <w:p w14:paraId="7868C4E2" w14:textId="208EB64F" w:rsidR="00532FB5" w:rsidRPr="00693491" w:rsidRDefault="00491747" w:rsidP="006C69B8">
      <w:pPr>
        <w:ind w:firstLine="720"/>
        <w:rPr>
          <w:lang w:val="sl-SI"/>
        </w:rPr>
      </w:pPr>
      <w:r w:rsidRPr="00693491">
        <w:rPr>
          <w:lang w:val="sl-SI"/>
        </w:rPr>
        <w:t>Njihove odločitve s</w:t>
      </w:r>
      <w:r w:rsidR="00203086" w:rsidRPr="00693491">
        <w:rPr>
          <w:lang w:val="sl-SI"/>
        </w:rPr>
        <w:t xml:space="preserve">o </w:t>
      </w:r>
      <w:r w:rsidR="00ED6A65" w:rsidRPr="00693491">
        <w:rPr>
          <w:lang w:val="sl-SI"/>
        </w:rPr>
        <w:t xml:space="preserve">nato </w:t>
      </w:r>
      <w:r w:rsidR="00203086" w:rsidRPr="00693491">
        <w:rPr>
          <w:lang w:val="sl-SI"/>
        </w:rPr>
        <w:t>neposredno vplivale na držav</w:t>
      </w:r>
      <w:r w:rsidR="00314A89" w:rsidRPr="00693491">
        <w:rPr>
          <w:lang w:val="sl-SI"/>
        </w:rPr>
        <w:t>e v prehodu</w:t>
      </w:r>
      <w:r w:rsidR="0087054A" w:rsidRPr="00693491">
        <w:rPr>
          <w:lang w:val="sl-SI"/>
        </w:rPr>
        <w:t>, kar je predstavljeno v naslednjem razdelku knjige</w:t>
      </w:r>
      <w:r w:rsidR="00314A89" w:rsidRPr="00693491">
        <w:rPr>
          <w:lang w:val="sl-SI"/>
        </w:rPr>
        <w:t>. N</w:t>
      </w:r>
      <w:r w:rsidR="00203086" w:rsidRPr="00693491">
        <w:rPr>
          <w:lang w:val="sl-SI"/>
        </w:rPr>
        <w:t xml:space="preserve">a podlagi mnenj, ki so jih zahodni ekonomisti izdali, so osrednje institucije, kot so World Bank, </w:t>
      </w:r>
      <w:r w:rsidR="00314A89" w:rsidRPr="00693491">
        <w:rPr>
          <w:lang w:val="sl-SI"/>
        </w:rPr>
        <w:t xml:space="preserve">International Monetary Fund in European Bank for Reconstruction and Development, usmerjale svojo politiko </w:t>
      </w:r>
      <w:r w:rsidR="00270F3E" w:rsidRPr="00693491">
        <w:rPr>
          <w:lang w:val="sl-SI"/>
        </w:rPr>
        <w:t xml:space="preserve">v odnosu </w:t>
      </w:r>
      <w:r w:rsidR="00314A89" w:rsidRPr="00693491">
        <w:rPr>
          <w:lang w:val="sl-SI"/>
        </w:rPr>
        <w:t>do tranzicijskih držav.</w:t>
      </w:r>
      <w:r w:rsidR="00EC5A6E" w:rsidRPr="00693491">
        <w:rPr>
          <w:lang w:val="sl-SI"/>
        </w:rPr>
        <w:t xml:space="preserve"> V praksi</w:t>
      </w:r>
      <w:r w:rsidR="00BA02DD" w:rsidRPr="00693491">
        <w:rPr>
          <w:lang w:val="sl-SI"/>
        </w:rPr>
        <w:t xml:space="preserve"> je gospodarski prehod prinesel </w:t>
      </w:r>
      <w:r w:rsidR="00321D15" w:rsidRPr="00693491">
        <w:rPr>
          <w:lang w:val="sl-SI"/>
        </w:rPr>
        <w:t xml:space="preserve">mnogo neželenih posledic, od organiziranega kriminala do izkoriščanja </w:t>
      </w:r>
      <w:r w:rsidR="000C4284" w:rsidRPr="00693491">
        <w:rPr>
          <w:lang w:val="sl-SI"/>
        </w:rPr>
        <w:t xml:space="preserve">privatizacijske zakonodaje, </w:t>
      </w:r>
      <w:r w:rsidR="00B22F4B" w:rsidRPr="00693491">
        <w:rPr>
          <w:lang w:val="sl-SI"/>
        </w:rPr>
        <w:t>dviga stopnje revščine</w:t>
      </w:r>
      <w:r w:rsidR="00F13C18" w:rsidRPr="00693491">
        <w:rPr>
          <w:lang w:val="sl-SI"/>
        </w:rPr>
        <w:t xml:space="preserve"> za večino gospodinjstev</w:t>
      </w:r>
      <w:r w:rsidR="00B22F4B" w:rsidRPr="00693491">
        <w:rPr>
          <w:lang w:val="sl-SI"/>
        </w:rPr>
        <w:t xml:space="preserve"> in povečanega števila smrti med prebivalstvom.</w:t>
      </w:r>
      <w:r w:rsidR="00DA6277" w:rsidRPr="00693491">
        <w:rPr>
          <w:lang w:val="sl-SI"/>
        </w:rPr>
        <w:t xml:space="preserve"> Dostop do osnovnih življenjskih potrebščin</w:t>
      </w:r>
      <w:r w:rsidR="00296C19" w:rsidRPr="00693491">
        <w:rPr>
          <w:lang w:val="sl-SI"/>
        </w:rPr>
        <w:t xml:space="preserve">, ki je bil v </w:t>
      </w:r>
      <w:r w:rsidR="00063881">
        <w:rPr>
          <w:lang w:val="sl-SI"/>
        </w:rPr>
        <w:t>obdobju</w:t>
      </w:r>
      <w:r w:rsidR="00063881" w:rsidRPr="00693491">
        <w:rPr>
          <w:lang w:val="sl-SI"/>
        </w:rPr>
        <w:t xml:space="preserve"> </w:t>
      </w:r>
      <w:r w:rsidR="00296C19" w:rsidRPr="00693491">
        <w:rPr>
          <w:lang w:val="sl-SI"/>
        </w:rPr>
        <w:t>socializma zagotovljen tudi najrevnejšim, je skoraj čez noč postal omejen</w:t>
      </w:r>
      <w:r w:rsidR="003D2D46" w:rsidRPr="00693491">
        <w:rPr>
          <w:lang w:val="sl-SI"/>
        </w:rPr>
        <w:t xml:space="preserve"> ali </w:t>
      </w:r>
      <w:r w:rsidR="000F36EB" w:rsidRPr="00693491">
        <w:rPr>
          <w:lang w:val="sl-SI"/>
        </w:rPr>
        <w:t>popolnoma prekinj</w:t>
      </w:r>
      <w:r w:rsidR="00063881">
        <w:rPr>
          <w:lang w:val="sl-SI"/>
        </w:rPr>
        <w:t>e</w:t>
      </w:r>
      <w:r w:rsidR="000F36EB" w:rsidRPr="00693491">
        <w:rPr>
          <w:lang w:val="sl-SI"/>
        </w:rPr>
        <w:t>n</w:t>
      </w:r>
      <w:r w:rsidR="003D2D46" w:rsidRPr="00693491">
        <w:rPr>
          <w:lang w:val="sl-SI"/>
        </w:rPr>
        <w:t>.</w:t>
      </w:r>
      <w:r w:rsidR="00B42E9A" w:rsidRPr="00693491">
        <w:rPr>
          <w:lang w:val="sl-SI"/>
        </w:rPr>
        <w:t xml:space="preserve"> </w:t>
      </w:r>
      <w:r w:rsidR="006C69B8" w:rsidRPr="00693491">
        <w:rPr>
          <w:lang w:val="sl-SI"/>
        </w:rPr>
        <w:t xml:space="preserve">V praktično vseh postsocialističnih državah je </w:t>
      </w:r>
      <w:r w:rsidR="00063881">
        <w:rPr>
          <w:lang w:val="sl-SI"/>
        </w:rPr>
        <w:t>med</w:t>
      </w:r>
      <w:r w:rsidR="006C69B8" w:rsidRPr="00693491">
        <w:rPr>
          <w:lang w:val="sl-SI"/>
        </w:rPr>
        <w:t xml:space="preserve"> tranzicij</w:t>
      </w:r>
      <w:r w:rsidR="00063881">
        <w:rPr>
          <w:lang w:val="sl-SI"/>
        </w:rPr>
        <w:t>o,</w:t>
      </w:r>
      <w:r w:rsidR="00AE6228" w:rsidRPr="00693491">
        <w:rPr>
          <w:lang w:val="sl-SI"/>
        </w:rPr>
        <w:t xml:space="preserve"> vzporedno s </w:t>
      </w:r>
      <w:r w:rsidR="0078445A" w:rsidRPr="00693491">
        <w:rPr>
          <w:lang w:val="sl-SI"/>
        </w:rPr>
        <w:t>padcem natalitete in močnim trendom izseljevanja</w:t>
      </w:r>
      <w:r w:rsidR="00063881">
        <w:rPr>
          <w:lang w:val="sl-SI"/>
        </w:rPr>
        <w:t>,</w:t>
      </w:r>
      <w:r w:rsidR="006C69B8" w:rsidRPr="00693491">
        <w:rPr>
          <w:lang w:val="sl-SI"/>
        </w:rPr>
        <w:t xml:space="preserve"> strmo narasla stopnja umrljivosti. </w:t>
      </w:r>
      <w:r w:rsidR="00B42E9A" w:rsidRPr="00693491">
        <w:rPr>
          <w:lang w:val="sl-SI"/>
        </w:rPr>
        <w:t>Ne le trg</w:t>
      </w:r>
      <w:r w:rsidR="006C69B8" w:rsidRPr="00693491">
        <w:rPr>
          <w:lang w:val="sl-SI"/>
        </w:rPr>
        <w:t xml:space="preserve">, ugotavljata avtorja, </w:t>
      </w:r>
      <w:r w:rsidR="00B42E9A" w:rsidRPr="00693491">
        <w:rPr>
          <w:lang w:val="sl-SI"/>
        </w:rPr>
        <w:t>tudi</w:t>
      </w:r>
      <w:r w:rsidR="006C69B8" w:rsidRPr="00693491">
        <w:rPr>
          <w:lang w:val="sl-SI"/>
        </w:rPr>
        <w:t xml:space="preserve"> obstoj in stanje</w:t>
      </w:r>
      <w:r w:rsidR="00B42E9A" w:rsidRPr="00693491">
        <w:rPr>
          <w:lang w:val="sl-SI"/>
        </w:rPr>
        <w:t xml:space="preserve"> </w:t>
      </w:r>
      <w:r w:rsidR="00977023" w:rsidRPr="00693491">
        <w:rPr>
          <w:lang w:val="sl-SI"/>
        </w:rPr>
        <w:t xml:space="preserve">institucij </w:t>
      </w:r>
      <w:r w:rsidR="006C69B8" w:rsidRPr="00693491">
        <w:rPr>
          <w:lang w:val="sl-SI"/>
        </w:rPr>
        <w:t>ter</w:t>
      </w:r>
      <w:r w:rsidR="00977023" w:rsidRPr="00693491">
        <w:rPr>
          <w:lang w:val="sl-SI"/>
        </w:rPr>
        <w:t xml:space="preserve"> geografska lega </w:t>
      </w:r>
      <w:r w:rsidR="006C69B8" w:rsidRPr="00693491">
        <w:rPr>
          <w:lang w:val="sl-SI"/>
        </w:rPr>
        <w:t xml:space="preserve">posameznih </w:t>
      </w:r>
      <w:r w:rsidR="00977023" w:rsidRPr="00693491">
        <w:rPr>
          <w:lang w:val="sl-SI"/>
        </w:rPr>
        <w:t>držav s</w:t>
      </w:r>
      <w:r w:rsidR="00063881">
        <w:rPr>
          <w:lang w:val="sl-SI"/>
        </w:rPr>
        <w:t>o</w:t>
      </w:r>
      <w:r w:rsidR="00977023" w:rsidRPr="00693491">
        <w:rPr>
          <w:lang w:val="sl-SI"/>
        </w:rPr>
        <w:t xml:space="preserve"> se izkazal</w:t>
      </w:r>
      <w:r w:rsidR="00063881">
        <w:rPr>
          <w:lang w:val="sl-SI"/>
        </w:rPr>
        <w:t>i</w:t>
      </w:r>
      <w:r w:rsidR="00977023" w:rsidRPr="00693491">
        <w:rPr>
          <w:lang w:val="sl-SI"/>
        </w:rPr>
        <w:t xml:space="preserve"> za odločiln</w:t>
      </w:r>
      <w:r w:rsidR="00063881">
        <w:rPr>
          <w:lang w:val="sl-SI"/>
        </w:rPr>
        <w:t>e</w:t>
      </w:r>
      <w:r w:rsidR="00977023" w:rsidRPr="00693491">
        <w:rPr>
          <w:lang w:val="sl-SI"/>
        </w:rPr>
        <w:t xml:space="preserve"> </w:t>
      </w:r>
      <w:r w:rsidR="00063881">
        <w:rPr>
          <w:lang w:val="sl-SI"/>
        </w:rPr>
        <w:t>dejavnike</w:t>
      </w:r>
      <w:r w:rsidR="00977023" w:rsidRPr="00693491">
        <w:rPr>
          <w:lang w:val="sl-SI"/>
        </w:rPr>
        <w:t xml:space="preserve"> pri izpeljavi tranzicije</w:t>
      </w:r>
      <w:r w:rsidR="000F36EB" w:rsidRPr="00693491">
        <w:rPr>
          <w:lang w:val="sl-SI"/>
        </w:rPr>
        <w:t xml:space="preserve">. Z ugotovitvijo tako nekoliko dopolnita izhodiščni vidik strokovnjakov, ki so na Zahodu pripravljali tranzicijske smernice, vendar </w:t>
      </w:r>
      <w:r w:rsidR="0087054A" w:rsidRPr="00693491">
        <w:rPr>
          <w:lang w:val="sl-SI"/>
        </w:rPr>
        <w:t>od njega</w:t>
      </w:r>
      <w:r w:rsidR="000F36EB" w:rsidRPr="00693491">
        <w:rPr>
          <w:lang w:val="sl-SI"/>
        </w:rPr>
        <w:t xml:space="preserve"> ne </w:t>
      </w:r>
      <w:r w:rsidR="0087054A" w:rsidRPr="00693491">
        <w:rPr>
          <w:lang w:val="sl-SI"/>
        </w:rPr>
        <w:t>odstopita</w:t>
      </w:r>
      <w:r w:rsidR="00280EB7" w:rsidRPr="00280EB7">
        <w:rPr>
          <w:lang w:val="sl-SI"/>
        </w:rPr>
        <w:t xml:space="preserve"> </w:t>
      </w:r>
      <w:r w:rsidR="00280EB7" w:rsidRPr="00693491">
        <w:rPr>
          <w:lang w:val="sl-SI"/>
        </w:rPr>
        <w:t>bistveno</w:t>
      </w:r>
      <w:r w:rsidR="0087054A" w:rsidRPr="00693491">
        <w:rPr>
          <w:lang w:val="sl-SI"/>
        </w:rPr>
        <w:t>.</w:t>
      </w:r>
    </w:p>
    <w:p w14:paraId="6CCC56E6" w14:textId="1DF4B331" w:rsidR="00340D3E" w:rsidRPr="00693491" w:rsidRDefault="00B35224" w:rsidP="006C69B8">
      <w:pPr>
        <w:ind w:firstLine="720"/>
        <w:rPr>
          <w:lang w:val="sl-SI"/>
        </w:rPr>
      </w:pPr>
      <w:r w:rsidRPr="00693491">
        <w:rPr>
          <w:lang w:val="sl-SI"/>
        </w:rPr>
        <w:t>V tretjem sklopu ocenjujeta tranzicijo skozi lečo javnega mnenja</w:t>
      </w:r>
      <w:r w:rsidR="00A40F13" w:rsidRPr="00693491">
        <w:rPr>
          <w:lang w:val="sl-SI"/>
        </w:rPr>
        <w:t>. Preko mnogih javnomnenjskih raziskav je osrednji odgovor</w:t>
      </w:r>
      <w:r w:rsidR="003D6A50" w:rsidRPr="00693491">
        <w:rPr>
          <w:lang w:val="sl-SI"/>
        </w:rPr>
        <w:t xml:space="preserve"> anketirancev</w:t>
      </w:r>
      <w:r w:rsidR="00A40F13" w:rsidRPr="00693491">
        <w:rPr>
          <w:lang w:val="sl-SI"/>
        </w:rPr>
        <w:t xml:space="preserve">, ki </w:t>
      </w:r>
      <w:r w:rsidR="003D6A50" w:rsidRPr="00693491">
        <w:rPr>
          <w:lang w:val="sl-SI"/>
        </w:rPr>
        <w:t xml:space="preserve">je, sledeč interpretaciji avtorjev, </w:t>
      </w:r>
      <w:r w:rsidR="00A40F13" w:rsidRPr="00693491">
        <w:rPr>
          <w:lang w:val="sl-SI"/>
        </w:rPr>
        <w:t xml:space="preserve">vedno znova </w:t>
      </w:r>
      <w:r w:rsidR="003D6A50" w:rsidRPr="00693491">
        <w:rPr>
          <w:lang w:val="sl-SI"/>
        </w:rPr>
        <w:t>presenečal</w:t>
      </w:r>
      <w:r w:rsidR="00A40F13" w:rsidRPr="00693491">
        <w:rPr>
          <w:lang w:val="sl-SI"/>
        </w:rPr>
        <w:t xml:space="preserve"> predvsem (zahodne) institucije in raziskovalce</w:t>
      </w:r>
      <w:r w:rsidR="003D6A50" w:rsidRPr="00693491">
        <w:rPr>
          <w:lang w:val="sl-SI"/>
        </w:rPr>
        <w:t>,</w:t>
      </w:r>
      <w:r w:rsidR="00A40F13" w:rsidRPr="00693491">
        <w:rPr>
          <w:lang w:val="sl-SI"/>
        </w:rPr>
        <w:t xml:space="preserve"> splošno nezadovoljstvo med prebivalci tranzicijskih držav tako s tranzicijo samo kot z njihovim </w:t>
      </w:r>
      <w:r w:rsidR="003D6A50" w:rsidRPr="00693491">
        <w:rPr>
          <w:lang w:val="sl-SI"/>
        </w:rPr>
        <w:t>kasnejšim</w:t>
      </w:r>
      <w:r w:rsidR="00A40F13" w:rsidRPr="00693491">
        <w:rPr>
          <w:lang w:val="sl-SI"/>
        </w:rPr>
        <w:t xml:space="preserve"> življenjskim standardom.</w:t>
      </w:r>
      <w:r w:rsidR="00F37DA5" w:rsidRPr="00693491">
        <w:rPr>
          <w:lang w:val="sl-SI"/>
        </w:rPr>
        <w:t xml:space="preserve"> Med podatki, predstavljenimi</w:t>
      </w:r>
      <w:r w:rsidR="00EB05AA" w:rsidRPr="00693491">
        <w:rPr>
          <w:lang w:val="sl-SI"/>
        </w:rPr>
        <w:t xml:space="preserve"> v</w:t>
      </w:r>
      <w:r w:rsidR="00F37DA5" w:rsidRPr="00693491">
        <w:rPr>
          <w:lang w:val="sl-SI"/>
        </w:rPr>
        <w:t xml:space="preserve"> sklopu</w:t>
      </w:r>
      <w:r w:rsidR="00EB05AA" w:rsidRPr="00693491">
        <w:rPr>
          <w:lang w:val="sl-SI"/>
        </w:rPr>
        <w:t xml:space="preserve"> o gospodarski plati tranzicije</w:t>
      </w:r>
      <w:r w:rsidR="00280EB7">
        <w:rPr>
          <w:lang w:val="sl-SI"/>
        </w:rPr>
        <w:t>,</w:t>
      </w:r>
      <w:r w:rsidR="00EB05AA" w:rsidRPr="00693491">
        <w:rPr>
          <w:lang w:val="sl-SI"/>
        </w:rPr>
        <w:t xml:space="preserve"> in demografskimi ter javnomnenjskimi</w:t>
      </w:r>
      <w:r w:rsidR="003D6A50" w:rsidRPr="00693491">
        <w:rPr>
          <w:lang w:val="sl-SI"/>
        </w:rPr>
        <w:t xml:space="preserve"> informacijami</w:t>
      </w:r>
      <w:r w:rsidR="00EB05AA" w:rsidRPr="00693491">
        <w:rPr>
          <w:lang w:val="sl-SI"/>
        </w:rPr>
        <w:t xml:space="preserve">, uporabljenimi </w:t>
      </w:r>
      <w:r w:rsidR="003D6A50" w:rsidRPr="00693491">
        <w:rPr>
          <w:lang w:val="sl-SI"/>
        </w:rPr>
        <w:t>v</w:t>
      </w:r>
      <w:r w:rsidR="00EB05AA" w:rsidRPr="00693491">
        <w:rPr>
          <w:lang w:val="sl-SI"/>
        </w:rPr>
        <w:t xml:space="preserve"> drugem in tretjem sklopu, se zarisuje </w:t>
      </w:r>
      <w:r w:rsidR="003D6A50" w:rsidRPr="00693491">
        <w:rPr>
          <w:lang w:val="sl-SI"/>
        </w:rPr>
        <w:t>osrednji</w:t>
      </w:r>
      <w:r w:rsidR="00EB05AA" w:rsidRPr="00693491">
        <w:rPr>
          <w:lang w:val="sl-SI"/>
        </w:rPr>
        <w:t xml:space="preserve"> </w:t>
      </w:r>
      <w:r w:rsidR="003D6A50" w:rsidRPr="00693491">
        <w:rPr>
          <w:lang w:val="sl-SI"/>
        </w:rPr>
        <w:t>interpretativni problem</w:t>
      </w:r>
      <w:r w:rsidR="00EB05AA" w:rsidRPr="00693491">
        <w:rPr>
          <w:lang w:val="sl-SI"/>
        </w:rPr>
        <w:t xml:space="preserve">. </w:t>
      </w:r>
      <w:r w:rsidR="003D6A50" w:rsidRPr="00693491">
        <w:rPr>
          <w:lang w:val="sl-SI"/>
        </w:rPr>
        <w:t>P</w:t>
      </w:r>
      <w:r w:rsidR="00EB05AA" w:rsidRPr="00693491">
        <w:rPr>
          <w:lang w:val="sl-SI"/>
        </w:rPr>
        <w:t xml:space="preserve">rvi prikazujejo tranzicijo kot </w:t>
      </w:r>
      <w:r w:rsidR="003D6A50" w:rsidRPr="00693491">
        <w:rPr>
          <w:lang w:val="sl-SI"/>
        </w:rPr>
        <w:t xml:space="preserve">nedvomen </w:t>
      </w:r>
      <w:r w:rsidR="00EB05AA" w:rsidRPr="00693491">
        <w:rPr>
          <w:lang w:val="sl-SI"/>
        </w:rPr>
        <w:t xml:space="preserve">uspeh, </w:t>
      </w:r>
      <w:r w:rsidR="003D6A50" w:rsidRPr="00693491">
        <w:rPr>
          <w:lang w:val="sl-SI"/>
        </w:rPr>
        <w:t xml:space="preserve">medtem ko druga dva sklopa </w:t>
      </w:r>
      <w:r w:rsidR="00EB05AA" w:rsidRPr="00693491">
        <w:rPr>
          <w:lang w:val="sl-SI"/>
        </w:rPr>
        <w:t>podatkov riše</w:t>
      </w:r>
      <w:r w:rsidR="003D6A50" w:rsidRPr="00693491">
        <w:rPr>
          <w:lang w:val="sl-SI"/>
        </w:rPr>
        <w:t>ta tranzicijo</w:t>
      </w:r>
      <w:r w:rsidR="00EB05AA" w:rsidRPr="00693491">
        <w:rPr>
          <w:lang w:val="sl-SI"/>
        </w:rPr>
        <w:t xml:space="preserve"> predvsem kot neuspeh.</w:t>
      </w:r>
    </w:p>
    <w:p w14:paraId="409AA675" w14:textId="4F8F778D" w:rsidR="00281EBF" w:rsidRPr="00693491" w:rsidRDefault="00C822F2" w:rsidP="006C69B8">
      <w:pPr>
        <w:ind w:firstLine="720"/>
        <w:rPr>
          <w:lang w:val="sl-SI"/>
        </w:rPr>
      </w:pPr>
      <w:r w:rsidRPr="00693491">
        <w:rPr>
          <w:lang w:val="sl-SI"/>
        </w:rPr>
        <w:t xml:space="preserve">Neenakost med </w:t>
      </w:r>
      <w:r w:rsidR="00281EBF" w:rsidRPr="00693491">
        <w:rPr>
          <w:lang w:val="sl-SI"/>
        </w:rPr>
        <w:t>prebivalci</w:t>
      </w:r>
      <w:r w:rsidRPr="00693491">
        <w:rPr>
          <w:lang w:val="sl-SI"/>
        </w:rPr>
        <w:t xml:space="preserve">, ki jo avtorja uvodoma napovesta kot osrednjo pojasnjevalno perspektivo monografije, postane v tretjem sklopu poglavij osrednji pojasnjevalni </w:t>
      </w:r>
      <w:r w:rsidR="00280EB7">
        <w:rPr>
          <w:lang w:val="sl-SI"/>
        </w:rPr>
        <w:t>dejavnik</w:t>
      </w:r>
      <w:r w:rsidR="00280EB7" w:rsidRPr="00693491">
        <w:rPr>
          <w:lang w:val="sl-SI"/>
        </w:rPr>
        <w:t xml:space="preserve"> </w:t>
      </w:r>
      <w:r w:rsidRPr="00693491">
        <w:rPr>
          <w:lang w:val="sl-SI"/>
        </w:rPr>
        <w:lastRenderedPageBreak/>
        <w:t>različnih razumevanj tranzicije.</w:t>
      </w:r>
      <w:r w:rsidR="00FB3BC8" w:rsidRPr="00693491">
        <w:rPr>
          <w:lang w:val="sl-SI"/>
        </w:rPr>
        <w:t xml:space="preserve"> Neenakost</w:t>
      </w:r>
      <w:r w:rsidR="00163E28" w:rsidRPr="00693491">
        <w:rPr>
          <w:lang w:val="sl-SI"/>
        </w:rPr>
        <w:t xml:space="preserve"> naj bi skupaj s korupcijo, pesimizmom glede prihodnosti, nezaupanjem v sodržavljane in nezadovoljstvom </w:t>
      </w:r>
      <w:r w:rsidR="00FB3047" w:rsidRPr="00693491">
        <w:rPr>
          <w:lang w:val="sl-SI"/>
        </w:rPr>
        <w:t xml:space="preserve">posameznikov glede svojega premoženjskega stanja predstavljala ustrezne pogoje za </w:t>
      </w:r>
      <w:r w:rsidR="00576235" w:rsidRPr="00693491">
        <w:rPr>
          <w:lang w:val="sl-SI"/>
        </w:rPr>
        <w:t xml:space="preserve">dvig nacionalizma in </w:t>
      </w:r>
      <w:r w:rsidR="00FB3047" w:rsidRPr="00693491">
        <w:rPr>
          <w:lang w:val="sl-SI"/>
        </w:rPr>
        <w:t>kasnejši uspeh populizma v tranzicijskih državah.</w:t>
      </w:r>
      <w:r w:rsidR="00864BBB" w:rsidRPr="00693491">
        <w:rPr>
          <w:lang w:val="sl-SI"/>
        </w:rPr>
        <w:t xml:space="preserve"> Pri tem avtorja sicer </w:t>
      </w:r>
      <w:r w:rsidR="000C2B7F" w:rsidRPr="00693491">
        <w:rPr>
          <w:lang w:val="sl-SI"/>
        </w:rPr>
        <w:t>delno relativizirata podatke,</w:t>
      </w:r>
      <w:r w:rsidR="00EB43F2" w:rsidRPr="00693491">
        <w:rPr>
          <w:lang w:val="sl-SI"/>
        </w:rPr>
        <w:t xml:space="preserve"> ki so jih o tranzicijskih državah zbrale </w:t>
      </w:r>
      <w:r w:rsidR="00113E9E" w:rsidRPr="00693491">
        <w:rPr>
          <w:lang w:val="sl-SI"/>
        </w:rPr>
        <w:t xml:space="preserve">globalne </w:t>
      </w:r>
      <w:r w:rsidR="00EB43F2" w:rsidRPr="00693491">
        <w:rPr>
          <w:lang w:val="sl-SI"/>
        </w:rPr>
        <w:t xml:space="preserve">institucije, </w:t>
      </w:r>
      <w:r w:rsidR="00280EB7">
        <w:rPr>
          <w:lang w:val="sl-SI"/>
        </w:rPr>
        <w:t>denimo</w:t>
      </w:r>
      <w:r w:rsidR="00280EB7" w:rsidRPr="00693491">
        <w:rPr>
          <w:lang w:val="sl-SI"/>
        </w:rPr>
        <w:t xml:space="preserve"> </w:t>
      </w:r>
      <w:r w:rsidR="00EB43F2" w:rsidRPr="00693491">
        <w:rPr>
          <w:lang w:val="sl-SI"/>
        </w:rPr>
        <w:t>Svetovna banka</w:t>
      </w:r>
      <w:r w:rsidR="00DC4234" w:rsidRPr="00693491">
        <w:rPr>
          <w:lang w:val="sl-SI"/>
        </w:rPr>
        <w:t>. M</w:t>
      </w:r>
      <w:r w:rsidR="00EB43F2" w:rsidRPr="00693491">
        <w:rPr>
          <w:lang w:val="sl-SI"/>
        </w:rPr>
        <w:t xml:space="preserve">estoma povzemata interpretacije, da je </w:t>
      </w:r>
      <w:r w:rsidR="001806C1" w:rsidRPr="00693491">
        <w:rPr>
          <w:lang w:val="sl-SI"/>
        </w:rPr>
        <w:t xml:space="preserve">socializem osrednji krivec za večino negativnih pojavov kasnejše tranzicije; deloma pa socialistično dediščino uporabljata kot pojasnjevalni </w:t>
      </w:r>
      <w:r w:rsidR="00280EB7">
        <w:rPr>
          <w:lang w:val="sl-SI"/>
        </w:rPr>
        <w:t>dejavnik</w:t>
      </w:r>
      <w:r w:rsidR="00280EB7" w:rsidRPr="00693491">
        <w:rPr>
          <w:lang w:val="sl-SI"/>
        </w:rPr>
        <w:t xml:space="preserve"> </w:t>
      </w:r>
      <w:r w:rsidR="001806C1" w:rsidRPr="00693491">
        <w:rPr>
          <w:lang w:val="sl-SI"/>
        </w:rPr>
        <w:t>za različno razumevanje vloge države</w:t>
      </w:r>
      <w:r w:rsidR="00340D3E" w:rsidRPr="00693491">
        <w:rPr>
          <w:lang w:val="sl-SI"/>
        </w:rPr>
        <w:t xml:space="preserve"> </w:t>
      </w:r>
      <w:r w:rsidR="00280EB7">
        <w:rPr>
          <w:lang w:val="sl-SI"/>
        </w:rPr>
        <w:t>in</w:t>
      </w:r>
      <w:r w:rsidR="00280EB7" w:rsidRPr="00693491">
        <w:rPr>
          <w:lang w:val="sl-SI"/>
        </w:rPr>
        <w:t xml:space="preserve"> </w:t>
      </w:r>
      <w:r w:rsidR="00340D3E" w:rsidRPr="00693491">
        <w:rPr>
          <w:lang w:val="sl-SI"/>
        </w:rPr>
        <w:t>pravičnosti kot družbene vrednote.</w:t>
      </w:r>
    </w:p>
    <w:p w14:paraId="6C5290FD" w14:textId="1F65F617" w:rsidR="00AD4F87" w:rsidRPr="00693491" w:rsidRDefault="00DF680A" w:rsidP="006C69B8">
      <w:pPr>
        <w:ind w:firstLine="720"/>
        <w:rPr>
          <w:lang w:val="sl-SI"/>
        </w:rPr>
      </w:pPr>
      <w:r w:rsidRPr="00693491">
        <w:rPr>
          <w:lang w:val="sl-SI"/>
        </w:rPr>
        <w:t xml:space="preserve">Zadnji, četrti del knjige se skozi lečo </w:t>
      </w:r>
      <w:r w:rsidR="0037278D" w:rsidRPr="00693491">
        <w:rPr>
          <w:lang w:val="sl-SI"/>
        </w:rPr>
        <w:t xml:space="preserve">etnografije odmakne od obsežnih kvantitativnih podatkov. Avtorja svojo pozornost namenita </w:t>
      </w:r>
      <w:r w:rsidR="000C01D4" w:rsidRPr="00693491">
        <w:rPr>
          <w:lang w:val="sl-SI"/>
        </w:rPr>
        <w:t>zgodbam</w:t>
      </w:r>
      <w:r w:rsidR="0037278D" w:rsidRPr="00693491">
        <w:rPr>
          <w:lang w:val="sl-SI"/>
        </w:rPr>
        <w:t xml:space="preserve"> posamezniko</w:t>
      </w:r>
      <w:r w:rsidR="00113E9E" w:rsidRPr="00693491">
        <w:rPr>
          <w:lang w:val="sl-SI"/>
        </w:rPr>
        <w:t>v</w:t>
      </w:r>
      <w:r w:rsidR="0037278D" w:rsidRPr="00693491">
        <w:rPr>
          <w:lang w:val="sl-SI"/>
        </w:rPr>
        <w:t>, ki so tranzicijo dejansko doživeli</w:t>
      </w:r>
      <w:r w:rsidR="00EA3C72" w:rsidRPr="00693491">
        <w:rPr>
          <w:lang w:val="sl-SI"/>
        </w:rPr>
        <w:t xml:space="preserve">. Primeri se vrtijo okrog alkoholizma, občutkov izgube identitete, pretrganih družbenih vezi in </w:t>
      </w:r>
      <w:r w:rsidR="004D45CA" w:rsidRPr="00693491">
        <w:rPr>
          <w:lang w:val="sl-SI"/>
        </w:rPr>
        <w:t>pomanjkanja osnovne preskrbe</w:t>
      </w:r>
      <w:r w:rsidR="003260B5" w:rsidRPr="00693491">
        <w:rPr>
          <w:lang w:val="sl-SI"/>
        </w:rPr>
        <w:t>. P</w:t>
      </w:r>
      <w:r w:rsidR="0075166F" w:rsidRPr="00693491">
        <w:rPr>
          <w:lang w:val="sl-SI"/>
        </w:rPr>
        <w:t xml:space="preserve">ri </w:t>
      </w:r>
      <w:r w:rsidR="003260B5" w:rsidRPr="00693491">
        <w:rPr>
          <w:lang w:val="sl-SI"/>
        </w:rPr>
        <w:t>tem primere</w:t>
      </w:r>
      <w:r w:rsidR="0075166F" w:rsidRPr="00693491">
        <w:rPr>
          <w:lang w:val="sl-SI"/>
        </w:rPr>
        <w:t xml:space="preserve"> občasno povežeta z domnevo, da </w:t>
      </w:r>
      <w:r w:rsidR="003260B5" w:rsidRPr="00693491">
        <w:rPr>
          <w:lang w:val="sl-SI"/>
        </w:rPr>
        <w:t xml:space="preserve">je slab življenjski standard večine v primerjavi s peščico tistih, ki so </w:t>
      </w:r>
      <w:r w:rsidR="000B7461">
        <w:rPr>
          <w:lang w:val="sl-SI"/>
        </w:rPr>
        <w:t>med</w:t>
      </w:r>
      <w:r w:rsidR="003260B5" w:rsidRPr="00693491">
        <w:rPr>
          <w:lang w:val="sl-SI"/>
        </w:rPr>
        <w:t xml:space="preserve"> tranzicij</w:t>
      </w:r>
      <w:r w:rsidR="000B7461">
        <w:rPr>
          <w:lang w:val="sl-SI"/>
        </w:rPr>
        <w:t>o</w:t>
      </w:r>
      <w:r w:rsidR="003260B5" w:rsidRPr="00693491">
        <w:rPr>
          <w:lang w:val="sl-SI"/>
        </w:rPr>
        <w:t xml:space="preserve"> obogateli, utrjeval občutek zamere</w:t>
      </w:r>
      <w:r w:rsidR="000B7461">
        <w:rPr>
          <w:lang w:val="sl-SI"/>
        </w:rPr>
        <w:t>,</w:t>
      </w:r>
      <w:r w:rsidR="003260B5" w:rsidRPr="00693491">
        <w:rPr>
          <w:lang w:val="sl-SI"/>
        </w:rPr>
        <w:t xml:space="preserve"> in tako opozorita na </w:t>
      </w:r>
      <w:r w:rsidR="000B7461">
        <w:rPr>
          <w:lang w:val="sl-SI"/>
        </w:rPr>
        <w:t>dejavnik</w:t>
      </w:r>
      <w:r w:rsidR="000B7461" w:rsidRPr="00693491">
        <w:rPr>
          <w:lang w:val="sl-SI"/>
        </w:rPr>
        <w:t xml:space="preserve"> </w:t>
      </w:r>
      <w:r w:rsidR="003260B5" w:rsidRPr="00693491">
        <w:rPr>
          <w:lang w:val="sl-SI"/>
        </w:rPr>
        <w:t>neenakosti prebivalstva tranzicijskih držav</w:t>
      </w:r>
      <w:r w:rsidR="0037278D" w:rsidRPr="00693491">
        <w:rPr>
          <w:lang w:val="sl-SI"/>
        </w:rPr>
        <w:t>.</w:t>
      </w:r>
      <w:r w:rsidR="003A0FE7" w:rsidRPr="00693491">
        <w:rPr>
          <w:lang w:val="sl-SI"/>
        </w:rPr>
        <w:t xml:space="preserve"> </w:t>
      </w:r>
      <w:r w:rsidR="003631DA" w:rsidRPr="00693491">
        <w:rPr>
          <w:lang w:val="sl-SI"/>
        </w:rPr>
        <w:t xml:space="preserve">Vendar </w:t>
      </w:r>
      <w:r w:rsidR="00064F43" w:rsidRPr="00693491">
        <w:rPr>
          <w:lang w:val="sl-SI"/>
        </w:rPr>
        <w:t>izbrani primeri</w:t>
      </w:r>
      <w:r w:rsidR="003631DA" w:rsidRPr="00693491">
        <w:rPr>
          <w:lang w:val="sl-SI"/>
        </w:rPr>
        <w:t xml:space="preserve"> </w:t>
      </w:r>
      <w:r w:rsidR="00CA4DFE" w:rsidRPr="00693491">
        <w:rPr>
          <w:lang w:val="sl-SI"/>
        </w:rPr>
        <w:t>(</w:t>
      </w:r>
      <w:r w:rsidR="000B7461">
        <w:rPr>
          <w:lang w:val="sl-SI"/>
        </w:rPr>
        <w:t>razen</w:t>
      </w:r>
      <w:r w:rsidR="00E94A3A" w:rsidRPr="00693491">
        <w:rPr>
          <w:lang w:val="sl-SI"/>
        </w:rPr>
        <w:t xml:space="preserve"> enega ali dveh) </w:t>
      </w:r>
      <w:r w:rsidR="003631DA" w:rsidRPr="00693491">
        <w:rPr>
          <w:lang w:val="sl-SI"/>
        </w:rPr>
        <w:t>niso rezultat lastnih raziskav</w:t>
      </w:r>
      <w:r w:rsidR="00625702" w:rsidRPr="00693491">
        <w:rPr>
          <w:lang w:val="sl-SI"/>
        </w:rPr>
        <w:t xml:space="preserve"> avtorjev</w:t>
      </w:r>
      <w:r w:rsidR="003631DA" w:rsidRPr="00693491">
        <w:rPr>
          <w:lang w:val="sl-SI"/>
        </w:rPr>
        <w:t xml:space="preserve">. </w:t>
      </w:r>
      <w:r w:rsidR="00625702" w:rsidRPr="00693491">
        <w:rPr>
          <w:lang w:val="sl-SI"/>
        </w:rPr>
        <w:t>V poglavju</w:t>
      </w:r>
      <w:r w:rsidR="003631DA" w:rsidRPr="00693491">
        <w:rPr>
          <w:lang w:val="sl-SI"/>
        </w:rPr>
        <w:t xml:space="preserve"> namreč</w:t>
      </w:r>
      <w:r w:rsidR="00625702" w:rsidRPr="00693491">
        <w:rPr>
          <w:lang w:val="sl-SI"/>
        </w:rPr>
        <w:t xml:space="preserve"> večinoma</w:t>
      </w:r>
      <w:r w:rsidR="003631DA" w:rsidRPr="00693491">
        <w:rPr>
          <w:lang w:val="sl-SI"/>
        </w:rPr>
        <w:t xml:space="preserve"> zgolj predstavita obstoječo literaturo, ki je </w:t>
      </w:r>
      <w:r w:rsidR="00064F43" w:rsidRPr="00693491">
        <w:rPr>
          <w:lang w:val="sl-SI"/>
        </w:rPr>
        <w:t>s pomočjo</w:t>
      </w:r>
      <w:r w:rsidR="003631DA" w:rsidRPr="00693491">
        <w:rPr>
          <w:lang w:val="sl-SI"/>
        </w:rPr>
        <w:t xml:space="preserve"> etnografije do sedaj prispevala k razumevanju tranzicijskega obdobja</w:t>
      </w:r>
      <w:r w:rsidR="0026689B" w:rsidRPr="00693491">
        <w:rPr>
          <w:lang w:val="sl-SI"/>
        </w:rPr>
        <w:t xml:space="preserve">, </w:t>
      </w:r>
      <w:r w:rsidR="000B7461">
        <w:rPr>
          <w:lang w:val="sl-SI"/>
        </w:rPr>
        <w:t>in</w:t>
      </w:r>
      <w:r w:rsidR="000B7461" w:rsidRPr="00693491">
        <w:rPr>
          <w:lang w:val="sl-SI"/>
        </w:rPr>
        <w:t xml:space="preserve"> </w:t>
      </w:r>
      <w:r w:rsidR="00064F43" w:rsidRPr="00693491">
        <w:rPr>
          <w:lang w:val="sl-SI"/>
        </w:rPr>
        <w:t>njene</w:t>
      </w:r>
      <w:r w:rsidR="0026689B" w:rsidRPr="00693491">
        <w:rPr>
          <w:lang w:val="sl-SI"/>
        </w:rPr>
        <w:t xml:space="preserve"> posamezne </w:t>
      </w:r>
      <w:r w:rsidR="00625702" w:rsidRPr="00693491">
        <w:rPr>
          <w:lang w:val="sl-SI"/>
        </w:rPr>
        <w:t>vidike</w:t>
      </w:r>
      <w:r w:rsidR="0026689B" w:rsidRPr="00693491">
        <w:rPr>
          <w:lang w:val="sl-SI"/>
        </w:rPr>
        <w:t>, ki najbolje dopolnjujejo sliko prvih treh poglavij</w:t>
      </w:r>
      <w:r w:rsidR="003631DA" w:rsidRPr="00693491">
        <w:rPr>
          <w:lang w:val="sl-SI"/>
        </w:rPr>
        <w:t>.</w:t>
      </w:r>
      <w:r w:rsidR="003260B5" w:rsidRPr="00693491">
        <w:rPr>
          <w:lang w:val="sl-SI"/>
        </w:rPr>
        <w:t xml:space="preserve"> Poleg tega </w:t>
      </w:r>
      <w:r w:rsidR="00107B22" w:rsidRPr="00693491">
        <w:rPr>
          <w:lang w:val="sl-SI"/>
        </w:rPr>
        <w:t xml:space="preserve">je med </w:t>
      </w:r>
      <w:r w:rsidR="00113E9E" w:rsidRPr="00693491">
        <w:rPr>
          <w:lang w:val="sl-SI"/>
        </w:rPr>
        <w:t>izbranimi primeri</w:t>
      </w:r>
      <w:r w:rsidR="00107B22" w:rsidRPr="00693491">
        <w:rPr>
          <w:lang w:val="sl-SI"/>
        </w:rPr>
        <w:t xml:space="preserve"> mnogo bolj prevladujoča tema izguba lastne identitete in občutek, da je državi vseeno za </w:t>
      </w:r>
      <w:r w:rsidR="00113E9E" w:rsidRPr="00693491">
        <w:rPr>
          <w:lang w:val="sl-SI"/>
        </w:rPr>
        <w:t xml:space="preserve">njeno </w:t>
      </w:r>
      <w:r w:rsidR="00107B22" w:rsidRPr="00693491">
        <w:rPr>
          <w:lang w:val="sl-SI"/>
        </w:rPr>
        <w:t>prebivalstvo, kakor pa nezadovoljstvo ali nezaupanje do tistih</w:t>
      </w:r>
      <w:r w:rsidR="00113E9E" w:rsidRPr="00693491">
        <w:rPr>
          <w:lang w:val="sl-SI"/>
        </w:rPr>
        <w:t xml:space="preserve"> ekonomsko uspešnejših</w:t>
      </w:r>
      <w:r w:rsidR="00107B22" w:rsidRPr="00693491">
        <w:rPr>
          <w:lang w:val="sl-SI"/>
        </w:rPr>
        <w:t xml:space="preserve"> sodržavljanov, ki jih avtorja imenujeta </w:t>
      </w:r>
      <w:r w:rsidR="000B7461">
        <w:rPr>
          <w:lang w:val="sl-SI"/>
        </w:rPr>
        <w:t>'</w:t>
      </w:r>
      <w:r w:rsidR="00107B22" w:rsidRPr="00693491">
        <w:rPr>
          <w:lang w:val="sl-SI"/>
        </w:rPr>
        <w:t>zmagovalci tranzicije</w:t>
      </w:r>
      <w:r w:rsidR="000B7461">
        <w:rPr>
          <w:lang w:val="sl-SI"/>
        </w:rPr>
        <w:t>'</w:t>
      </w:r>
      <w:r w:rsidR="00107B22" w:rsidRPr="00693491">
        <w:rPr>
          <w:lang w:val="sl-SI"/>
        </w:rPr>
        <w:t>.</w:t>
      </w:r>
    </w:p>
    <w:p w14:paraId="0BBBDA1E" w14:textId="2BF34A96" w:rsidR="001B5B59" w:rsidRPr="00693491" w:rsidRDefault="00CF22A2" w:rsidP="006C69B8">
      <w:pPr>
        <w:ind w:firstLine="720"/>
        <w:rPr>
          <w:lang w:val="sl-SI"/>
        </w:rPr>
      </w:pPr>
      <w:r w:rsidRPr="00693491">
        <w:rPr>
          <w:lang w:val="sl-SI"/>
        </w:rPr>
        <w:t xml:space="preserve">Splošne problematizacije zastavljenega vprašanja </w:t>
      </w:r>
      <w:r w:rsidR="003E13E2" w:rsidRPr="00693491">
        <w:rPr>
          <w:lang w:val="sl-SI"/>
        </w:rPr>
        <w:t xml:space="preserve">kot celote </w:t>
      </w:r>
      <w:r w:rsidRPr="00693491">
        <w:rPr>
          <w:lang w:val="sl-SI"/>
        </w:rPr>
        <w:t>(</w:t>
      </w:r>
      <w:r w:rsidR="000B7461">
        <w:rPr>
          <w:lang w:val="sl-SI"/>
        </w:rPr>
        <w:t>»</w:t>
      </w:r>
      <w:r w:rsidRPr="00693491">
        <w:rPr>
          <w:lang w:val="sl-SI"/>
        </w:rPr>
        <w:t>Ali je bila tranzicija uspešna ali ne?</w:t>
      </w:r>
      <w:r w:rsidR="000B7461">
        <w:rPr>
          <w:lang w:val="sl-SI"/>
        </w:rPr>
        <w:t>«</w:t>
      </w:r>
      <w:r w:rsidRPr="00693491">
        <w:rPr>
          <w:lang w:val="sl-SI"/>
        </w:rPr>
        <w:t>) se avtorja lotita na zaključnih straneh</w:t>
      </w:r>
      <w:r w:rsidR="005C5AFE" w:rsidRPr="00693491">
        <w:rPr>
          <w:lang w:val="sl-SI"/>
        </w:rPr>
        <w:t xml:space="preserve"> knjige.</w:t>
      </w:r>
      <w:r w:rsidR="006E5A8A" w:rsidRPr="00693491">
        <w:rPr>
          <w:lang w:val="sl-SI"/>
        </w:rPr>
        <w:t xml:space="preserve"> Poleg ugotovitve, da je za razumevanje tranzicije </w:t>
      </w:r>
      <w:r w:rsidR="000B7461">
        <w:rPr>
          <w:lang w:val="sl-SI"/>
        </w:rPr>
        <w:t>treba</w:t>
      </w:r>
      <w:r w:rsidR="000B7461" w:rsidRPr="00693491">
        <w:rPr>
          <w:lang w:val="sl-SI"/>
        </w:rPr>
        <w:t xml:space="preserve"> </w:t>
      </w:r>
      <w:r w:rsidR="006E5A8A" w:rsidRPr="00693491">
        <w:rPr>
          <w:lang w:val="sl-SI"/>
        </w:rPr>
        <w:t xml:space="preserve">poznati tudi obdobje, ki je </w:t>
      </w:r>
      <w:r w:rsidR="00113E9E" w:rsidRPr="00693491">
        <w:rPr>
          <w:lang w:val="sl-SI"/>
        </w:rPr>
        <w:t>bilo</w:t>
      </w:r>
      <w:r w:rsidR="006E5A8A" w:rsidRPr="00693491">
        <w:rPr>
          <w:lang w:val="sl-SI"/>
        </w:rPr>
        <w:t xml:space="preserve"> pred njo (torej vsaj pozni socializem), kritično obravnavata tudi strategije, s katerimi so bile tranzicije izvedene.</w:t>
      </w:r>
      <w:r w:rsidR="006F2781" w:rsidRPr="00693491">
        <w:rPr>
          <w:lang w:val="sl-SI"/>
        </w:rPr>
        <w:t xml:space="preserve"> Cena, ki </w:t>
      </w:r>
      <w:r w:rsidR="002839AB" w:rsidRPr="00693491">
        <w:rPr>
          <w:lang w:val="sl-SI"/>
        </w:rPr>
        <w:t>so jo plačevali</w:t>
      </w:r>
      <w:r w:rsidR="006F2781" w:rsidRPr="00693491">
        <w:rPr>
          <w:lang w:val="sl-SI"/>
        </w:rPr>
        <w:t xml:space="preserve"> prebivalci, ustvarjalcev tranzicijskih politik </w:t>
      </w:r>
      <w:r w:rsidR="000B7461" w:rsidRPr="00693491">
        <w:rPr>
          <w:lang w:val="sl-SI"/>
        </w:rPr>
        <w:t xml:space="preserve">ni </w:t>
      </w:r>
      <w:r w:rsidR="006F2781" w:rsidRPr="00693491">
        <w:rPr>
          <w:lang w:val="sl-SI"/>
        </w:rPr>
        <w:t>nikdar pretirano zanimala</w:t>
      </w:r>
      <w:r w:rsidR="00FA621F" w:rsidRPr="00693491">
        <w:rPr>
          <w:lang w:val="sl-SI"/>
        </w:rPr>
        <w:t>. N</w:t>
      </w:r>
      <w:r w:rsidR="006F2781" w:rsidRPr="00693491">
        <w:rPr>
          <w:lang w:val="sl-SI"/>
        </w:rPr>
        <w:t xml:space="preserve">amenjeno </w:t>
      </w:r>
      <w:r w:rsidR="00113E9E" w:rsidRPr="00693491">
        <w:rPr>
          <w:lang w:val="sl-SI"/>
        </w:rPr>
        <w:t xml:space="preserve">ji je </w:t>
      </w:r>
      <w:r w:rsidR="006F2781" w:rsidRPr="00693491">
        <w:rPr>
          <w:lang w:val="sl-SI"/>
        </w:rPr>
        <w:t>premalo pozornosti in resnega razmisleka</w:t>
      </w:r>
      <w:r w:rsidR="00FA621F" w:rsidRPr="00693491">
        <w:rPr>
          <w:lang w:val="sl-SI"/>
        </w:rPr>
        <w:t xml:space="preserve">, pogosto </w:t>
      </w:r>
      <w:r w:rsidR="00113E9E" w:rsidRPr="00693491">
        <w:rPr>
          <w:lang w:val="sl-SI"/>
        </w:rPr>
        <w:t xml:space="preserve">pa sta bila revščina in večanje družbenih razlik razumljena </w:t>
      </w:r>
      <w:r w:rsidR="00FA621F" w:rsidRPr="00693491">
        <w:rPr>
          <w:lang w:val="sl-SI"/>
        </w:rPr>
        <w:t>kot nujno zlo</w:t>
      </w:r>
      <w:r w:rsidR="006F2781" w:rsidRPr="00693491">
        <w:rPr>
          <w:lang w:val="sl-SI"/>
        </w:rPr>
        <w:t xml:space="preserve">. </w:t>
      </w:r>
      <w:r w:rsidR="00AD6C51" w:rsidRPr="00693491">
        <w:rPr>
          <w:lang w:val="sl-SI"/>
        </w:rPr>
        <w:t>Posamezniki</w:t>
      </w:r>
      <w:r w:rsidR="008A4CB9" w:rsidRPr="00693491">
        <w:rPr>
          <w:lang w:val="sl-SI"/>
        </w:rPr>
        <w:t xml:space="preserve">, ki so jih snovalci tranzicije v devetdesetih letih </w:t>
      </w:r>
      <w:r w:rsidR="000B7461" w:rsidRPr="00693491">
        <w:rPr>
          <w:lang w:val="sl-SI"/>
        </w:rPr>
        <w:t xml:space="preserve">večinoma </w:t>
      </w:r>
      <w:r w:rsidR="006E0E73" w:rsidRPr="00693491">
        <w:rPr>
          <w:lang w:val="sl-SI"/>
        </w:rPr>
        <w:t xml:space="preserve">dojemali kot pasivne, </w:t>
      </w:r>
      <w:r w:rsidR="007837B0" w:rsidRPr="00693491">
        <w:rPr>
          <w:lang w:val="sl-SI"/>
        </w:rPr>
        <w:t xml:space="preserve">so imeli </w:t>
      </w:r>
      <w:r w:rsidR="000273DE" w:rsidRPr="00693491">
        <w:rPr>
          <w:lang w:val="sl-SI"/>
        </w:rPr>
        <w:t>na</w:t>
      </w:r>
      <w:r w:rsidR="007837B0" w:rsidRPr="00693491">
        <w:rPr>
          <w:lang w:val="sl-SI"/>
        </w:rPr>
        <w:t xml:space="preserve"> oblikovanj</w:t>
      </w:r>
      <w:r w:rsidR="000273DE" w:rsidRPr="00693491">
        <w:rPr>
          <w:lang w:val="sl-SI"/>
        </w:rPr>
        <w:t>e</w:t>
      </w:r>
      <w:r w:rsidR="007837B0" w:rsidRPr="00693491">
        <w:rPr>
          <w:lang w:val="sl-SI"/>
        </w:rPr>
        <w:t xml:space="preserve"> mednarodnih gospodarskih in političnih smernic </w:t>
      </w:r>
      <w:r w:rsidR="000273DE" w:rsidRPr="00693491">
        <w:rPr>
          <w:lang w:val="sl-SI"/>
        </w:rPr>
        <w:t>razmeroma</w:t>
      </w:r>
      <w:r w:rsidR="007837B0" w:rsidRPr="00693491">
        <w:rPr>
          <w:lang w:val="sl-SI"/>
        </w:rPr>
        <w:t xml:space="preserve"> malo vpliva.</w:t>
      </w:r>
      <w:r w:rsidR="002A21C5" w:rsidRPr="00693491">
        <w:rPr>
          <w:lang w:val="sl-SI"/>
        </w:rPr>
        <w:t xml:space="preserve"> Negativne posledice, ki jih je prineslo takšno ravnanje, so bile pogosto </w:t>
      </w:r>
      <w:r w:rsidR="00AF3BAB" w:rsidRPr="00693491">
        <w:rPr>
          <w:lang w:val="sl-SI"/>
        </w:rPr>
        <w:t>razumljene kot zapuščina socializma</w:t>
      </w:r>
      <w:r w:rsidR="000E4309" w:rsidRPr="00693491">
        <w:rPr>
          <w:lang w:val="sl-SI"/>
        </w:rPr>
        <w:t>, ki bo minila sama od sebe</w:t>
      </w:r>
      <w:r w:rsidR="00AF3BAB" w:rsidRPr="00693491">
        <w:rPr>
          <w:lang w:val="sl-SI"/>
        </w:rPr>
        <w:t xml:space="preserve">, in ne kot razlog za prilagoditev </w:t>
      </w:r>
      <w:r w:rsidR="000E4309" w:rsidRPr="00693491">
        <w:rPr>
          <w:lang w:val="sl-SI"/>
        </w:rPr>
        <w:t>izvajanja</w:t>
      </w:r>
      <w:r w:rsidR="00AF3BAB" w:rsidRPr="00693491">
        <w:rPr>
          <w:lang w:val="sl-SI"/>
        </w:rPr>
        <w:t xml:space="preserve"> tranzicije.</w:t>
      </w:r>
    </w:p>
    <w:p w14:paraId="00661F9C" w14:textId="5B7EB899" w:rsidR="004B1DF3" w:rsidRPr="00693491" w:rsidRDefault="0063119B" w:rsidP="006C69B8">
      <w:pPr>
        <w:ind w:firstLine="720"/>
        <w:rPr>
          <w:lang w:val="sl-SI"/>
        </w:rPr>
      </w:pPr>
      <w:r w:rsidRPr="00693491">
        <w:rPr>
          <w:lang w:val="sl-SI"/>
        </w:rPr>
        <w:t xml:space="preserve">Kljub mnogim lucidnim vpogledom, ki jih </w:t>
      </w:r>
      <w:r w:rsidR="0094478F" w:rsidRPr="00693491">
        <w:rPr>
          <w:lang w:val="sl-SI"/>
        </w:rPr>
        <w:t>monografija</w:t>
      </w:r>
      <w:r w:rsidR="000B7461" w:rsidRPr="000B7461">
        <w:rPr>
          <w:lang w:val="sl-SI"/>
        </w:rPr>
        <w:t xml:space="preserve"> </w:t>
      </w:r>
      <w:r w:rsidR="000B7461" w:rsidRPr="00693491">
        <w:rPr>
          <w:lang w:val="sl-SI"/>
        </w:rPr>
        <w:t>prinaša</w:t>
      </w:r>
      <w:r w:rsidR="0094478F" w:rsidRPr="00693491">
        <w:rPr>
          <w:lang w:val="sl-SI"/>
        </w:rPr>
        <w:t>, pred očmi bralca vse do zadnjih vrstic obvisi vprašanje, ali se nista avtorja</w:t>
      </w:r>
      <w:r w:rsidR="00FB6DAC" w:rsidRPr="00693491">
        <w:rPr>
          <w:lang w:val="sl-SI"/>
        </w:rPr>
        <w:t xml:space="preserve"> s svojim o</w:t>
      </w:r>
      <w:r w:rsidR="000B7461">
        <w:rPr>
          <w:lang w:val="sl-SI"/>
        </w:rPr>
        <w:t>p</w:t>
      </w:r>
      <w:r w:rsidR="00FB6DAC" w:rsidRPr="00693491">
        <w:rPr>
          <w:lang w:val="sl-SI"/>
        </w:rPr>
        <w:t>is</w:t>
      </w:r>
      <w:r w:rsidR="000B7461">
        <w:rPr>
          <w:lang w:val="sl-SI"/>
        </w:rPr>
        <w:t>ov</w:t>
      </w:r>
      <w:r w:rsidR="00FB6DAC" w:rsidRPr="00693491">
        <w:rPr>
          <w:lang w:val="sl-SI"/>
        </w:rPr>
        <w:t>anjem</w:t>
      </w:r>
      <w:r w:rsidR="0094478F" w:rsidRPr="00693491">
        <w:rPr>
          <w:lang w:val="sl-SI"/>
        </w:rPr>
        <w:t xml:space="preserve"> ujela v podobno </w:t>
      </w:r>
      <w:r w:rsidR="0094478F" w:rsidRPr="00693491">
        <w:rPr>
          <w:lang w:val="sl-SI"/>
        </w:rPr>
        <w:lastRenderedPageBreak/>
        <w:t>zanko</w:t>
      </w:r>
      <w:r w:rsidR="00856505" w:rsidRPr="00693491">
        <w:rPr>
          <w:lang w:val="sl-SI"/>
        </w:rPr>
        <w:t xml:space="preserve"> binarnih pogledov</w:t>
      </w:r>
      <w:r w:rsidR="0094478F" w:rsidRPr="00693491">
        <w:rPr>
          <w:lang w:val="sl-SI"/>
        </w:rPr>
        <w:t xml:space="preserve">, kot jo očitata </w:t>
      </w:r>
      <w:r w:rsidR="00856505" w:rsidRPr="00693491">
        <w:rPr>
          <w:lang w:val="sl-SI"/>
        </w:rPr>
        <w:t xml:space="preserve">preteklim generacijam </w:t>
      </w:r>
      <w:r w:rsidR="005E2D46" w:rsidRPr="00693491">
        <w:rPr>
          <w:lang w:val="sl-SI"/>
        </w:rPr>
        <w:t>ustvarjalcev tranzicijske politike</w:t>
      </w:r>
      <w:r w:rsidR="00FB6DAC" w:rsidRPr="00693491">
        <w:rPr>
          <w:lang w:val="sl-SI"/>
        </w:rPr>
        <w:t xml:space="preserve"> (Združene države Amerike kot napredna država, tranzicijske države kot tiste v kroničnem zaostanku; uporaba pretežno zahodnoevropske literature, ne pa (tudi) znanja, ustvarjenega v regiji; tranzicija kot uspeh za bogato</w:t>
      </w:r>
      <w:r w:rsidR="000B7461">
        <w:rPr>
          <w:lang w:val="sl-SI"/>
        </w:rPr>
        <w:t xml:space="preserve"> ter</w:t>
      </w:r>
      <w:r w:rsidR="00FB6DAC" w:rsidRPr="00693491">
        <w:rPr>
          <w:lang w:val="sl-SI"/>
        </w:rPr>
        <w:t xml:space="preserve"> neuspeh za revno prebivalstvo itd.)</w:t>
      </w:r>
      <w:r w:rsidR="00856505" w:rsidRPr="00693491">
        <w:rPr>
          <w:lang w:val="sl-SI"/>
        </w:rPr>
        <w:t>.</w:t>
      </w:r>
      <w:r w:rsidR="001B5B59" w:rsidRPr="00693491">
        <w:rPr>
          <w:lang w:val="sl-SI"/>
        </w:rPr>
        <w:t xml:space="preserve"> Sklepne vrstice knjige </w:t>
      </w:r>
      <w:r w:rsidR="00A803F6" w:rsidRPr="00693491">
        <w:rPr>
          <w:lang w:val="sl-SI"/>
        </w:rPr>
        <w:t xml:space="preserve">razkrijejo </w:t>
      </w:r>
      <w:r w:rsidR="00FB6DAC" w:rsidRPr="00693491">
        <w:rPr>
          <w:lang w:val="sl-SI"/>
        </w:rPr>
        <w:t xml:space="preserve">še en, </w:t>
      </w:r>
      <w:r w:rsidR="00A803F6" w:rsidRPr="00693491">
        <w:rPr>
          <w:lang w:val="sl-SI"/>
        </w:rPr>
        <w:t xml:space="preserve">uvodoma neartikuliran problem, </w:t>
      </w:r>
      <w:r w:rsidR="000B7461">
        <w:rPr>
          <w:lang w:val="sl-SI"/>
        </w:rPr>
        <w:t>z</w:t>
      </w:r>
      <w:r w:rsidR="00A803F6" w:rsidRPr="00693491">
        <w:rPr>
          <w:lang w:val="sl-SI"/>
        </w:rPr>
        <w:t xml:space="preserve">a katerega avtorja na primeru tranzicijskih držav iz devetdesetih let iščeta možne </w:t>
      </w:r>
      <w:r w:rsidR="003F7C4B" w:rsidRPr="00693491">
        <w:rPr>
          <w:lang w:val="sl-SI"/>
        </w:rPr>
        <w:t>rešitve</w:t>
      </w:r>
      <w:r w:rsidR="00A803F6" w:rsidRPr="00693491">
        <w:rPr>
          <w:lang w:val="sl-SI"/>
        </w:rPr>
        <w:t xml:space="preserve">: kako Združene države Amerike </w:t>
      </w:r>
      <w:r w:rsidR="00590946" w:rsidRPr="00693491">
        <w:rPr>
          <w:lang w:val="sl-SI"/>
        </w:rPr>
        <w:t xml:space="preserve">po pandemiji </w:t>
      </w:r>
      <w:r w:rsidR="000B7461">
        <w:rPr>
          <w:lang w:val="sl-SI"/>
        </w:rPr>
        <w:t>c</w:t>
      </w:r>
      <w:r w:rsidR="00590946" w:rsidRPr="00693491">
        <w:rPr>
          <w:lang w:val="sl-SI"/>
        </w:rPr>
        <w:t xml:space="preserve">ovida-19 </w:t>
      </w:r>
      <w:r w:rsidR="003F7C4B" w:rsidRPr="00693491">
        <w:rPr>
          <w:lang w:val="sl-SI"/>
        </w:rPr>
        <w:t>ter</w:t>
      </w:r>
      <w:r w:rsidR="00590946" w:rsidRPr="00693491">
        <w:rPr>
          <w:lang w:val="sl-SI"/>
        </w:rPr>
        <w:t xml:space="preserve"> vzhodnoevropske tranzicijske države, ki se soočajo z dolgotrajno krizo,</w:t>
      </w:r>
      <w:r w:rsidR="003F7C4B" w:rsidRPr="00693491">
        <w:rPr>
          <w:lang w:val="sl-SI"/>
        </w:rPr>
        <w:t xml:space="preserve"> </w:t>
      </w:r>
      <w:r w:rsidR="00A803F6" w:rsidRPr="00693491">
        <w:rPr>
          <w:lang w:val="sl-SI"/>
        </w:rPr>
        <w:t xml:space="preserve">najlažje povesti iz družbene in gospodarske </w:t>
      </w:r>
      <w:r w:rsidR="00590946" w:rsidRPr="00693491">
        <w:rPr>
          <w:lang w:val="sl-SI"/>
        </w:rPr>
        <w:t>stagnacije</w:t>
      </w:r>
      <w:r w:rsidR="00A803F6" w:rsidRPr="00693491">
        <w:rPr>
          <w:lang w:val="sl-SI"/>
        </w:rPr>
        <w:t>.</w:t>
      </w:r>
    </w:p>
    <w:p w14:paraId="0900E923" w14:textId="77777777" w:rsidR="00FE2277" w:rsidRPr="00693491" w:rsidRDefault="00FE2277" w:rsidP="00CA1FAF">
      <w:pPr>
        <w:jc w:val="right"/>
        <w:rPr>
          <w:lang w:val="sl-SI"/>
        </w:rPr>
      </w:pPr>
    </w:p>
    <w:p w14:paraId="66560D22" w14:textId="7EF49B90" w:rsidR="00695A2C" w:rsidRPr="00693491" w:rsidRDefault="00532FB5" w:rsidP="00CA1FAF">
      <w:pPr>
        <w:jc w:val="right"/>
        <w:rPr>
          <w:i/>
          <w:lang w:val="sl-SI"/>
        </w:rPr>
      </w:pPr>
      <w:r w:rsidRPr="00693491">
        <w:rPr>
          <w:i/>
          <w:lang w:val="sl-SI"/>
        </w:rPr>
        <w:t>Tjaša Konovšek</w:t>
      </w:r>
    </w:p>
    <w:sectPr w:rsidR="00695A2C" w:rsidRPr="00693491" w:rsidSect="002333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FBC74" w14:textId="77777777" w:rsidR="00060E5E" w:rsidRDefault="00060E5E" w:rsidP="00173226">
      <w:pPr>
        <w:spacing w:line="240" w:lineRule="auto"/>
      </w:pPr>
      <w:r>
        <w:separator/>
      </w:r>
    </w:p>
  </w:endnote>
  <w:endnote w:type="continuationSeparator" w:id="0">
    <w:p w14:paraId="06A6896D" w14:textId="77777777" w:rsidR="00060E5E" w:rsidRDefault="00060E5E" w:rsidP="00173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BE6A8" w14:textId="77777777" w:rsidR="00060E5E" w:rsidRDefault="00060E5E" w:rsidP="00173226">
      <w:pPr>
        <w:spacing w:line="240" w:lineRule="auto"/>
      </w:pPr>
      <w:r>
        <w:separator/>
      </w:r>
    </w:p>
  </w:footnote>
  <w:footnote w:type="continuationSeparator" w:id="0">
    <w:p w14:paraId="009D2D58" w14:textId="77777777" w:rsidR="00060E5E" w:rsidRDefault="00060E5E" w:rsidP="00173226">
      <w:pPr>
        <w:spacing w:line="240" w:lineRule="auto"/>
      </w:pPr>
      <w:r>
        <w:continuationSeparator/>
      </w:r>
    </w:p>
  </w:footnote>
  <w:footnote w:id="1">
    <w:p w14:paraId="6081725B" w14:textId="22FE89C1" w:rsidR="00173226" w:rsidRPr="00173226" w:rsidRDefault="00173226">
      <w:pPr>
        <w:pStyle w:val="Sprotnaopomba-besedilo"/>
        <w:rPr>
          <w:lang w:val="sl-SI"/>
        </w:rPr>
      </w:pPr>
      <w:r>
        <w:rPr>
          <w:rStyle w:val="Sprotnaopomba-sklic"/>
        </w:rPr>
        <w:footnoteRef/>
      </w:r>
      <w:r>
        <w:t xml:space="preserve"> </w:t>
      </w:r>
      <w:r w:rsidR="00267511">
        <w:rPr>
          <w:lang w:val="sl-SI"/>
        </w:rPr>
        <w:t>G</w:t>
      </w:r>
      <w:r w:rsidR="009047FD">
        <w:rPr>
          <w:lang w:val="sl-SI"/>
        </w:rPr>
        <w:t xml:space="preserve">radivo, uporabljeno v knjigi, </w:t>
      </w:r>
      <w:r w:rsidR="00693491">
        <w:rPr>
          <w:lang w:val="sl-SI"/>
        </w:rPr>
        <w:t>in</w:t>
      </w:r>
      <w:r w:rsidR="009047FD">
        <w:rPr>
          <w:lang w:val="sl-SI"/>
        </w:rPr>
        <w:t xml:space="preserve"> povezave do nekaterih drugih relevantnih virov </w:t>
      </w:r>
      <w:r w:rsidR="00693491">
        <w:rPr>
          <w:lang w:val="sl-SI"/>
        </w:rPr>
        <w:t>so</w:t>
      </w:r>
      <w:r w:rsidR="009047FD">
        <w:rPr>
          <w:lang w:val="sl-SI"/>
        </w:rPr>
        <w:t xml:space="preserve"> dostopn</w:t>
      </w:r>
      <w:r w:rsidR="00693491">
        <w:rPr>
          <w:lang w:val="sl-SI"/>
        </w:rPr>
        <w:t>i</w:t>
      </w:r>
      <w:r w:rsidR="009047FD">
        <w:rPr>
          <w:lang w:val="sl-SI"/>
        </w:rPr>
        <w:t xml:space="preserve"> na spletni strani, posvečeni knjigi. </w:t>
      </w:r>
      <w:r w:rsidR="009047FD" w:rsidRPr="0058082F">
        <w:rPr>
          <w:i/>
          <w:lang w:val="sl-SI"/>
        </w:rPr>
        <w:t xml:space="preserve">Taking </w:t>
      </w:r>
      <w:proofErr w:type="spellStart"/>
      <w:r w:rsidR="009047FD" w:rsidRPr="0058082F">
        <w:rPr>
          <w:i/>
          <w:lang w:val="sl-SI"/>
        </w:rPr>
        <w:t>Stock</w:t>
      </w:r>
      <w:proofErr w:type="spellEnd"/>
      <w:r w:rsidR="009047FD" w:rsidRPr="0058082F">
        <w:rPr>
          <w:i/>
          <w:lang w:val="sl-SI"/>
        </w:rPr>
        <w:t xml:space="preserve"> </w:t>
      </w:r>
      <w:proofErr w:type="spellStart"/>
      <w:r w:rsidR="009047FD" w:rsidRPr="0058082F">
        <w:rPr>
          <w:i/>
          <w:lang w:val="sl-SI"/>
        </w:rPr>
        <w:t>of</w:t>
      </w:r>
      <w:proofErr w:type="spellEnd"/>
      <w:r w:rsidR="009047FD" w:rsidRPr="0058082F">
        <w:rPr>
          <w:i/>
          <w:lang w:val="sl-SI"/>
        </w:rPr>
        <w:t xml:space="preserve"> </w:t>
      </w:r>
      <w:proofErr w:type="spellStart"/>
      <w:r w:rsidR="009047FD" w:rsidRPr="0058082F">
        <w:rPr>
          <w:i/>
          <w:lang w:val="sl-SI"/>
        </w:rPr>
        <w:t>Shock</w:t>
      </w:r>
      <w:proofErr w:type="spellEnd"/>
      <w:r w:rsidR="00382072">
        <w:rPr>
          <w:lang w:val="sl-SI"/>
        </w:rPr>
        <w:t>,</w:t>
      </w:r>
      <w:r w:rsidR="009047FD">
        <w:rPr>
          <w:lang w:val="sl-SI"/>
        </w:rPr>
        <w:t xml:space="preserve"> </w:t>
      </w:r>
      <w:r w:rsidR="00382072">
        <w:rPr>
          <w:lang w:val="sl-SI"/>
        </w:rPr>
        <w:t xml:space="preserve">pridobljeno </w:t>
      </w:r>
      <w:r w:rsidR="0058082F">
        <w:rPr>
          <w:lang w:val="sl-SI"/>
        </w:rPr>
        <w:t xml:space="preserve">6. </w:t>
      </w:r>
      <w:r w:rsidR="00382072">
        <w:rPr>
          <w:lang w:val="sl-SI"/>
        </w:rPr>
        <w:t xml:space="preserve">9. </w:t>
      </w:r>
      <w:r w:rsidR="0058082F">
        <w:rPr>
          <w:lang w:val="sl-SI"/>
        </w:rPr>
        <w:t>2022</w:t>
      </w:r>
      <w:r w:rsidR="00C222BB">
        <w:rPr>
          <w:lang w:val="sl-SI"/>
        </w:rPr>
        <w:t xml:space="preserve">, </w:t>
      </w:r>
      <w:hyperlink r:id="rId1" w:history="1">
        <w:r w:rsidR="00C222BB" w:rsidRPr="00382072">
          <w:rPr>
            <w:rStyle w:val="Hiperpovezava"/>
            <w:color w:val="auto"/>
            <w:u w:val="none"/>
            <w:lang w:val="sl-SI"/>
          </w:rPr>
          <w:t>https://www.takingstockofshock.com/</w:t>
        </w:r>
      </w:hyperlink>
      <w:bookmarkStart w:id="0" w:name="_GoBack"/>
      <w:bookmarkEnd w:id="0"/>
      <w:r w:rsidR="0058082F">
        <w:rPr>
          <w:lang w:val="sl-SI"/>
        </w:rPr>
        <w:t>.</w:t>
      </w:r>
    </w:p>
  </w:footnote>
  <w:footnote w:id="2">
    <w:p w14:paraId="610CE9BE" w14:textId="2C00C51B" w:rsidR="00152C0C" w:rsidRPr="00152C0C" w:rsidRDefault="00152C0C">
      <w:pPr>
        <w:pStyle w:val="Sprotnaopomba-besedilo"/>
        <w:rPr>
          <w:lang w:val="sl-SI"/>
        </w:rPr>
      </w:pPr>
      <w:r>
        <w:rPr>
          <w:rStyle w:val="Sprotnaopomba-sklic"/>
        </w:rPr>
        <w:footnoteRef/>
      </w:r>
      <w:r>
        <w:t xml:space="preserve"> </w:t>
      </w:r>
      <w:r w:rsidRPr="00152C0C">
        <w:t>Oliver Blanchard</w:t>
      </w:r>
      <w:r>
        <w:t xml:space="preserve"> et al., </w:t>
      </w:r>
      <w:r w:rsidRPr="00152C0C">
        <w:rPr>
          <w:i/>
        </w:rPr>
        <w:t>Reform in Eastern Europe</w:t>
      </w:r>
      <w:r w:rsidR="00382072">
        <w:t xml:space="preserve"> (</w:t>
      </w:r>
      <w:r w:rsidRPr="00152C0C">
        <w:t>Cambridge</w:t>
      </w:r>
      <w:r>
        <w:t>: MIT Press, 1991</w:t>
      </w:r>
      <w:r w:rsidR="00382072">
        <w:t>)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68"/>
    <w:rsid w:val="0002608D"/>
    <w:rsid w:val="000273DE"/>
    <w:rsid w:val="0004095D"/>
    <w:rsid w:val="00060E5E"/>
    <w:rsid w:val="00063881"/>
    <w:rsid w:val="00064F43"/>
    <w:rsid w:val="000A5131"/>
    <w:rsid w:val="000B291E"/>
    <w:rsid w:val="000B2A4D"/>
    <w:rsid w:val="000B7461"/>
    <w:rsid w:val="000C01D4"/>
    <w:rsid w:val="000C10FD"/>
    <w:rsid w:val="000C2B7F"/>
    <w:rsid w:val="000C4284"/>
    <w:rsid w:val="000C6DE1"/>
    <w:rsid w:val="000E4309"/>
    <w:rsid w:val="000F36EB"/>
    <w:rsid w:val="00107B22"/>
    <w:rsid w:val="00113E9E"/>
    <w:rsid w:val="00152C0C"/>
    <w:rsid w:val="00157CC5"/>
    <w:rsid w:val="00163E28"/>
    <w:rsid w:val="00173226"/>
    <w:rsid w:val="001806C1"/>
    <w:rsid w:val="00190F98"/>
    <w:rsid w:val="001A4F4F"/>
    <w:rsid w:val="001B5B59"/>
    <w:rsid w:val="001C13C8"/>
    <w:rsid w:val="001F35BE"/>
    <w:rsid w:val="00203086"/>
    <w:rsid w:val="00212622"/>
    <w:rsid w:val="00221362"/>
    <w:rsid w:val="00233302"/>
    <w:rsid w:val="00240816"/>
    <w:rsid w:val="00245A30"/>
    <w:rsid w:val="0026689B"/>
    <w:rsid w:val="00267511"/>
    <w:rsid w:val="00270F3E"/>
    <w:rsid w:val="00270F59"/>
    <w:rsid w:val="00280EB7"/>
    <w:rsid w:val="00281EBF"/>
    <w:rsid w:val="002839AB"/>
    <w:rsid w:val="00284722"/>
    <w:rsid w:val="002938E1"/>
    <w:rsid w:val="00296C19"/>
    <w:rsid w:val="002A21C5"/>
    <w:rsid w:val="002A4468"/>
    <w:rsid w:val="002A7A6A"/>
    <w:rsid w:val="002B5C59"/>
    <w:rsid w:val="002C578B"/>
    <w:rsid w:val="002C5F3B"/>
    <w:rsid w:val="002E1D3C"/>
    <w:rsid w:val="002F3A39"/>
    <w:rsid w:val="002F742A"/>
    <w:rsid w:val="00314A89"/>
    <w:rsid w:val="00321D15"/>
    <w:rsid w:val="00322FFA"/>
    <w:rsid w:val="003260B5"/>
    <w:rsid w:val="00340D3E"/>
    <w:rsid w:val="00356C98"/>
    <w:rsid w:val="003631DA"/>
    <w:rsid w:val="00367775"/>
    <w:rsid w:val="0037278D"/>
    <w:rsid w:val="00375437"/>
    <w:rsid w:val="00382072"/>
    <w:rsid w:val="003A0FE7"/>
    <w:rsid w:val="003A144A"/>
    <w:rsid w:val="003C3759"/>
    <w:rsid w:val="003D2D46"/>
    <w:rsid w:val="003D6A50"/>
    <w:rsid w:val="003E13E2"/>
    <w:rsid w:val="003E56D9"/>
    <w:rsid w:val="003F7C4B"/>
    <w:rsid w:val="00417E60"/>
    <w:rsid w:val="0044644F"/>
    <w:rsid w:val="00472DD5"/>
    <w:rsid w:val="00486035"/>
    <w:rsid w:val="0048715A"/>
    <w:rsid w:val="00491747"/>
    <w:rsid w:val="004B1DF3"/>
    <w:rsid w:val="004B5061"/>
    <w:rsid w:val="004D45CA"/>
    <w:rsid w:val="00521A0D"/>
    <w:rsid w:val="00525834"/>
    <w:rsid w:val="00532FB5"/>
    <w:rsid w:val="00533A43"/>
    <w:rsid w:val="00554D7F"/>
    <w:rsid w:val="00576235"/>
    <w:rsid w:val="0058082F"/>
    <w:rsid w:val="0058792D"/>
    <w:rsid w:val="00590946"/>
    <w:rsid w:val="00591D0F"/>
    <w:rsid w:val="005948C8"/>
    <w:rsid w:val="005B034D"/>
    <w:rsid w:val="005C5AFE"/>
    <w:rsid w:val="005E2D46"/>
    <w:rsid w:val="00600FD4"/>
    <w:rsid w:val="006010C1"/>
    <w:rsid w:val="006036EA"/>
    <w:rsid w:val="00625702"/>
    <w:rsid w:val="0063119B"/>
    <w:rsid w:val="00651E12"/>
    <w:rsid w:val="006647AE"/>
    <w:rsid w:val="00693491"/>
    <w:rsid w:val="00695A2C"/>
    <w:rsid w:val="006A5FBF"/>
    <w:rsid w:val="006A6DC7"/>
    <w:rsid w:val="006C69B8"/>
    <w:rsid w:val="006D09D1"/>
    <w:rsid w:val="006E0E73"/>
    <w:rsid w:val="006E5A8A"/>
    <w:rsid w:val="006F0B90"/>
    <w:rsid w:val="006F2781"/>
    <w:rsid w:val="007341C5"/>
    <w:rsid w:val="007352E0"/>
    <w:rsid w:val="00735DBD"/>
    <w:rsid w:val="0075166F"/>
    <w:rsid w:val="00762AF9"/>
    <w:rsid w:val="007645D1"/>
    <w:rsid w:val="007706DD"/>
    <w:rsid w:val="00776377"/>
    <w:rsid w:val="007837B0"/>
    <w:rsid w:val="0078445A"/>
    <w:rsid w:val="007A1DA9"/>
    <w:rsid w:val="007B24EB"/>
    <w:rsid w:val="007C045D"/>
    <w:rsid w:val="007C3204"/>
    <w:rsid w:val="007F5B80"/>
    <w:rsid w:val="00824493"/>
    <w:rsid w:val="0082603F"/>
    <w:rsid w:val="0085276E"/>
    <w:rsid w:val="00854938"/>
    <w:rsid w:val="00856505"/>
    <w:rsid w:val="008637FD"/>
    <w:rsid w:val="00864BBB"/>
    <w:rsid w:val="0087054A"/>
    <w:rsid w:val="00890D94"/>
    <w:rsid w:val="00894E71"/>
    <w:rsid w:val="008A4CB9"/>
    <w:rsid w:val="008E0C4C"/>
    <w:rsid w:val="008E4BB8"/>
    <w:rsid w:val="008F4BC1"/>
    <w:rsid w:val="00900037"/>
    <w:rsid w:val="009047FD"/>
    <w:rsid w:val="009100BA"/>
    <w:rsid w:val="0094478F"/>
    <w:rsid w:val="0097496B"/>
    <w:rsid w:val="00977023"/>
    <w:rsid w:val="009B20F4"/>
    <w:rsid w:val="009C5B54"/>
    <w:rsid w:val="00A04229"/>
    <w:rsid w:val="00A053AC"/>
    <w:rsid w:val="00A30A2A"/>
    <w:rsid w:val="00A40F13"/>
    <w:rsid w:val="00A44962"/>
    <w:rsid w:val="00A45B61"/>
    <w:rsid w:val="00A57677"/>
    <w:rsid w:val="00A803F6"/>
    <w:rsid w:val="00A81817"/>
    <w:rsid w:val="00A93307"/>
    <w:rsid w:val="00AB543D"/>
    <w:rsid w:val="00AC3ECA"/>
    <w:rsid w:val="00AC3F2C"/>
    <w:rsid w:val="00AD4F87"/>
    <w:rsid w:val="00AD6C51"/>
    <w:rsid w:val="00AE6228"/>
    <w:rsid w:val="00AF3BAB"/>
    <w:rsid w:val="00AF3D97"/>
    <w:rsid w:val="00B22F4B"/>
    <w:rsid w:val="00B35224"/>
    <w:rsid w:val="00B3733D"/>
    <w:rsid w:val="00B40D3D"/>
    <w:rsid w:val="00B42E9A"/>
    <w:rsid w:val="00B622EB"/>
    <w:rsid w:val="00BA02DD"/>
    <w:rsid w:val="00BA3C47"/>
    <w:rsid w:val="00BF3AAD"/>
    <w:rsid w:val="00C0213E"/>
    <w:rsid w:val="00C057C2"/>
    <w:rsid w:val="00C074A4"/>
    <w:rsid w:val="00C222BB"/>
    <w:rsid w:val="00C53451"/>
    <w:rsid w:val="00C60390"/>
    <w:rsid w:val="00C822F2"/>
    <w:rsid w:val="00CA1FAF"/>
    <w:rsid w:val="00CA4DFE"/>
    <w:rsid w:val="00CD6ABD"/>
    <w:rsid w:val="00CE50CB"/>
    <w:rsid w:val="00CF22A2"/>
    <w:rsid w:val="00D2046C"/>
    <w:rsid w:val="00D40183"/>
    <w:rsid w:val="00D40821"/>
    <w:rsid w:val="00D50F3C"/>
    <w:rsid w:val="00D6665D"/>
    <w:rsid w:val="00DA3C68"/>
    <w:rsid w:val="00DA6277"/>
    <w:rsid w:val="00DC226B"/>
    <w:rsid w:val="00DC3A4D"/>
    <w:rsid w:val="00DC40EA"/>
    <w:rsid w:val="00DC4234"/>
    <w:rsid w:val="00DD33F5"/>
    <w:rsid w:val="00DF4238"/>
    <w:rsid w:val="00DF4E10"/>
    <w:rsid w:val="00DF680A"/>
    <w:rsid w:val="00E031AF"/>
    <w:rsid w:val="00E05BD9"/>
    <w:rsid w:val="00E60974"/>
    <w:rsid w:val="00E94A3A"/>
    <w:rsid w:val="00EA30D4"/>
    <w:rsid w:val="00EA3C72"/>
    <w:rsid w:val="00EA4680"/>
    <w:rsid w:val="00EB05AA"/>
    <w:rsid w:val="00EB43F2"/>
    <w:rsid w:val="00EB591F"/>
    <w:rsid w:val="00EC50E9"/>
    <w:rsid w:val="00EC5A6E"/>
    <w:rsid w:val="00ED6A65"/>
    <w:rsid w:val="00EF5597"/>
    <w:rsid w:val="00F13C18"/>
    <w:rsid w:val="00F353CF"/>
    <w:rsid w:val="00F37DA5"/>
    <w:rsid w:val="00F4753E"/>
    <w:rsid w:val="00FA2488"/>
    <w:rsid w:val="00FA621F"/>
    <w:rsid w:val="00FB3047"/>
    <w:rsid w:val="00FB3BC8"/>
    <w:rsid w:val="00FB6DAC"/>
    <w:rsid w:val="00FD2E23"/>
    <w:rsid w:val="00FE2277"/>
    <w:rsid w:val="00FE6F67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55CC"/>
  <w15:chartTrackingRefBased/>
  <w15:docId w15:val="{3955A1F1-EE4C-E24B-8B3D-388C6329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2A4468"/>
    <w:pPr>
      <w:spacing w:line="360" w:lineRule="auto"/>
      <w:jc w:val="both"/>
    </w:pPr>
    <w:rPr>
      <w:rFonts w:ascii="Times New Roman" w:hAnsi="Times New Roman"/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F4753E"/>
    <w:pPr>
      <w:spacing w:line="240" w:lineRule="auto"/>
      <w:jc w:val="left"/>
    </w:pPr>
    <w:rPr>
      <w:rFonts w:ascii="Wingdings" w:eastAsia="Courier New" w:hAnsi="Wingdings" w:cs="Wingdings"/>
      <w:sz w:val="18"/>
      <w:szCs w:val="18"/>
    </w:rPr>
  </w:style>
  <w:style w:type="character" w:customStyle="1" w:styleId="BesedilooblakaZnak">
    <w:name w:val="Besedilo oblačka Znak"/>
    <w:link w:val="Besedilooblaka"/>
    <w:uiPriority w:val="99"/>
    <w:semiHidden/>
    <w:rsid w:val="00F4753E"/>
    <w:rPr>
      <w:rFonts w:ascii="Wingdings" w:eastAsia="Courier New" w:hAnsi="Wingdings" w:cs="Wingdings"/>
      <w:sz w:val="18"/>
      <w:szCs w:val="18"/>
      <w:lang w:val="en-GB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F4753E"/>
    <w:pPr>
      <w:spacing w:after="160" w:line="240" w:lineRule="auto"/>
      <w:jc w:val="left"/>
    </w:pPr>
    <w:rPr>
      <w:rFonts w:ascii="Courier New" w:eastAsia="Courier New" w:hAnsi="Courier New" w:cs="Segoe UI"/>
      <w:sz w:val="20"/>
      <w:szCs w:val="20"/>
    </w:rPr>
  </w:style>
  <w:style w:type="character" w:customStyle="1" w:styleId="PripombabesediloZnak">
    <w:name w:val="Pripomba – besedilo Znak"/>
    <w:link w:val="Pripombabesedilo"/>
    <w:uiPriority w:val="99"/>
    <w:rsid w:val="00F4753E"/>
    <w:rPr>
      <w:rFonts w:ascii="Courier New" w:eastAsia="Courier New" w:hAnsi="Courier New" w:cs="Segoe UI"/>
      <w:sz w:val="20"/>
      <w:szCs w:val="20"/>
      <w:lang w:val="en-GB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173226"/>
    <w:pPr>
      <w:spacing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173226"/>
    <w:rPr>
      <w:rFonts w:ascii="Times New Roman" w:hAnsi="Times New Roman"/>
      <w:sz w:val="20"/>
      <w:szCs w:val="20"/>
      <w:lang w:val="en-GB"/>
    </w:rPr>
  </w:style>
  <w:style w:type="character" w:styleId="Sprotnaopomba-sklic">
    <w:name w:val="footnote reference"/>
    <w:basedOn w:val="Privzetapisavaodstavka"/>
    <w:uiPriority w:val="99"/>
    <w:semiHidden/>
    <w:unhideWhenUsed/>
    <w:rsid w:val="00173226"/>
    <w:rPr>
      <w:vertAlign w:val="superscript"/>
    </w:rPr>
  </w:style>
  <w:style w:type="character" w:styleId="Hiperpovezava">
    <w:name w:val="Hyperlink"/>
    <w:basedOn w:val="Privzetapisavaodstavka"/>
    <w:uiPriority w:val="99"/>
    <w:unhideWhenUsed/>
    <w:rsid w:val="009047FD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9047FD"/>
    <w:rPr>
      <w:color w:val="605E5C"/>
      <w:shd w:val="clear" w:color="auto" w:fill="E1DFDD"/>
    </w:rPr>
  </w:style>
  <w:style w:type="paragraph" w:styleId="Glava">
    <w:name w:val="header"/>
    <w:basedOn w:val="Navaden"/>
    <w:link w:val="GlavaZnak"/>
    <w:uiPriority w:val="99"/>
    <w:unhideWhenUsed/>
    <w:rsid w:val="00CD6ABD"/>
    <w:pPr>
      <w:tabs>
        <w:tab w:val="center" w:pos="4680"/>
        <w:tab w:val="right" w:pos="9360"/>
      </w:tabs>
      <w:spacing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CD6ABD"/>
    <w:rPr>
      <w:rFonts w:ascii="Times New Roman" w:hAnsi="Times New Roman"/>
      <w:lang w:val="en-GB"/>
    </w:rPr>
  </w:style>
  <w:style w:type="paragraph" w:styleId="Noga">
    <w:name w:val="footer"/>
    <w:basedOn w:val="Navaden"/>
    <w:link w:val="NogaZnak"/>
    <w:uiPriority w:val="99"/>
    <w:unhideWhenUsed/>
    <w:rsid w:val="00CD6ABD"/>
    <w:pPr>
      <w:tabs>
        <w:tab w:val="center" w:pos="4680"/>
        <w:tab w:val="right" w:pos="9360"/>
      </w:tabs>
      <w:spacing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CD6ABD"/>
    <w:rPr>
      <w:rFonts w:ascii="Times New Roman" w:hAnsi="Times New Roman"/>
      <w:lang w:val="en-GB"/>
    </w:rPr>
  </w:style>
  <w:style w:type="paragraph" w:styleId="Revizija">
    <w:name w:val="Revision"/>
    <w:hidden/>
    <w:uiPriority w:val="99"/>
    <w:semiHidden/>
    <w:rsid w:val="00693491"/>
    <w:rPr>
      <w:rFonts w:ascii="Times New Roman" w:hAnsi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akingstockofsho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7BF41636-5DA5-4E91-9B92-69CFCA34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1448</Words>
  <Characters>7649</Characters>
  <Application>Microsoft Office Word</Application>
  <DocSecurity>0</DocSecurity>
  <Lines>117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Tjaša Konovšek</dc:creator>
  <cp:keywords/>
  <dc:description/>
  <cp:lastModifiedBy>Filip Čuček</cp:lastModifiedBy>
  <cp:revision>2</cp:revision>
  <dcterms:created xsi:type="dcterms:W3CDTF">2022-10-27T09:19:00Z</dcterms:created>
  <dcterms:modified xsi:type="dcterms:W3CDTF">2022-10-27T09:19:00Z</dcterms:modified>
</cp:coreProperties>
</file>